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both"/>
        <w:rPr>
          <w:rFonts w:ascii="Arial" w:cs="Arial" w:eastAsia="Arial" w:hAnsi="Arial"/>
          <w:i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EIXO TEMÁTICO:</w:t>
      </w:r>
      <w:r w:rsidDel="00000000" w:rsidR="00000000" w:rsidRPr="00000000">
        <w:rPr>
          <w:rFonts w:ascii="Arial" w:cs="Arial" w:eastAsia="Arial" w:hAnsi="Arial"/>
          <w:rtl w:val="0"/>
        </w:rPr>
        <w:t xml:space="preserve">  Biotecnologia, Inovação e Saúde.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rFonts w:ascii="Arial" w:cs="Arial" w:eastAsia="Arial" w:hAnsi="Arial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212121"/>
          <w:sz w:val="32"/>
          <w:szCs w:val="32"/>
          <w:rtl w:val="0"/>
        </w:rPr>
        <w:t xml:space="preserve">Dificuldades de acesso ao aborto em contextos de interrupção legal da gravidez: uma revisão de literatura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pos="8505"/>
        </w:tabs>
        <w:spacing w:line="360" w:lineRule="auto"/>
        <w:ind w:right="49"/>
        <w:jc w:val="right"/>
        <w:rPr>
          <w:rFonts w:ascii="Arial" w:cs="Arial" w:eastAsia="Arial" w:hAnsi="Arial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pos="8505"/>
        </w:tabs>
        <w:ind w:left="992.1259842519685" w:right="49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PIRES, S. B.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; MONTEIRO, M. S. 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; MARTINS, J. V. P.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, CÂNDIDO; M. C. S.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; KUR, C. B.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;  OLIVEIRA, E. C. T.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 2</w:t>
      </w:r>
      <w:r w:rsidDel="00000000" w:rsidR="00000000" w:rsidRPr="00000000">
        <w:rPr>
          <w:rFonts w:ascii="Arial" w:cs="Arial" w:eastAsia="Arial" w:hAnsi="Arial"/>
          <w:rtl w:val="0"/>
        </w:rPr>
        <w:t xml:space="preserve">; ARAÚJO, M. D. P.²</w:t>
      </w:r>
    </w:p>
    <w:p w:rsidR="00000000" w:rsidDel="00000000" w:rsidP="00000000" w:rsidRDefault="00000000" w:rsidRPr="00000000" w14:paraId="00000007">
      <w:pPr>
        <w:widowControl w:val="0"/>
        <w:tabs>
          <w:tab w:val="left" w:pos="8505"/>
        </w:tabs>
        <w:ind w:left="992.1259842519685" w:right="49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ind w:right="49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 Centro Universitário Cesmac, Discente do Curso de Medicina</w:t>
      </w:r>
    </w:p>
    <w:p w:rsidR="00000000" w:rsidDel="00000000" w:rsidP="00000000" w:rsidRDefault="00000000" w:rsidRPr="00000000" w14:paraId="00000009">
      <w:pPr>
        <w:widowControl w:val="0"/>
        <w:ind w:right="49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rtl w:val="0"/>
        </w:rPr>
        <w:t xml:space="preserve"> Centro Universitário Cesmac, Docente do Curso de Medicina</w:t>
      </w:r>
    </w:p>
    <w:p w:rsidR="00000000" w:rsidDel="00000000" w:rsidP="00000000" w:rsidRDefault="00000000" w:rsidRPr="00000000" w14:paraId="0000000A">
      <w:pPr>
        <w:widowControl w:val="0"/>
        <w:spacing w:line="360" w:lineRule="auto"/>
        <w:ind w:right="49"/>
        <w:jc w:val="right"/>
        <w:rPr>
          <w:rFonts w:ascii="Arial" w:cs="Arial" w:eastAsia="Arial" w:hAnsi="Arial"/>
          <w:i w:val="1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 do apresentador: stefanie0pires@gmail.com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pos="8505"/>
        </w:tabs>
        <w:spacing w:line="360" w:lineRule="auto"/>
        <w:ind w:right="49"/>
        <w:jc w:val="right"/>
        <w:rPr>
          <w:rFonts w:ascii="Arial" w:cs="Arial" w:eastAsia="Arial" w:hAnsi="Arial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pos="8505"/>
        </w:tabs>
        <w:spacing w:line="360" w:lineRule="auto"/>
        <w:ind w:right="49"/>
        <w:jc w:val="right"/>
        <w:rPr>
          <w:rFonts w:ascii="Arial" w:cs="Arial" w:eastAsia="Arial" w:hAnsi="Arial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ind w:right="13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Introdução: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No Brasil, o Código Penal de 1940 permite, em casos excepcionais, a interrupção da gravidez sem punição do médico que realiza o procedimento, como em casos de gestação decorrente de violência sexual e quando há risco de morte materna. Em 2012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decidiram ampliar essa permissividade também nos casos de anencefalia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. A grande questão enfrentada por mulheres asseguradas deste direito, é a dificuldade de acesso ao aborto em questões legais, e quanto a encontrar um profissional que aceite a realização do procedimento sem ferir seus princípios.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Objetivo:</w:t>
      </w:r>
      <w:r w:rsidDel="00000000" w:rsidR="00000000" w:rsidRPr="00000000">
        <w:rPr>
          <w:rFonts w:ascii="Arial" w:cs="Arial" w:eastAsia="Arial" w:hAnsi="Arial"/>
          <w:rtl w:val="0"/>
        </w:rPr>
        <w:t xml:space="preserve"> Compreender as dificuldades de acesso ao aborto em contextos de interrupção legal da gravidez.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Metodologia:</w:t>
      </w:r>
      <w:r w:rsidDel="00000000" w:rsidR="00000000" w:rsidRPr="00000000">
        <w:rPr>
          <w:rFonts w:ascii="Arial" w:cs="Arial" w:eastAsia="Arial" w:hAnsi="Arial"/>
          <w:rtl w:val="0"/>
        </w:rPr>
        <w:t xml:space="preserve"> Foi realizada uma revisão de literatura utilizando os </w:t>
      </w:r>
      <w:r w:rsidDel="00000000" w:rsidR="00000000" w:rsidRPr="00000000">
        <w:rPr>
          <w:rFonts w:ascii="Arial" w:cs="Arial" w:eastAsia="Arial" w:hAnsi="Arial"/>
          <w:rtl w:val="0"/>
        </w:rPr>
        <w:t xml:space="preserve">artigos disponíveis na plataforma PubMed e na base de dados Scielo, através da estratégia de busca: aborto AND desafios. A pesquisa resultou em 7 artigos na Pubmed e 31 na Scielo. Após leitura de títulos e resumos, 5 artigos  foram selecionados para leitura integral. Foram excluídos trabalhos repetidos, que não abordavam o Brasil e que não relatavam as dificuldades de acesso ao aborto legal.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Resultados: </w:t>
      </w:r>
      <w:r w:rsidDel="00000000" w:rsidR="00000000" w:rsidRPr="00000000">
        <w:rPr>
          <w:rFonts w:ascii="Arial" w:cs="Arial" w:eastAsia="Arial" w:hAnsi="Arial"/>
          <w:rtl w:val="0"/>
        </w:rPr>
        <w:t xml:space="preserve">É perceptível que ainda há divergência entre o que preconiza as políticas públicas de saúde e o real funcionamento do serviço no país. Em partes, isso deve-se à uma existente lacuna resultante da abordagem restrita sobre o tema durante a graduação de profissionais de saúde, para que estes então, atuem de modo favorável à mulheres em situação de aborto legal. Acrescentar-se ainda, um dilema por parte dos profissionais de saúde em relação à prática abortiva: parte defende a atitude como correta profissionalmente e eticamente; parte, sobrepõe os valores morais e coloca o aborto como uma questão moral e/ou religiosa. Outro empecilho para a assistência adequada às mulheres que buscam pelo serviço, é a concentração dele em metrópoles, e a ausência em 7 estados, evidentemente caracterizando uma barreira de acesso.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Conclusão: </w:t>
      </w:r>
      <w:r w:rsidDel="00000000" w:rsidR="00000000" w:rsidRPr="00000000">
        <w:rPr>
          <w:rFonts w:ascii="Arial" w:cs="Arial" w:eastAsia="Arial" w:hAnsi="Arial"/>
          <w:rtl w:val="0"/>
        </w:rPr>
        <w:t xml:space="preserve">Considera-se discutir, ainda durante a formação acadêmica do profissional de saúde, a correta atuação diante de um aborto legal, pois a falta de conhecimento sobre o que é e como proceder e a escassez de estudos interfere na qualidade e efetividade da assistência da saúde pública, que deve ser ofertado de modo universal e equitativo a todas as mulheres, independente de crenças pessoais de cada profissional da saúde.</w:t>
      </w:r>
    </w:p>
    <w:p w:rsidR="00000000" w:rsidDel="00000000" w:rsidP="00000000" w:rsidRDefault="00000000" w:rsidRPr="00000000" w14:paraId="0000000E">
      <w:pPr>
        <w:widowControl w:val="0"/>
        <w:ind w:right="135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ind w:right="13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PALAVRAS-CHAVE: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aborto; gravidez; interrupção.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ind w:right="135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="36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417" w:left="1701" w:right="1701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Georgia"/>
  <w:font w:name="Arial"/>
  <w:font w:name="Calibri"/>
  <w:font w:name="Jaapokk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Jaapokki" w:cs="Jaapokki" w:eastAsia="Jaapokki" w:hAnsi="Jaapokki"/>
        <w:b w:val="0"/>
        <w:i w:val="0"/>
        <w:smallCaps w:val="0"/>
        <w:strike w:val="0"/>
        <w:color w:val="0070c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Jaapokki" w:cs="Jaapokki" w:eastAsia="Jaapokki" w:hAnsi="Jaapokki"/>
        <w:b w:val="0"/>
        <w:i w:val="0"/>
        <w:smallCaps w:val="0"/>
        <w:strike w:val="0"/>
        <w:color w:val="0070c0"/>
        <w:sz w:val="24"/>
        <w:szCs w:val="24"/>
        <w:u w:val="none"/>
        <w:shd w:fill="auto" w:val="clear"/>
        <w:vertAlign w:val="baseline"/>
        <w:rtl w:val="0"/>
      </w:rPr>
      <w:t xml:space="preserve">congresso.academico@cesmac.edu.br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-101599</wp:posOffset>
              </wp:positionV>
              <wp:extent cx="6212205" cy="55244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244660" y="3757141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-101599</wp:posOffset>
              </wp:positionV>
              <wp:extent cx="6212205" cy="55244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12205" cy="5524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68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234884" cy="1312717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