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195634" w14:textId="6D0D9155" w:rsidR="00686B79" w:rsidRDefault="0063025F" w:rsidP="00686B79">
      <w:pPr>
        <w:pStyle w:val="Ttulo"/>
      </w:pPr>
      <w:bookmarkStart w:id="0" w:name="_Toc3626291"/>
      <w:r>
        <w:t>A INFLUÊNCIA DOS BONECOS GIGANTES DE OLINDA PARA O CONTEXTO SOCIOCULTURAL DA CIDADE</w:t>
      </w:r>
    </w:p>
    <w:p w14:paraId="6A993820" w14:textId="77777777" w:rsidR="00686B79" w:rsidRPr="00696317" w:rsidRDefault="00686B79" w:rsidP="00686B79"/>
    <w:p w14:paraId="130B1D3D" w14:textId="77777777" w:rsidR="00686B79" w:rsidRPr="007C401F" w:rsidRDefault="00686B79" w:rsidP="00686B79">
      <w:pPr>
        <w:pStyle w:val="FPCNomedoAutor"/>
        <w:spacing w:before="0" w:after="0"/>
        <w:jc w:val="left"/>
        <w:rPr>
          <w:rFonts w:ascii="Times New Roman" w:hAnsi="Times New Roman"/>
          <w:spacing w:val="-2"/>
          <w:sz w:val="22"/>
          <w:lang w:val="pt-PT"/>
        </w:rPr>
      </w:pPr>
    </w:p>
    <w:p w14:paraId="2C6D5912" w14:textId="77777777" w:rsidR="00686B79" w:rsidRDefault="00686B79" w:rsidP="00686B79">
      <w:pPr>
        <w:rPr>
          <w:rStyle w:val="Forte"/>
        </w:rPr>
      </w:pPr>
      <w:r w:rsidRPr="007669DE">
        <w:rPr>
          <w:rStyle w:val="Forte"/>
        </w:rPr>
        <w:t xml:space="preserve">Resumo </w:t>
      </w:r>
    </w:p>
    <w:p w14:paraId="3EE2FCE6" w14:textId="14336972" w:rsidR="00686B79" w:rsidRDefault="0063025F" w:rsidP="00686B79">
      <w:pPr>
        <w:pStyle w:val="FPCTextonormal"/>
        <w:spacing w:before="0" w:after="0"/>
        <w:rPr>
          <w:rFonts w:ascii="Times New Roman" w:hAnsi="Times New Roman"/>
          <w:sz w:val="20"/>
          <w:szCs w:val="20"/>
        </w:rPr>
      </w:pPr>
      <w:r w:rsidRPr="008F1584">
        <w:rPr>
          <w:rStyle w:val="Forte"/>
          <w:b w:val="0"/>
          <w:sz w:val="20"/>
          <w:szCs w:val="20"/>
        </w:rPr>
        <w:t>O presente artigo busca analisar a influência da cultura dos bonecos gigantes de Olinda, cultura típica da cidade, na história (da cidade), na economia e no ambiente sociocultural da cidade. Tendo início em 1932, os bonecos gigantes representam de forma internacional a cidade pernambucana e faz parte da história do carnaval de Olinda. A cidade pernambucana possui uma das maiores pluralidades culturais do país e os bonecos gigantes são parte dessa pluralidade.</w:t>
      </w:r>
    </w:p>
    <w:p w14:paraId="1360E3ED" w14:textId="77777777" w:rsidR="0063025F" w:rsidRPr="00277A49" w:rsidRDefault="0063025F" w:rsidP="00686B79">
      <w:pPr>
        <w:pStyle w:val="FPCTextonormal"/>
        <w:spacing w:before="0" w:after="0"/>
        <w:rPr>
          <w:rFonts w:ascii="Times New Roman" w:hAnsi="Times New Roman"/>
          <w:sz w:val="20"/>
          <w:szCs w:val="20"/>
        </w:rPr>
      </w:pPr>
    </w:p>
    <w:p w14:paraId="250CD24E" w14:textId="1428A61C" w:rsidR="00686B79" w:rsidRPr="00277A49" w:rsidRDefault="00686B79" w:rsidP="00686B79">
      <w:pPr>
        <w:rPr>
          <w:lang w:val="pt-PT" w:eastAsia="ja-JP"/>
        </w:rPr>
      </w:pPr>
      <w:r w:rsidRPr="00277A49">
        <w:rPr>
          <w:b/>
          <w:lang w:val="pt-PT" w:eastAsia="ja-JP"/>
        </w:rPr>
        <w:t xml:space="preserve">Palavras-chave: </w:t>
      </w:r>
      <w:r w:rsidR="0063025F">
        <w:rPr>
          <w:bCs/>
          <w:lang w:val="pt-PT" w:eastAsia="ja-JP"/>
        </w:rPr>
        <w:t>Olinda</w:t>
      </w:r>
      <w:r w:rsidR="0063025F">
        <w:rPr>
          <w:lang w:val="pt-PT" w:eastAsia="ja-JP"/>
        </w:rPr>
        <w:t>; Cultura; Bonecos Gigantes;</w:t>
      </w:r>
    </w:p>
    <w:p w14:paraId="77ECD080" w14:textId="77777777" w:rsidR="00686B79" w:rsidRPr="00277A49" w:rsidRDefault="00686B79" w:rsidP="00686B79">
      <w:pPr>
        <w:pStyle w:val="FPCTextonormal"/>
        <w:spacing w:before="0" w:after="0"/>
        <w:rPr>
          <w:rFonts w:ascii="Times New Roman" w:hAnsi="Times New Roman"/>
          <w:sz w:val="20"/>
          <w:szCs w:val="20"/>
          <w:lang w:val="pt-PT" w:eastAsia="ja-JP"/>
        </w:rPr>
      </w:pPr>
    </w:p>
    <w:p w14:paraId="5307BA5B" w14:textId="77777777" w:rsidR="00686B79" w:rsidRPr="00277A49" w:rsidRDefault="00686B79" w:rsidP="00686B79">
      <w:pPr>
        <w:pStyle w:val="FPCTextonormal"/>
        <w:spacing w:before="0" w:after="0"/>
        <w:rPr>
          <w:rFonts w:ascii="Times New Roman" w:hAnsi="Times New Roman"/>
          <w:sz w:val="20"/>
          <w:szCs w:val="20"/>
          <w:lang w:val="pt-PT" w:eastAsia="ja-JP"/>
        </w:rPr>
      </w:pPr>
    </w:p>
    <w:p w14:paraId="6A8518A3" w14:textId="77777777" w:rsidR="00686B79" w:rsidRDefault="00686B79" w:rsidP="00686B79">
      <w:pPr>
        <w:rPr>
          <w:b/>
        </w:rPr>
      </w:pPr>
      <w:bookmarkStart w:id="1" w:name="_Toc519335634"/>
      <w:bookmarkEnd w:id="0"/>
      <w:r w:rsidRPr="007669DE">
        <w:rPr>
          <w:b/>
        </w:rPr>
        <w:t>ABSTRACT</w:t>
      </w:r>
      <w:r>
        <w:rPr>
          <w:b/>
        </w:rPr>
        <w:t xml:space="preserve"> </w:t>
      </w:r>
    </w:p>
    <w:p w14:paraId="0EADEAED" w14:textId="77777777" w:rsidR="0063025F" w:rsidRPr="00686B79" w:rsidRDefault="0063025F" w:rsidP="0063025F">
      <w:proofErr w:type="spellStart"/>
      <w:r w:rsidRPr="00782847">
        <w:t>This</w:t>
      </w:r>
      <w:proofErr w:type="spellEnd"/>
      <w:r w:rsidRPr="00782847">
        <w:t xml:space="preserve"> </w:t>
      </w:r>
      <w:proofErr w:type="spellStart"/>
      <w:r w:rsidRPr="00782847">
        <w:t>referent</w:t>
      </w:r>
      <w:proofErr w:type="spellEnd"/>
      <w:r w:rsidRPr="00782847">
        <w:t xml:space="preserve"> </w:t>
      </w:r>
      <w:proofErr w:type="spellStart"/>
      <w:r w:rsidRPr="00782847">
        <w:t>article</w:t>
      </w:r>
      <w:proofErr w:type="spellEnd"/>
      <w:r w:rsidRPr="00782847">
        <w:t xml:space="preserve"> looks </w:t>
      </w:r>
      <w:proofErr w:type="spellStart"/>
      <w:r w:rsidRPr="00782847">
        <w:t>forward</w:t>
      </w:r>
      <w:proofErr w:type="spellEnd"/>
      <w:r w:rsidRPr="00782847">
        <w:t xml:space="preserve"> </w:t>
      </w:r>
      <w:proofErr w:type="spellStart"/>
      <w:r w:rsidRPr="00782847">
        <w:t>to</w:t>
      </w:r>
      <w:proofErr w:type="spellEnd"/>
      <w:r w:rsidRPr="00782847">
        <w:t xml:space="preserve"> </w:t>
      </w:r>
      <w:proofErr w:type="spellStart"/>
      <w:r w:rsidRPr="00782847">
        <w:t>alnalyze</w:t>
      </w:r>
      <w:proofErr w:type="spellEnd"/>
      <w:r w:rsidRPr="00782847">
        <w:t xml:space="preserve"> </w:t>
      </w:r>
      <w:proofErr w:type="spellStart"/>
      <w:r w:rsidRPr="00782847">
        <w:t>the</w:t>
      </w:r>
      <w:proofErr w:type="spellEnd"/>
      <w:r w:rsidRPr="00782847">
        <w:t xml:space="preserve"> </w:t>
      </w:r>
      <w:proofErr w:type="spellStart"/>
      <w:r w:rsidRPr="00782847">
        <w:t>influence</w:t>
      </w:r>
      <w:proofErr w:type="spellEnd"/>
      <w:r w:rsidRPr="00782847">
        <w:t xml:space="preserve"> </w:t>
      </w:r>
      <w:proofErr w:type="spellStart"/>
      <w:r w:rsidRPr="00782847">
        <w:t>of</w:t>
      </w:r>
      <w:proofErr w:type="spellEnd"/>
      <w:r w:rsidRPr="00782847">
        <w:t xml:space="preserve"> </w:t>
      </w:r>
      <w:proofErr w:type="spellStart"/>
      <w:r w:rsidRPr="00782847">
        <w:t>the</w:t>
      </w:r>
      <w:proofErr w:type="spellEnd"/>
      <w:r w:rsidRPr="00782847">
        <w:t xml:space="preserve"> </w:t>
      </w:r>
      <w:proofErr w:type="spellStart"/>
      <w:r w:rsidRPr="00782847">
        <w:t>Onlinda's</w:t>
      </w:r>
      <w:proofErr w:type="spellEnd"/>
      <w:r w:rsidRPr="00782847">
        <w:t xml:space="preserve"> </w:t>
      </w:r>
      <w:proofErr w:type="spellStart"/>
      <w:r w:rsidRPr="00782847">
        <w:t>Giant</w:t>
      </w:r>
      <w:proofErr w:type="spellEnd"/>
      <w:r w:rsidRPr="00782847">
        <w:t xml:space="preserve"> </w:t>
      </w:r>
      <w:proofErr w:type="spellStart"/>
      <w:r w:rsidRPr="00782847">
        <w:t>Dolls</w:t>
      </w:r>
      <w:proofErr w:type="spellEnd"/>
      <w:r w:rsidRPr="00782847">
        <w:t xml:space="preserve"> </w:t>
      </w:r>
      <w:proofErr w:type="spellStart"/>
      <w:r w:rsidRPr="00782847">
        <w:t>culture</w:t>
      </w:r>
      <w:proofErr w:type="spellEnd"/>
      <w:r w:rsidRPr="00782847">
        <w:t xml:space="preserve">, </w:t>
      </w:r>
      <w:proofErr w:type="spellStart"/>
      <w:r w:rsidRPr="00782847">
        <w:t>typical</w:t>
      </w:r>
      <w:proofErr w:type="spellEnd"/>
      <w:r w:rsidRPr="00782847">
        <w:t xml:space="preserve"> </w:t>
      </w:r>
      <w:proofErr w:type="spellStart"/>
      <w:r w:rsidRPr="00782847">
        <w:t>culture</w:t>
      </w:r>
      <w:proofErr w:type="spellEnd"/>
      <w:r w:rsidRPr="00782847">
        <w:t xml:space="preserve">, </w:t>
      </w:r>
      <w:proofErr w:type="spellStart"/>
      <w:r w:rsidRPr="00782847">
        <w:t>history</w:t>
      </w:r>
      <w:proofErr w:type="spellEnd"/>
      <w:r w:rsidRPr="00782847">
        <w:t xml:space="preserve">, </w:t>
      </w:r>
      <w:proofErr w:type="spellStart"/>
      <w:r w:rsidRPr="00782847">
        <w:t>economy</w:t>
      </w:r>
      <w:proofErr w:type="spellEnd"/>
      <w:r w:rsidRPr="00782847">
        <w:t xml:space="preserve"> </w:t>
      </w:r>
      <w:proofErr w:type="spellStart"/>
      <w:r w:rsidRPr="00782847">
        <w:t>and</w:t>
      </w:r>
      <w:proofErr w:type="spellEnd"/>
      <w:r w:rsidRPr="00782847">
        <w:t xml:space="preserve"> sociocultural </w:t>
      </w:r>
      <w:proofErr w:type="spellStart"/>
      <w:r w:rsidRPr="00782847">
        <w:t>environment</w:t>
      </w:r>
      <w:proofErr w:type="spellEnd"/>
      <w:r w:rsidRPr="00782847">
        <w:t xml:space="preserve"> </w:t>
      </w:r>
      <w:proofErr w:type="spellStart"/>
      <w:r w:rsidRPr="00782847">
        <w:t>of</w:t>
      </w:r>
      <w:proofErr w:type="spellEnd"/>
      <w:r w:rsidRPr="00782847">
        <w:t xml:space="preserve"> </w:t>
      </w:r>
      <w:proofErr w:type="spellStart"/>
      <w:r w:rsidRPr="00782847">
        <w:t>the</w:t>
      </w:r>
      <w:proofErr w:type="spellEnd"/>
      <w:r w:rsidRPr="00782847">
        <w:t xml:space="preserve"> </w:t>
      </w:r>
      <w:proofErr w:type="spellStart"/>
      <w:r w:rsidRPr="00782847">
        <w:t>city</w:t>
      </w:r>
      <w:proofErr w:type="spellEnd"/>
      <w:r w:rsidRPr="00782847">
        <w:t xml:space="preserve">. </w:t>
      </w:r>
      <w:proofErr w:type="spellStart"/>
      <w:r w:rsidRPr="00782847">
        <w:t>Started</w:t>
      </w:r>
      <w:proofErr w:type="spellEnd"/>
      <w:r w:rsidRPr="00782847">
        <w:t xml:space="preserve"> </w:t>
      </w:r>
      <w:proofErr w:type="spellStart"/>
      <w:r w:rsidRPr="00782847">
        <w:t>on</w:t>
      </w:r>
      <w:proofErr w:type="spellEnd"/>
      <w:r w:rsidRPr="00782847">
        <w:t xml:space="preserve"> 1932, </w:t>
      </w:r>
      <w:proofErr w:type="spellStart"/>
      <w:r w:rsidRPr="00782847">
        <w:t>the</w:t>
      </w:r>
      <w:proofErr w:type="spellEnd"/>
      <w:r w:rsidRPr="00782847">
        <w:t xml:space="preserve"> </w:t>
      </w:r>
      <w:proofErr w:type="spellStart"/>
      <w:r w:rsidRPr="00782847">
        <w:t>Giant</w:t>
      </w:r>
      <w:proofErr w:type="spellEnd"/>
      <w:r w:rsidRPr="00782847">
        <w:t xml:space="preserve"> </w:t>
      </w:r>
      <w:proofErr w:type="spellStart"/>
      <w:r w:rsidRPr="00782847">
        <w:t>Dolls</w:t>
      </w:r>
      <w:proofErr w:type="spellEnd"/>
      <w:r w:rsidRPr="00782847">
        <w:t xml:space="preserve"> </w:t>
      </w:r>
      <w:proofErr w:type="spellStart"/>
      <w:r w:rsidRPr="00782847">
        <w:t>represent</w:t>
      </w:r>
      <w:proofErr w:type="spellEnd"/>
      <w:r w:rsidRPr="00782847">
        <w:t xml:space="preserve"> in a </w:t>
      </w:r>
      <w:proofErr w:type="spellStart"/>
      <w:r w:rsidRPr="00782847">
        <w:t>international</w:t>
      </w:r>
      <w:proofErr w:type="spellEnd"/>
      <w:r w:rsidRPr="00782847">
        <w:t xml:space="preserve"> </w:t>
      </w:r>
      <w:proofErr w:type="spellStart"/>
      <w:r w:rsidRPr="00782847">
        <w:t>way</w:t>
      </w:r>
      <w:proofErr w:type="spellEnd"/>
      <w:r w:rsidRPr="00782847">
        <w:t xml:space="preserve"> </w:t>
      </w:r>
      <w:proofErr w:type="spellStart"/>
      <w:r w:rsidRPr="00782847">
        <w:t>this</w:t>
      </w:r>
      <w:proofErr w:type="spellEnd"/>
      <w:r w:rsidRPr="00782847">
        <w:t xml:space="preserve"> particular </w:t>
      </w:r>
      <w:proofErr w:type="spellStart"/>
      <w:r w:rsidRPr="00782847">
        <w:t>city</w:t>
      </w:r>
      <w:proofErr w:type="spellEnd"/>
      <w:r w:rsidRPr="00782847">
        <w:t xml:space="preserve"> </w:t>
      </w:r>
      <w:proofErr w:type="spellStart"/>
      <w:r w:rsidRPr="00782847">
        <w:t>from</w:t>
      </w:r>
      <w:proofErr w:type="spellEnd"/>
      <w:r w:rsidRPr="00782847">
        <w:t xml:space="preserve"> Pernambuco </w:t>
      </w:r>
      <w:proofErr w:type="spellStart"/>
      <w:r w:rsidRPr="00782847">
        <w:t>and</w:t>
      </w:r>
      <w:proofErr w:type="spellEnd"/>
      <w:r w:rsidRPr="00782847">
        <w:t xml:space="preserve"> </w:t>
      </w:r>
      <w:proofErr w:type="spellStart"/>
      <w:r w:rsidRPr="00782847">
        <w:t>it's</w:t>
      </w:r>
      <w:proofErr w:type="spellEnd"/>
      <w:r w:rsidRPr="00782847">
        <w:t xml:space="preserve"> a </w:t>
      </w:r>
      <w:proofErr w:type="spellStart"/>
      <w:r w:rsidRPr="00782847">
        <w:t>a</w:t>
      </w:r>
      <w:proofErr w:type="spellEnd"/>
      <w:r w:rsidRPr="00782847">
        <w:t xml:space="preserve"> </w:t>
      </w:r>
      <w:proofErr w:type="spellStart"/>
      <w:r w:rsidRPr="00782847">
        <w:t>part</w:t>
      </w:r>
      <w:proofErr w:type="spellEnd"/>
      <w:r w:rsidRPr="00782847">
        <w:t xml:space="preserve"> </w:t>
      </w:r>
      <w:proofErr w:type="spellStart"/>
      <w:r w:rsidRPr="00782847">
        <w:t>of</w:t>
      </w:r>
      <w:proofErr w:type="spellEnd"/>
      <w:r w:rsidRPr="00782847">
        <w:t xml:space="preserve"> </w:t>
      </w:r>
      <w:proofErr w:type="spellStart"/>
      <w:r w:rsidRPr="00782847">
        <w:t>carnival's</w:t>
      </w:r>
      <w:proofErr w:type="spellEnd"/>
      <w:r w:rsidRPr="00782847">
        <w:t xml:space="preserve"> </w:t>
      </w:r>
      <w:proofErr w:type="spellStart"/>
      <w:r w:rsidRPr="00782847">
        <w:t>history</w:t>
      </w:r>
      <w:proofErr w:type="spellEnd"/>
      <w:r w:rsidRPr="00782847">
        <w:t xml:space="preserve"> </w:t>
      </w:r>
      <w:proofErr w:type="spellStart"/>
      <w:r w:rsidRPr="00782847">
        <w:t>of</w:t>
      </w:r>
      <w:proofErr w:type="spellEnd"/>
      <w:r w:rsidRPr="00782847">
        <w:t xml:space="preserve"> Olinda. The </w:t>
      </w:r>
      <w:proofErr w:type="spellStart"/>
      <w:r w:rsidRPr="00782847">
        <w:t>city</w:t>
      </w:r>
      <w:proofErr w:type="spellEnd"/>
      <w:r w:rsidRPr="00782847">
        <w:t xml:space="preserve"> </w:t>
      </w:r>
      <w:proofErr w:type="spellStart"/>
      <w:r w:rsidRPr="00782847">
        <w:t>also</w:t>
      </w:r>
      <w:proofErr w:type="spellEnd"/>
      <w:r w:rsidRPr="00782847">
        <w:t xml:space="preserve"> posses </w:t>
      </w:r>
      <w:proofErr w:type="spellStart"/>
      <w:r w:rsidRPr="00782847">
        <w:t>one</w:t>
      </w:r>
      <w:proofErr w:type="spellEnd"/>
      <w:r w:rsidRPr="00782847">
        <w:t xml:space="preserve"> </w:t>
      </w:r>
      <w:proofErr w:type="spellStart"/>
      <w:r w:rsidRPr="00782847">
        <w:t>of</w:t>
      </w:r>
      <w:proofErr w:type="spellEnd"/>
      <w:r w:rsidRPr="00782847">
        <w:t xml:space="preserve"> </w:t>
      </w:r>
      <w:proofErr w:type="spellStart"/>
      <w:r w:rsidRPr="00782847">
        <w:t>the</w:t>
      </w:r>
      <w:proofErr w:type="spellEnd"/>
      <w:r w:rsidRPr="00782847">
        <w:t xml:space="preserve"> </w:t>
      </w:r>
      <w:proofErr w:type="spellStart"/>
      <w:r w:rsidRPr="00782847">
        <w:t>most</w:t>
      </w:r>
      <w:proofErr w:type="spellEnd"/>
      <w:r w:rsidRPr="00782847">
        <w:t xml:space="preserve"> </w:t>
      </w:r>
      <w:proofErr w:type="spellStart"/>
      <w:r w:rsidRPr="00782847">
        <w:t>plurality</w:t>
      </w:r>
      <w:proofErr w:type="spellEnd"/>
      <w:r w:rsidRPr="00782847">
        <w:t xml:space="preserve"> </w:t>
      </w:r>
      <w:proofErr w:type="spellStart"/>
      <w:r w:rsidRPr="00782847">
        <w:t>culture</w:t>
      </w:r>
      <w:proofErr w:type="spellEnd"/>
      <w:r w:rsidRPr="00782847">
        <w:t xml:space="preserve"> </w:t>
      </w:r>
      <w:proofErr w:type="spellStart"/>
      <w:r w:rsidRPr="00782847">
        <w:t>of</w:t>
      </w:r>
      <w:proofErr w:type="spellEnd"/>
      <w:r w:rsidRPr="00782847">
        <w:t xml:space="preserve"> </w:t>
      </w:r>
      <w:proofErr w:type="spellStart"/>
      <w:r w:rsidRPr="00782847">
        <w:t>the</w:t>
      </w:r>
      <w:proofErr w:type="spellEnd"/>
      <w:r w:rsidRPr="00782847">
        <w:t xml:space="preserve"> country </w:t>
      </w:r>
      <w:proofErr w:type="spellStart"/>
      <w:r w:rsidRPr="00782847">
        <w:t>and</w:t>
      </w:r>
      <w:proofErr w:type="spellEnd"/>
      <w:r w:rsidRPr="00782847">
        <w:t xml:space="preserve"> </w:t>
      </w:r>
      <w:proofErr w:type="spellStart"/>
      <w:r w:rsidRPr="00782847">
        <w:t>the</w:t>
      </w:r>
      <w:proofErr w:type="spellEnd"/>
      <w:r w:rsidRPr="00782847">
        <w:t xml:space="preserve"> </w:t>
      </w:r>
      <w:proofErr w:type="spellStart"/>
      <w:r w:rsidRPr="00782847">
        <w:t>Giant</w:t>
      </w:r>
      <w:proofErr w:type="spellEnd"/>
      <w:r w:rsidRPr="00782847">
        <w:t xml:space="preserve"> </w:t>
      </w:r>
      <w:proofErr w:type="spellStart"/>
      <w:r w:rsidRPr="00782847">
        <w:t>Dolls</w:t>
      </w:r>
      <w:proofErr w:type="spellEnd"/>
      <w:r w:rsidRPr="00782847">
        <w:t xml:space="preserve"> are a </w:t>
      </w:r>
      <w:proofErr w:type="spellStart"/>
      <w:r w:rsidRPr="00782847">
        <w:t>part</w:t>
      </w:r>
      <w:proofErr w:type="spellEnd"/>
      <w:r w:rsidRPr="00782847">
        <w:t xml:space="preserve"> </w:t>
      </w:r>
      <w:proofErr w:type="spellStart"/>
      <w:r w:rsidRPr="00782847">
        <w:t>of</w:t>
      </w:r>
      <w:proofErr w:type="spellEnd"/>
      <w:r w:rsidRPr="00782847">
        <w:t xml:space="preserve"> it.</w:t>
      </w:r>
    </w:p>
    <w:p w14:paraId="4FA8D33F" w14:textId="77777777" w:rsidR="00686B79" w:rsidRPr="00686B79" w:rsidRDefault="00686B79" w:rsidP="00686B79"/>
    <w:p w14:paraId="1ABCF074" w14:textId="0373798D" w:rsidR="00686B79" w:rsidRPr="007669DE" w:rsidRDefault="00686B79" w:rsidP="00686B79">
      <w:pPr>
        <w:jc w:val="left"/>
        <w:rPr>
          <w:b/>
          <w:sz w:val="24"/>
          <w:szCs w:val="24"/>
        </w:rPr>
      </w:pPr>
      <w:r>
        <w:rPr>
          <w:b/>
        </w:rPr>
        <w:t>Key</w:t>
      </w:r>
      <w:r w:rsidRPr="007669DE">
        <w:rPr>
          <w:b/>
        </w:rPr>
        <w:t>words</w:t>
      </w:r>
      <w:r w:rsidRPr="007669DE">
        <w:t xml:space="preserve">: </w:t>
      </w:r>
      <w:r w:rsidR="0063025F">
        <w:rPr>
          <w:lang w:val="pt-PT" w:eastAsia="ja-JP"/>
        </w:rPr>
        <w:t>Olinda; Culture; Giant Dolls</w:t>
      </w:r>
    </w:p>
    <w:p w14:paraId="5D616070" w14:textId="77777777" w:rsidR="00686B79" w:rsidRPr="007669DE" w:rsidRDefault="00686B79" w:rsidP="00686B79">
      <w:pPr>
        <w:rPr>
          <w:b/>
          <w:sz w:val="24"/>
          <w:szCs w:val="24"/>
        </w:rPr>
      </w:pPr>
    </w:p>
    <w:p w14:paraId="7BBDA1C5" w14:textId="77777777" w:rsidR="00686B79" w:rsidRDefault="00686B79" w:rsidP="00686B79">
      <w:pPr>
        <w:rPr>
          <w:b/>
          <w:sz w:val="24"/>
          <w:szCs w:val="24"/>
        </w:rPr>
      </w:pPr>
    </w:p>
    <w:p w14:paraId="34F3F0C9" w14:textId="77777777" w:rsidR="00686B79" w:rsidRPr="007669DE" w:rsidRDefault="00686B79" w:rsidP="00686B79">
      <w:pPr>
        <w:rPr>
          <w:b/>
          <w:sz w:val="24"/>
          <w:szCs w:val="24"/>
        </w:rPr>
      </w:pPr>
    </w:p>
    <w:p w14:paraId="0D69305B" w14:textId="1851E3B3" w:rsidR="00686B79" w:rsidRPr="00F345FD" w:rsidRDefault="00686B79" w:rsidP="00686B79">
      <w:pPr>
        <w:numPr>
          <w:ilvl w:val="0"/>
          <w:numId w:val="1"/>
        </w:numPr>
        <w:rPr>
          <w:b/>
          <w:sz w:val="24"/>
          <w:szCs w:val="24"/>
        </w:rPr>
      </w:pPr>
      <w:r w:rsidRPr="007669DE">
        <w:rPr>
          <w:rStyle w:val="SeoChar"/>
        </w:rPr>
        <w:t>INTRODUÇÃO</w:t>
      </w:r>
      <w:r w:rsidRPr="00F345FD">
        <w:rPr>
          <w:b/>
          <w:sz w:val="24"/>
          <w:szCs w:val="24"/>
        </w:rPr>
        <w:t xml:space="preserve"> </w:t>
      </w:r>
    </w:p>
    <w:p w14:paraId="1770C4AA" w14:textId="77777777" w:rsidR="00686B79" w:rsidRPr="00F345FD" w:rsidRDefault="00686B79" w:rsidP="00686B79">
      <w:pPr>
        <w:rPr>
          <w:b/>
          <w:sz w:val="24"/>
          <w:szCs w:val="24"/>
        </w:rPr>
      </w:pPr>
    </w:p>
    <w:p w14:paraId="136AB90E" w14:textId="77777777" w:rsidR="006B4EAF" w:rsidRDefault="006B4EAF" w:rsidP="006B4EAF">
      <w:pPr>
        <w:pStyle w:val="SemEspaamento"/>
      </w:pPr>
      <w:r>
        <w:t>A cidade pernambucana Olinda possui forte importância sociocultural tanto para o estado quanto para o país. Com o título de Patrimônio Cultural da Humanidade concedido pela UNESCO em 1982, a cidade ainda foi considerada a 1°Capital Brasileira de Cultura segundo a ONG Capital Brasileira da Cultura (CBC).</w:t>
      </w:r>
    </w:p>
    <w:p w14:paraId="004A04F0" w14:textId="77777777" w:rsidR="006B4EAF" w:rsidRDefault="006B4EAF" w:rsidP="006B4EAF">
      <w:pPr>
        <w:pStyle w:val="SemEspaamento"/>
        <w:ind w:firstLine="0"/>
      </w:pPr>
      <w:r>
        <w:tab/>
        <w:t>Com vasta pluralidade de manifestações culturais, a cidade possui em seu arcabouço cultural uma imensidão artística. Pelas ruas da cidade é possível deparar-se com manifestações como os maracatus, que podem ser divididos entre maracatu rural e maracatu nação, o frevo, o Coco de Guadalupe, as troças carnavalescas, os bonecos gigantes que serão abordados no presente artigo, entre outros.</w:t>
      </w:r>
    </w:p>
    <w:p w14:paraId="32AC1D2A" w14:textId="77777777" w:rsidR="006B4EAF" w:rsidRDefault="006B4EAF" w:rsidP="006B4EAF">
      <w:pPr>
        <w:pStyle w:val="SemEspaamento"/>
        <w:ind w:firstLine="0"/>
      </w:pPr>
      <w:r>
        <w:tab/>
        <w:t>A cultura dos bonecos gigantes de Olinda iniciou-se na primeira metade do século 20, tendo como principal data, o ano de 1932, onde houve o início da utilização dos bonecos gigantes no carnaval da cidade, pelo Clube de Alegoria e Crítica o Homem da Meia-Noite. Apesar de ser a principal data, tem registros de que já havia uma arte relacionada aos bonecos gigantes presente na história de Olinda antes dessa data.</w:t>
      </w:r>
    </w:p>
    <w:p w14:paraId="634BF7D6" w14:textId="77777777" w:rsidR="00E218E7" w:rsidRDefault="00E218E7" w:rsidP="00E218E7">
      <w:pPr>
        <w:pStyle w:val="SemEspaamento"/>
        <w:ind w:firstLine="0"/>
      </w:pPr>
    </w:p>
    <w:p w14:paraId="746FBA6F" w14:textId="49CE4809" w:rsidR="00E218E7" w:rsidRDefault="00E218E7" w:rsidP="00E218E7">
      <w:pPr>
        <w:pStyle w:val="SemEspaamento"/>
        <w:ind w:firstLine="0"/>
      </w:pPr>
    </w:p>
    <w:p w14:paraId="09AE551E" w14:textId="77777777" w:rsidR="006B4EAF" w:rsidRDefault="006B4EAF" w:rsidP="00E218E7">
      <w:pPr>
        <w:pStyle w:val="SemEspaamento"/>
        <w:ind w:firstLine="0"/>
      </w:pPr>
    </w:p>
    <w:p w14:paraId="7D503187" w14:textId="77777777" w:rsidR="00E218E7" w:rsidRDefault="00E218E7" w:rsidP="00E218E7">
      <w:pPr>
        <w:pStyle w:val="SemEspaamento"/>
        <w:ind w:firstLine="0"/>
      </w:pPr>
    </w:p>
    <w:p w14:paraId="0888F5F7" w14:textId="0A4439DB" w:rsidR="00E218E7" w:rsidRDefault="00E218E7" w:rsidP="006B4EAF">
      <w:pPr>
        <w:pStyle w:val="SemEspaamento"/>
        <w:ind w:firstLine="0"/>
        <w:jc w:val="center"/>
        <w:rPr>
          <w:sz w:val="20"/>
        </w:rPr>
      </w:pPr>
      <w:r w:rsidRPr="00E218E7">
        <w:rPr>
          <w:b/>
          <w:sz w:val="20"/>
        </w:rPr>
        <w:t xml:space="preserve">Figura 1 – </w:t>
      </w:r>
      <w:r w:rsidR="006B4EAF">
        <w:rPr>
          <w:sz w:val="20"/>
        </w:rPr>
        <w:t xml:space="preserve">O boneco O Homem da Meia-Noite caminhando em meio </w:t>
      </w:r>
      <w:proofErr w:type="spellStart"/>
      <w:r w:rsidR="006B4EAF">
        <w:rPr>
          <w:sz w:val="20"/>
        </w:rPr>
        <w:t>a</w:t>
      </w:r>
      <w:proofErr w:type="spellEnd"/>
      <w:r w:rsidR="006B4EAF">
        <w:rPr>
          <w:sz w:val="20"/>
        </w:rPr>
        <w:t xml:space="preserve"> multidão.</w:t>
      </w:r>
    </w:p>
    <w:p w14:paraId="766C4EF0" w14:textId="77777777" w:rsidR="006B4EAF" w:rsidRPr="00E218E7" w:rsidRDefault="006B4EAF" w:rsidP="006B4EAF">
      <w:pPr>
        <w:pStyle w:val="SemEspaamento"/>
        <w:ind w:firstLine="0"/>
        <w:jc w:val="center"/>
        <w:rPr>
          <w:sz w:val="20"/>
        </w:rPr>
      </w:pPr>
    </w:p>
    <w:p w14:paraId="0950CA31" w14:textId="7C690C9B" w:rsidR="00E218E7" w:rsidRDefault="006B4EAF" w:rsidP="00E218E7">
      <w:pPr>
        <w:pStyle w:val="SemEspaamento"/>
        <w:ind w:firstLine="0"/>
        <w:jc w:val="center"/>
      </w:pPr>
      <w:r>
        <w:rPr>
          <w:noProof/>
        </w:rPr>
        <w:drawing>
          <wp:inline distT="0" distB="0" distL="0" distR="0" wp14:anchorId="67C35DBD" wp14:editId="18B89641">
            <wp:extent cx="4383405" cy="2932430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3A70E3" w14:textId="77777777" w:rsidR="006B4EAF" w:rsidRDefault="006B4EAF" w:rsidP="00E218E7">
      <w:pPr>
        <w:pStyle w:val="SemEspaamento"/>
        <w:ind w:firstLine="0"/>
        <w:jc w:val="center"/>
        <w:rPr>
          <w:b/>
          <w:sz w:val="20"/>
        </w:rPr>
      </w:pPr>
    </w:p>
    <w:p w14:paraId="7B697BE2" w14:textId="2FFB6059" w:rsidR="00E218E7" w:rsidRPr="00E218E7" w:rsidRDefault="00E218E7" w:rsidP="00E218E7">
      <w:pPr>
        <w:pStyle w:val="SemEspaamento"/>
        <w:ind w:firstLine="0"/>
        <w:jc w:val="center"/>
        <w:rPr>
          <w:sz w:val="20"/>
        </w:rPr>
      </w:pPr>
      <w:r w:rsidRPr="00E218E7">
        <w:rPr>
          <w:b/>
          <w:sz w:val="20"/>
        </w:rPr>
        <w:t xml:space="preserve">Fonte: </w:t>
      </w:r>
      <w:r w:rsidR="006B4EAF">
        <w:rPr>
          <w:sz w:val="20"/>
        </w:rPr>
        <w:t xml:space="preserve">Bobby </w:t>
      </w:r>
      <w:proofErr w:type="spellStart"/>
      <w:r w:rsidR="006B4EAF">
        <w:rPr>
          <w:sz w:val="20"/>
        </w:rPr>
        <w:t>Fabisak</w:t>
      </w:r>
      <w:proofErr w:type="spellEnd"/>
      <w:r w:rsidR="00B06445">
        <w:rPr>
          <w:sz w:val="20"/>
        </w:rPr>
        <w:t xml:space="preserve"> (2020</w:t>
      </w:r>
      <w:r w:rsidRPr="00E218E7">
        <w:rPr>
          <w:sz w:val="20"/>
        </w:rPr>
        <w:t>)</w:t>
      </w:r>
    </w:p>
    <w:p w14:paraId="18C29540" w14:textId="77777777" w:rsidR="00E218E7" w:rsidRDefault="00E218E7" w:rsidP="00686B79">
      <w:pPr>
        <w:pStyle w:val="SemEspaamento"/>
      </w:pPr>
    </w:p>
    <w:p w14:paraId="7BE46D5F" w14:textId="77777777" w:rsidR="00E218E7" w:rsidRDefault="00E218E7" w:rsidP="00686B79">
      <w:pPr>
        <w:pStyle w:val="SemEspaamento"/>
      </w:pPr>
    </w:p>
    <w:p w14:paraId="2D91B4E7" w14:textId="77777777" w:rsidR="006B4EAF" w:rsidRDefault="006B4EAF" w:rsidP="006B4EAF">
      <w:pPr>
        <w:pStyle w:val="SemEspaamento"/>
        <w:ind w:firstLine="708"/>
      </w:pPr>
      <w:r>
        <w:t>Os bonecos gigantes de Olinda, popularmente conhecidos como “Bonecões de Olinda” tem como um dos principais artistas, o artesão Sílvio Botelho, de 64 anos. Conhecido na cidade por produzir bonecões há 46 anos. Outro artesão importante para a cidade é o artesão Josenildo Bezerra da Silva, conhecido como Camarão, o artesão tem 49 anos e produz bonecos gigantes há 28 anos.</w:t>
      </w:r>
    </w:p>
    <w:p w14:paraId="00A98AB3" w14:textId="711B1CEC" w:rsidR="00686B79" w:rsidRPr="003B03A0" w:rsidRDefault="006B4EAF" w:rsidP="006B4EAF">
      <w:pPr>
        <w:pStyle w:val="SemEspaamento"/>
        <w:ind w:firstLine="0"/>
      </w:pPr>
      <w:r>
        <w:tab/>
        <w:t>O presente artigo visa estudar a influência dos bonecos gigantes de Olinda para a cultura da cidade pernambucana, tendo em vista que a arte é conhecida no Brasil inteiro, chegando a aparecer em filmes, videoclipes de artistas como Marcelo D2, Alceu Valença, entre outros, matérias de jornais televisivos ou impressos e possuindo até documentários acerca do assunto. Também serve para mostrar como uma arte consegue mobilizar toda uma população em uma tradição em específico.</w:t>
      </w:r>
    </w:p>
    <w:p w14:paraId="033A99AC" w14:textId="77777777" w:rsidR="00686B79" w:rsidRDefault="00686B79" w:rsidP="00686B79">
      <w:pPr>
        <w:pStyle w:val="FPCTextonormal"/>
        <w:spacing w:before="0" w:after="0"/>
        <w:rPr>
          <w:rFonts w:ascii="Times New Roman" w:hAnsi="Times New Roman"/>
        </w:rPr>
      </w:pPr>
    </w:p>
    <w:p w14:paraId="7A260824" w14:textId="77777777" w:rsidR="00686B79" w:rsidRDefault="00686B79" w:rsidP="00686B79">
      <w:pPr>
        <w:pStyle w:val="FPCTextonormal"/>
        <w:spacing w:before="0" w:after="0"/>
        <w:rPr>
          <w:rFonts w:ascii="Times New Roman" w:hAnsi="Times New Roman"/>
        </w:rPr>
      </w:pPr>
    </w:p>
    <w:p w14:paraId="20133C4F" w14:textId="4FB49F24" w:rsidR="00686B79" w:rsidRDefault="006B4EAF" w:rsidP="00686B79">
      <w:pPr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Cultura, cultura popular e folclore</w:t>
      </w:r>
    </w:p>
    <w:p w14:paraId="1CFD6B28" w14:textId="5F4A0C2E" w:rsidR="00686B79" w:rsidRDefault="00686B79" w:rsidP="00686B79">
      <w:pPr>
        <w:pStyle w:val="FPCTextonormal"/>
        <w:spacing w:before="0" w:after="0"/>
        <w:rPr>
          <w:rFonts w:ascii="Times New Roman" w:hAnsi="Times New Roman"/>
        </w:rPr>
      </w:pPr>
    </w:p>
    <w:p w14:paraId="4B4ECB8A" w14:textId="77777777" w:rsidR="006B4EAF" w:rsidRDefault="006B4EAF" w:rsidP="006B4EAF">
      <w:pPr>
        <w:pStyle w:val="SemEspaamento"/>
        <w:ind w:firstLine="0"/>
      </w:pPr>
      <w:r>
        <w:t>Para começar o texto, é necessário distinguir a definição de cultura e cultura popular, termos importantes para o desenvolvimento dessa pesquisa. Segundo o pesquisador e escritor José Luiz dos Santos, cultura representa a humanidade como um todo, ao mesmo tempo que representa determinados povos e grupos humanos.</w:t>
      </w:r>
    </w:p>
    <w:p w14:paraId="28E3579C" w14:textId="77777777" w:rsidR="006B4EAF" w:rsidRDefault="006B4EAF" w:rsidP="006B4EAF">
      <w:pPr>
        <w:pStyle w:val="SemEspaamento"/>
        <w:ind w:firstLine="0"/>
      </w:pPr>
      <w:r>
        <w:tab/>
        <w:t xml:space="preserve">A cultura deve ser considerada como parte da existência humana, estando envolvida diretamente ao contexto histórico de um grupo, sendo parte também do </w:t>
      </w:r>
      <w:r>
        <w:lastRenderedPageBreak/>
        <w:t>processo histórico constante presente em qualquer sociedade. Ela está relacionada a vida da sociedade até sem ser praticada diretamente, por transparecer no indivíduo na forma de agir, pensar ou falar a cultura presente no ambiente aonde o cidadão reside ou nasceu.</w:t>
      </w:r>
    </w:p>
    <w:p w14:paraId="34A4B36B" w14:textId="77777777" w:rsidR="006B4EAF" w:rsidRDefault="006B4EAF" w:rsidP="006B4EAF">
      <w:pPr>
        <w:pStyle w:val="SemEspaamento"/>
        <w:ind w:firstLine="0"/>
      </w:pPr>
      <w:r>
        <w:tab/>
        <w:t>A palavra cultura possui amplo significado, podendo ter diversos conceitos para o termo. No dicionário Michaelis, o termo “cultura” possui nove significados diferentes, sendo quatro relacionados a agricultura, um a biologia, um a antropologia e outros três apenas com as definições. O que mais se destaca no contexto desse estudo é a sétima definição, onde cultura é definida como um conjunto de costumes, formas de agir, de comportamento, crenças, conhecimentos que são desenvolvidos e transmitidos de forma social, assim definindo um determinado grupo social. A oitava definição também tem caráter importante, pois diz que é um conjunto de conhecimentos que são adquiridos e que estão relacionados diretamente ao desenvolvimento intelectual do indivíduo.</w:t>
      </w:r>
    </w:p>
    <w:p w14:paraId="2D83EF1B" w14:textId="77777777" w:rsidR="006B4EAF" w:rsidRDefault="006B4EAF" w:rsidP="006B4EAF">
      <w:pPr>
        <w:pStyle w:val="SemEspaamento"/>
        <w:ind w:firstLine="0"/>
      </w:pPr>
      <w:r>
        <w:tab/>
        <w:t>Para Marx, o indivíduo humano é um produto social, sendo assim parte da sociedade. Por esse ponto, Marx afirma que o indivíduo acaba se transformando em uma construção de diversos sistemas de significados que molda a personalidade do mesmo. O indivíduo é resultado do desenvolvimento histórico.</w:t>
      </w:r>
    </w:p>
    <w:p w14:paraId="3978B37A" w14:textId="77777777" w:rsidR="006B4EAF" w:rsidRDefault="006B4EAF" w:rsidP="006B4EAF">
      <w:pPr>
        <w:pStyle w:val="SemEspaamento"/>
        <w:ind w:firstLine="0"/>
      </w:pPr>
      <w:r>
        <w:tab/>
        <w:t>Já o termo cultura popular possui além de seu termo conhecido, um sentido negativo em certo ponto, sendo considerada como a concepção de duas camadas sociais distintas, elite e povo. A cultura popular, por muitas vezes, também é alvo de fortes repressões, principalmente em questões como os cultos de candomblé, por exemplo.</w:t>
      </w:r>
    </w:p>
    <w:p w14:paraId="668A32E6" w14:textId="77777777" w:rsidR="006B4EAF" w:rsidRDefault="006B4EAF" w:rsidP="006B4EAF">
      <w:pPr>
        <w:pStyle w:val="SemEspaamento"/>
        <w:ind w:firstLine="0"/>
      </w:pPr>
      <w:r>
        <w:tab/>
        <w:t>Segundo o documento gerado na 25° Conferência Geral da Unesco (1989)</w:t>
      </w:r>
    </w:p>
    <w:p w14:paraId="5ECF8AC1" w14:textId="0FA025F1" w:rsidR="006B4EAF" w:rsidRDefault="006B4EAF" w:rsidP="006B4EAF">
      <w:pPr>
        <w:pStyle w:val="Seo"/>
        <w:numPr>
          <w:ilvl w:val="0"/>
          <w:numId w:val="0"/>
        </w:numPr>
        <w:ind w:left="2268"/>
        <w:rPr>
          <w:b w:val="0"/>
          <w:bCs/>
        </w:rPr>
      </w:pPr>
      <w:r>
        <w:rPr>
          <w:b w:val="0"/>
          <w:bCs/>
        </w:rPr>
        <w:t>O</w:t>
      </w:r>
      <w:r w:rsidRPr="00DF4FBF">
        <w:rPr>
          <w:b w:val="0"/>
          <w:bCs/>
        </w:rPr>
        <w:t xml:space="preserve"> conjunto de criações que emanam de uma comunidade cultural, fundadas na tradição, expressas por um grupo ou por indivíduos e que reconhecidamente respondem às expectativas da comunidade enquanto expressões de sua identidade cultural e social: as normas e os valores se </w:t>
      </w:r>
      <w:proofErr w:type="spellStart"/>
      <w:r w:rsidRPr="00DF4FBF">
        <w:rPr>
          <w:b w:val="0"/>
          <w:bCs/>
        </w:rPr>
        <w:t>transmitem</w:t>
      </w:r>
      <w:proofErr w:type="spellEnd"/>
      <w:r w:rsidRPr="00DF4FBF">
        <w:rPr>
          <w:b w:val="0"/>
          <w:bCs/>
        </w:rPr>
        <w:t xml:space="preserve"> oralmente, por imitação ou de outras maneiras</w:t>
      </w:r>
      <w:r>
        <w:rPr>
          <w:b w:val="0"/>
          <w:bCs/>
        </w:rPr>
        <w:t>.</w:t>
      </w:r>
      <w:r w:rsidR="00A14D41">
        <w:rPr>
          <w:b w:val="0"/>
          <w:bCs/>
        </w:rPr>
        <w:t xml:space="preserve"> (UNESCO, 1989)</w:t>
      </w:r>
    </w:p>
    <w:p w14:paraId="5B0AE8DA" w14:textId="77777777" w:rsidR="006B4EAF" w:rsidRDefault="006B4EAF" w:rsidP="006B4EAF">
      <w:pPr>
        <w:pStyle w:val="SemEspaamento"/>
        <w:ind w:firstLine="0"/>
      </w:pPr>
      <w:r>
        <w:t xml:space="preserve"> </w:t>
      </w:r>
      <w:r>
        <w:tab/>
        <w:t>A cultura popular vai além da mídia, podendo ser parte do contexto histórico e econômico de um espaço, sendo parte da tradição de um local e relacionado diretamente com o folclore. Pela definição do extinto Ministério da Cultura, a cultura popular não estaria a serviço do sucesso oferecido pela mídia, e nem necessitaria dessa veiculação, pois essas manifestações artísticas possuem como propósito maior a celebração.</w:t>
      </w:r>
    </w:p>
    <w:p w14:paraId="4C93CBC3" w14:textId="77777777" w:rsidR="006B4EAF" w:rsidRDefault="006B4EAF" w:rsidP="006B4EAF">
      <w:pPr>
        <w:pStyle w:val="SemEspaamento"/>
        <w:ind w:firstLine="0"/>
      </w:pPr>
      <w:r>
        <w:tab/>
        <w:t>A questão da cultura popular costuma estar relacionada à ausência de margem para inovação, fundamentando-se na preservação de uma tradição em si. No entanto isso varia, há grupos que mantém a tradição à risca e outros que fazem adaptações de determinada cultura popular se mantendo no estilo definido. Segundo o próprio artista e músico importante da cultura popular, Antônio Nóbrega, é importante inovar, mesmo dentro de uma tradição.</w:t>
      </w:r>
    </w:p>
    <w:p w14:paraId="5CFCC623" w14:textId="5ED49C1E" w:rsidR="006B4EAF" w:rsidRDefault="006B4EAF" w:rsidP="006B4EAF">
      <w:pPr>
        <w:pStyle w:val="SemEspaamento"/>
        <w:ind w:firstLine="0"/>
      </w:pPr>
      <w:r>
        <w:tab/>
        <w:t>O folclore que está diretamente relacionado a cultura popular segundo Xavier</w:t>
      </w:r>
      <w:r w:rsidR="00A14D41">
        <w:t xml:space="preserve">, folclore consiste em um conjunto de definições que faz parte da vida de um povo, mas </w:t>
      </w:r>
      <w:r w:rsidR="00A14D41">
        <w:lastRenderedPageBreak/>
        <w:t>não foi ensinado. A palavra é originária</w:t>
      </w:r>
      <w:r>
        <w:t xml:space="preserve"> do neologismo inglês “</w:t>
      </w:r>
      <w:proofErr w:type="spellStart"/>
      <w:r>
        <w:t>Folk-Lore</w:t>
      </w:r>
      <w:proofErr w:type="spellEnd"/>
      <w:r>
        <w:t xml:space="preserve">” que </w:t>
      </w:r>
      <w:r w:rsidR="00A14D41">
        <w:t>significa</w:t>
      </w:r>
      <w:r>
        <w:t xml:space="preserve"> saber do povo, termo definido pelo inglês </w:t>
      </w:r>
      <w:proofErr w:type="spellStart"/>
      <w:r>
        <w:t>Willien</w:t>
      </w:r>
      <w:proofErr w:type="spellEnd"/>
      <w:r>
        <w:t xml:space="preserve"> </w:t>
      </w:r>
      <w:proofErr w:type="spellStart"/>
      <w:r>
        <w:t>Juhn</w:t>
      </w:r>
      <w:proofErr w:type="spellEnd"/>
      <w:r>
        <w:t xml:space="preserve"> </w:t>
      </w:r>
      <w:proofErr w:type="spellStart"/>
      <w:r>
        <w:t>Thoms</w:t>
      </w:r>
      <w:proofErr w:type="spellEnd"/>
      <w:r>
        <w:t xml:space="preserve"> em 1846 </w:t>
      </w:r>
      <w:r w:rsidR="00A14D41">
        <w:t>representando</w:t>
      </w:r>
      <w:r>
        <w:t xml:space="preserve"> um campo de estudos acerca da literatura popular.</w:t>
      </w:r>
    </w:p>
    <w:p w14:paraId="684A25CC" w14:textId="77777777" w:rsidR="006B4EAF" w:rsidRDefault="006B4EAF" w:rsidP="006B4EAF">
      <w:pPr>
        <w:pStyle w:val="SemEspaamento"/>
        <w:ind w:firstLine="0"/>
      </w:pPr>
      <w:r>
        <w:tab/>
        <w:t>Segundo Houaiss</w:t>
      </w:r>
    </w:p>
    <w:p w14:paraId="7F98F153" w14:textId="77777777" w:rsidR="006B4EAF" w:rsidRDefault="006B4EAF" w:rsidP="006B4EAF">
      <w:pPr>
        <w:pStyle w:val="Seo"/>
        <w:numPr>
          <w:ilvl w:val="0"/>
          <w:numId w:val="0"/>
        </w:numPr>
        <w:ind w:left="2268"/>
        <w:rPr>
          <w:b w:val="0"/>
          <w:bCs/>
        </w:rPr>
      </w:pPr>
      <w:r>
        <w:rPr>
          <w:b w:val="0"/>
          <w:bCs/>
        </w:rPr>
        <w:t>Um conjunto de costumes, lendas, provérbios, manifestações artísticas, em geral, preservado através da tradição oral, por um povo ou um grupo populacional, cultura popular, ciências das tradições, dos usos e da arte popular de um país ou região.</w:t>
      </w:r>
    </w:p>
    <w:p w14:paraId="296F04C6" w14:textId="3E4C1A7D" w:rsidR="006B4EAF" w:rsidRDefault="006B4EAF" w:rsidP="006B4EAF">
      <w:pPr>
        <w:pStyle w:val="SemEspaamento"/>
        <w:ind w:firstLine="0"/>
      </w:pPr>
      <w:r>
        <w:tab/>
        <w:t>No documento da Organização Mundial da Propriedade Intelectual (OMPI), uma das agências especializadas da ONU, datado de 2001, o termo folclore é definido como equivalente à expressão cultura tradicional. Para a Convenção da Unesco feita em 2003, a expressão patrimônio cultural imaterial equivale à expressão cultura tradicional.</w:t>
      </w:r>
    </w:p>
    <w:p w14:paraId="08A0F0C6" w14:textId="21419AB9" w:rsidR="006B4EAF" w:rsidRDefault="006B4EAF" w:rsidP="006B4EAF">
      <w:pPr>
        <w:pStyle w:val="SemEspaamento"/>
        <w:ind w:firstLine="0"/>
      </w:pPr>
    </w:p>
    <w:p w14:paraId="6B4E6305" w14:textId="5EE647F4" w:rsidR="006B4EAF" w:rsidRPr="006B4EAF" w:rsidRDefault="006B4EAF" w:rsidP="006B4EAF">
      <w:pPr>
        <w:pStyle w:val="PargrafodaLista"/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Os bonecos gigantes de Olinda</w:t>
      </w:r>
    </w:p>
    <w:p w14:paraId="39399740" w14:textId="77777777" w:rsidR="006B4EAF" w:rsidRDefault="006B4EAF" w:rsidP="006B4EAF">
      <w:pPr>
        <w:pStyle w:val="FPCTextonormal"/>
        <w:spacing w:before="0" w:after="0"/>
        <w:rPr>
          <w:rFonts w:ascii="Times New Roman" w:hAnsi="Times New Roman"/>
        </w:rPr>
      </w:pPr>
    </w:p>
    <w:p w14:paraId="4CEF6C3B" w14:textId="77777777" w:rsidR="006B4EAF" w:rsidRDefault="006B4EAF" w:rsidP="006B4EAF">
      <w:pPr>
        <w:pStyle w:val="SemEspaamento"/>
      </w:pPr>
      <w:r>
        <w:t>A cidade pernambucana de Olinda, localizada a seis quilômetros da capital de Pernambuco, Recife, possui vasta pluralidade cultural em sua história. Considerada como Patrimônio Cultural da Humanidade pela Unesco, a cidade possui forte influência para a cultura do país, tendo um dos carnavais mais famosos do país, sendo origem de diversos grupos de maracatu, de apresentações de frevos e principalmente, dos bonecos gigantes, que além de um importante movimento cultural, possui caráter também religioso em suas apresentações.</w:t>
      </w:r>
    </w:p>
    <w:p w14:paraId="1817EEB3" w14:textId="77777777" w:rsidR="006B4EAF" w:rsidRDefault="006B4EAF" w:rsidP="006B4EAF">
      <w:pPr>
        <w:pStyle w:val="SemEspaamento"/>
      </w:pPr>
      <w:r>
        <w:t>Os bonecos gigantes, que fazem parte da história da cidade, são famosos não só no Brasil como também no mundo por retratar de forma fiel personagens e artistas famosos, tendo bonecos de artistas como Lenine, Luiz Gonzaga, Galvão Bueno, Walter Casagrande, entre outros. Sendo que alguns bonecos chegam a pesar cerca de sessenta quilos. O boneco mais famoso de Olinda é o Homem da Meia-Noite, que possui tamanha importância para a cultura da cidade, tendo ganho o título de Patrimônio Vivo do estado de Pernambuco em 2006.</w:t>
      </w:r>
    </w:p>
    <w:p w14:paraId="692D111B" w14:textId="77777777" w:rsidR="006B4EAF" w:rsidRDefault="006B4EAF" w:rsidP="006B4EAF">
      <w:pPr>
        <w:pStyle w:val="SemEspaamento"/>
      </w:pPr>
      <w:r>
        <w:t xml:space="preserve">Uma das formas de produção dos bonecos consiste em desenvolver a escultura da cabeça e do corpo em isopor ou argila, tendo o corpo sendo desenvolvido geralmente revestido de fibra de vidro e resina, em seguida revestir essa escultura com papel empastelado, ao secar, pintar com tinta </w:t>
      </w:r>
      <w:proofErr w:type="spellStart"/>
      <w:r>
        <w:t>latex</w:t>
      </w:r>
      <w:proofErr w:type="spellEnd"/>
      <w:r>
        <w:t xml:space="preserve"> branca. Após a criação dessa estrutura, o corpo tem a parte que seria pele pintado, é adicionado os cabelos, que variam entre fios de </w:t>
      </w:r>
      <w:proofErr w:type="spellStart"/>
      <w:r>
        <w:t>naylon</w:t>
      </w:r>
      <w:proofErr w:type="spellEnd"/>
      <w:r>
        <w:t xml:space="preserve"> ou massa acrílica e o rosto é desenhado. Os braços são feitos de pano e flocos de isopor ou serragem para que evite o atrito com o público durante o desfile, tendo em vista que são partes dos bonecos que ficam mais soltas. Quando o boneco é baseado em alguma figura real, os artistas costumam colocar uma foto da pessoa do lado do boneco para que fique mais fácil de reproduzir a feição do rosto no boneco.</w:t>
      </w:r>
    </w:p>
    <w:p w14:paraId="00F62EFA" w14:textId="77777777" w:rsidR="006B4EAF" w:rsidRDefault="006B4EAF" w:rsidP="006B4EAF">
      <w:pPr>
        <w:pStyle w:val="SemEspaamento"/>
      </w:pPr>
      <w:r>
        <w:t xml:space="preserve">Um boneco tem a produção com duração em média de um mês, devido a várias etapas necessárias e costumam variar o peso. Um dos artesões principais de Olinda, Sílvio Botelho, conta que, em período de </w:t>
      </w:r>
      <w:proofErr w:type="spellStart"/>
      <w:r>
        <w:t>pré</w:t>
      </w:r>
      <w:proofErr w:type="spellEnd"/>
      <w:r>
        <w:t xml:space="preserve"> carnaval, o período de trabalho para </w:t>
      </w:r>
      <w:r>
        <w:lastRenderedPageBreak/>
        <w:t>produção dos bonecos chega à marca de dezoito horas de trabalho por dia para que todos os bonecos fiquem prontos a tempo.</w:t>
      </w:r>
    </w:p>
    <w:p w14:paraId="7F74CB16" w14:textId="77777777" w:rsidR="006B4EAF" w:rsidRDefault="006B4EAF" w:rsidP="006B4EAF">
      <w:pPr>
        <w:pStyle w:val="SemEspaamento"/>
      </w:pPr>
      <w:bookmarkStart w:id="2" w:name="_Hlk40442445"/>
      <w:r>
        <w:t>Em 2010, a produção de um boneco gigante personalizado poderia custar até quatro mil e quinhentos reais, com prazo variando entre quinze a quarenta dias para a produção completa do boneco feito por artistas plásticos reconhecidos na arte em Olinda.</w:t>
      </w:r>
    </w:p>
    <w:bookmarkEnd w:id="2"/>
    <w:p w14:paraId="36C23454" w14:textId="1F6B8A19" w:rsidR="006B4EAF" w:rsidRDefault="006B4EAF" w:rsidP="00686B79">
      <w:pPr>
        <w:pStyle w:val="FPCTextonormal"/>
        <w:spacing w:before="0" w:after="0"/>
        <w:rPr>
          <w:rFonts w:ascii="Times New Roman" w:hAnsi="Times New Roman"/>
        </w:rPr>
      </w:pPr>
    </w:p>
    <w:p w14:paraId="40ACEAFF" w14:textId="6DB2D8F2" w:rsidR="006B4EAF" w:rsidRPr="006B4EAF" w:rsidRDefault="006B4EAF" w:rsidP="006B4EAF">
      <w:pPr>
        <w:pStyle w:val="PargrafodaLista"/>
        <w:numPr>
          <w:ilvl w:val="1"/>
          <w:numId w:val="1"/>
        </w:numPr>
        <w:rPr>
          <w:b/>
          <w:sz w:val="24"/>
          <w:szCs w:val="24"/>
        </w:rPr>
      </w:pPr>
      <w:bookmarkStart w:id="3" w:name="_Hlk54301308"/>
      <w:r>
        <w:rPr>
          <w:b/>
          <w:sz w:val="24"/>
          <w:szCs w:val="24"/>
        </w:rPr>
        <w:t>O Clube de Alegoria e Crítica O Homem da Meia-Noite</w:t>
      </w:r>
    </w:p>
    <w:p w14:paraId="44BFFF25" w14:textId="77777777" w:rsidR="006B4EAF" w:rsidRDefault="006B4EAF" w:rsidP="006B4EAF">
      <w:pPr>
        <w:pStyle w:val="FPCTextonormal"/>
        <w:spacing w:before="0" w:after="0"/>
        <w:rPr>
          <w:rFonts w:ascii="Times New Roman" w:hAnsi="Times New Roman"/>
        </w:rPr>
      </w:pPr>
    </w:p>
    <w:p w14:paraId="161C94AD" w14:textId="77777777" w:rsidR="00173352" w:rsidRDefault="00173352" w:rsidP="00173352">
      <w:pPr>
        <w:pStyle w:val="SemEspaamento"/>
      </w:pPr>
      <w:r>
        <w:t xml:space="preserve">A história dos bonecos gigantes de Olinda, popularmente conhecidos como bonecões de Olinda, inicia-se em dezembro de 1931 </w:t>
      </w:r>
      <w:bookmarkEnd w:id="3"/>
      <w:r>
        <w:t>com o início do O Homem da Meia-Noite como uma dissidência da Troça Carnavalesca Mista Cariri Olindense, pelas mãos de Benedito Barbaça e Luciano de Queiroz que ficaram responsáveis pelo desenvolvimento do primeiro boneco do grupo.</w:t>
      </w:r>
    </w:p>
    <w:p w14:paraId="61806A64" w14:textId="77777777" w:rsidR="00173352" w:rsidRDefault="00173352" w:rsidP="00173352">
      <w:pPr>
        <w:pStyle w:val="SemEspaamento"/>
      </w:pPr>
      <w:r>
        <w:t>O boneco é considerado como calunga do carnaval, devido ao fato de carregar o título de entidade espiritual, tendo fortes ligações com os rituais tradicionais do candomblé. A calunga é considerado um elemento importante e sagrado para o candomblé em Pernambuco, sendo figura central em cortejos. Normalmente feita de madeira, simboliza uma entidade e está presente em todos os grupos de maracatu, fazendo parte principalmente do Maracatu Nação.</w:t>
      </w:r>
    </w:p>
    <w:p w14:paraId="167E6B5A" w14:textId="77777777" w:rsidR="00173352" w:rsidRDefault="00173352" w:rsidP="00173352">
      <w:pPr>
        <w:pStyle w:val="SemEspaamento"/>
      </w:pPr>
      <w:r>
        <w:t>O calunga original tinha peso superior aos cinquenta e cinco quilos, tendo armação de madeira e papel gomado em sua composição e necessitou com o tempo passar por uma reforma para que facilitasse para o carregador, também chamado de chapeado, devido ao alto peso que a estrutura possuía. Atualmente, o calunga possui 49,5 quilos e quatro metros e meio de altura.</w:t>
      </w:r>
    </w:p>
    <w:p w14:paraId="0AE91A30" w14:textId="77777777" w:rsidR="00173352" w:rsidRDefault="00173352" w:rsidP="00173352">
      <w:pPr>
        <w:pStyle w:val="SemEspaamento"/>
      </w:pPr>
      <w:r>
        <w:t>A história do personagem O Homem da Meia-Noite possui duas versões para a origem. Uma indica uma inspiração por parte do fundador Luciano Anacleto de Queiroz em cima do filme “O Ladrão da Meia Noite” que contava a história de um ladrão que saía sempre à meia noite para causar pânico na cidade. Nessa versão da história do calunga, diz que Luciano Anacleto resolveu homenagear o filme ao criar o personagem.</w:t>
      </w:r>
    </w:p>
    <w:p w14:paraId="2B9E69A6" w14:textId="77777777" w:rsidR="00173352" w:rsidRDefault="00173352" w:rsidP="00173352">
      <w:pPr>
        <w:pStyle w:val="SemEspaamento"/>
      </w:pPr>
      <w:r>
        <w:t xml:space="preserve">A outra versão da origem conta que o carpinteiro e fundador Benedito Barbaça costumava ver quando estava sentado na calçada da casa, um homem alto e forte que sempre passava usando chapéu preto e com um dente de ouro. Nessa versão também é dito que o horário é definido como meia noite por ser um horário carregado de mistérios e ser considerado a hora do medo, referente a lobisomem. Há também a versão de que a escolha da meia noite do Sábado de Zé Pereira seria para o clube sair antes do horário que iniciaria o carnaval </w:t>
      </w:r>
      <w:proofErr w:type="gramStart"/>
      <w:r>
        <w:t>de Cariri</w:t>
      </w:r>
      <w:proofErr w:type="gramEnd"/>
      <w:r>
        <w:t>, concorrente deles na época.</w:t>
      </w:r>
    </w:p>
    <w:p w14:paraId="7747C058" w14:textId="2CE69BDC" w:rsidR="00173352" w:rsidRDefault="00173352" w:rsidP="00173352">
      <w:pPr>
        <w:pStyle w:val="SemEspaamento"/>
      </w:pPr>
      <w:r>
        <w:t xml:space="preserve">Devido as raízes com teor religioso em meio a apresentação, aonde há varias coincidências e segredos que permeiam a criação do clube, a tradição permanece sendo a saída </w:t>
      </w:r>
      <w:proofErr w:type="spellStart"/>
      <w:r>
        <w:t>a</w:t>
      </w:r>
      <w:proofErr w:type="spellEnd"/>
      <w:r>
        <w:t xml:space="preserve"> meia noite todo ano, tendo a cada ano uma vestimenta nova confeccionada, e tendo o ritual de troca de vestimenta e </w:t>
      </w:r>
      <w:proofErr w:type="spellStart"/>
      <w:r>
        <w:t>pré</w:t>
      </w:r>
      <w:proofErr w:type="spellEnd"/>
      <w:r>
        <w:t xml:space="preserve"> desfile sendo um dos maiores mistérios até hoje do clube. Nesse ritual só pode participar a diretoria do clube e quem participou de todas as programações religiosas durante o ano que se passou </w:t>
      </w:r>
      <w:r>
        <w:lastRenderedPageBreak/>
        <w:t>para poder fazer parte desse momento. Quem não participa, também só pode tocar no calunga depois que ele está pronto.</w:t>
      </w:r>
    </w:p>
    <w:p w14:paraId="45BEB830" w14:textId="5794FED7" w:rsidR="006B4EAF" w:rsidRDefault="006B4EAF" w:rsidP="00686B79">
      <w:pPr>
        <w:pStyle w:val="FPCTextonormal"/>
        <w:spacing w:before="0" w:after="0"/>
      </w:pPr>
    </w:p>
    <w:p w14:paraId="46134F19" w14:textId="26173FB8" w:rsidR="00173352" w:rsidRPr="006B4EAF" w:rsidRDefault="00173352" w:rsidP="00173352">
      <w:pPr>
        <w:pStyle w:val="PargrafodaLista"/>
        <w:numPr>
          <w:ilvl w:val="1"/>
          <w:numId w:val="1"/>
        </w:numPr>
        <w:rPr>
          <w:b/>
          <w:sz w:val="24"/>
          <w:szCs w:val="24"/>
        </w:rPr>
      </w:pPr>
      <w:bookmarkStart w:id="4" w:name="_Hlk54301478"/>
      <w:r>
        <w:rPr>
          <w:b/>
          <w:sz w:val="24"/>
          <w:szCs w:val="24"/>
        </w:rPr>
        <w:t>A Troça Carnavalesca Mista Mulher do Dia e o casamento entre os bonecos Homem da Meia-Noite e Mulher do Dia</w:t>
      </w:r>
    </w:p>
    <w:p w14:paraId="6DCE3990" w14:textId="77777777" w:rsidR="00173352" w:rsidRDefault="00173352" w:rsidP="00173352">
      <w:pPr>
        <w:pStyle w:val="FPCTextonormal"/>
        <w:spacing w:before="0" w:after="0"/>
        <w:rPr>
          <w:rFonts w:ascii="Times New Roman" w:hAnsi="Times New Roman"/>
        </w:rPr>
      </w:pPr>
    </w:p>
    <w:p w14:paraId="627B383A" w14:textId="77777777" w:rsidR="00173352" w:rsidRDefault="00173352" w:rsidP="00173352">
      <w:pPr>
        <w:pStyle w:val="SemEspaamento"/>
      </w:pPr>
      <w:r>
        <w:t xml:space="preserve">Datada de 1967, a personagem Mulher do Dia foi criada pela Troça Carnavalesca Mista Mulher do Dia para que </w:t>
      </w:r>
      <w:bookmarkEnd w:id="4"/>
      <w:r>
        <w:t>fizesse companhia ao calunga O Homem da Meia-Noite. Chamado pelos moradores de Mona Lisa de Olinda devido a inspiração em Leonardo Da Vinci em sua composição, a personagem possui as cores amarelo e azul, fazendo alusão e homenagem aos orixás Iemanjá e Oxum do candomblé.</w:t>
      </w:r>
    </w:p>
    <w:p w14:paraId="2C290168" w14:textId="77777777" w:rsidR="00173352" w:rsidRDefault="00173352" w:rsidP="00173352">
      <w:pPr>
        <w:pStyle w:val="SemEspaamento"/>
      </w:pPr>
      <w:r>
        <w:t>Dessa união de personagens, originou-se outros personagens como a Menina da Tarde em 1977 e o Menino da Tarde, boneco gigante que marcou a estreia do bonequeiro e artesão Silvio Botelho no ramo da produção e criação de bonecos no ano de 1974.</w:t>
      </w:r>
    </w:p>
    <w:p w14:paraId="035223F2" w14:textId="549E34AD" w:rsidR="00173352" w:rsidRDefault="00173352" w:rsidP="00686B79">
      <w:pPr>
        <w:pStyle w:val="FPCTextonormal"/>
        <w:spacing w:before="0" w:after="0"/>
        <w:rPr>
          <w:rFonts w:ascii="Times New Roman" w:hAnsi="Times New Roman"/>
        </w:rPr>
      </w:pPr>
    </w:p>
    <w:p w14:paraId="652993BF" w14:textId="576DF688" w:rsidR="00173352" w:rsidRDefault="00173352" w:rsidP="00173352">
      <w:pPr>
        <w:pStyle w:val="SemEspaamento"/>
        <w:ind w:firstLine="0"/>
        <w:jc w:val="center"/>
        <w:rPr>
          <w:sz w:val="20"/>
        </w:rPr>
      </w:pPr>
      <w:r>
        <w:rPr>
          <w:b/>
          <w:sz w:val="20"/>
        </w:rPr>
        <w:t xml:space="preserve">Figura 2 – </w:t>
      </w:r>
      <w:r>
        <w:rPr>
          <w:sz w:val="20"/>
        </w:rPr>
        <w:t xml:space="preserve">Casamento do Homem da Meia Noite com a Mulher do Dia na Praça do Carmo, em Olinda. </w:t>
      </w:r>
    </w:p>
    <w:p w14:paraId="67483033" w14:textId="77777777" w:rsidR="00173352" w:rsidRPr="00E97BBC" w:rsidRDefault="00173352" w:rsidP="00173352">
      <w:pPr>
        <w:pStyle w:val="SemEspaamento"/>
        <w:ind w:firstLine="0"/>
        <w:jc w:val="center"/>
        <w:rPr>
          <w:sz w:val="20"/>
        </w:rPr>
      </w:pPr>
    </w:p>
    <w:p w14:paraId="071604A5" w14:textId="77777777" w:rsidR="00173352" w:rsidRDefault="00173352" w:rsidP="00173352">
      <w:pPr>
        <w:pStyle w:val="SemEspaamento"/>
      </w:pPr>
      <w:r w:rsidRPr="00E97BBC">
        <w:rPr>
          <w:noProof/>
        </w:rPr>
        <w:drawing>
          <wp:inline distT="0" distB="0" distL="0" distR="0" wp14:anchorId="537F7346" wp14:editId="5B762F5A">
            <wp:extent cx="4729655" cy="29718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1263" cy="297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D30C3" w14:textId="77777777" w:rsidR="00173352" w:rsidRDefault="00173352" w:rsidP="00173352">
      <w:pPr>
        <w:pStyle w:val="SemEspaamento"/>
        <w:ind w:firstLine="0"/>
        <w:jc w:val="center"/>
        <w:rPr>
          <w:b/>
          <w:sz w:val="20"/>
        </w:rPr>
      </w:pPr>
    </w:p>
    <w:p w14:paraId="72BCE3E3" w14:textId="3097AFBA" w:rsidR="00173352" w:rsidRPr="00E97BBC" w:rsidRDefault="00173352" w:rsidP="00173352">
      <w:pPr>
        <w:pStyle w:val="SemEspaamento"/>
        <w:ind w:firstLine="0"/>
        <w:jc w:val="center"/>
        <w:rPr>
          <w:sz w:val="20"/>
        </w:rPr>
      </w:pPr>
      <w:r>
        <w:rPr>
          <w:b/>
          <w:sz w:val="20"/>
        </w:rPr>
        <w:t xml:space="preserve">Fonte: </w:t>
      </w:r>
      <w:r>
        <w:rPr>
          <w:sz w:val="20"/>
        </w:rPr>
        <w:t>Pedro Leal (1990)</w:t>
      </w:r>
    </w:p>
    <w:p w14:paraId="5457B51A" w14:textId="2DE78043" w:rsidR="00173352" w:rsidRDefault="00173352" w:rsidP="00686B79">
      <w:pPr>
        <w:pStyle w:val="FPCTextonormal"/>
        <w:spacing w:before="0" w:after="0"/>
        <w:rPr>
          <w:rFonts w:ascii="Times New Roman" w:hAnsi="Times New Roman"/>
        </w:rPr>
      </w:pPr>
    </w:p>
    <w:p w14:paraId="7CAA2F0F" w14:textId="77777777" w:rsidR="00173352" w:rsidRDefault="00173352" w:rsidP="00173352">
      <w:pPr>
        <w:pStyle w:val="SemEspaamento"/>
      </w:pPr>
      <w:r>
        <w:t xml:space="preserve">Uma das datas mais importantes de toda a história dos bonecos gigantes de Olinda ocorreu no ano de 1990 em fevereiro, quando aconteceu um cortejo pelas ruas de Olinda para realizar o casamento entre os dois personagens. A ideia de realizar um casório entre os personagens surgiu da necessidade de trazer mais vida para os personagens que estavam ficando estagnados no carnaval da cidade e a organização </w:t>
      </w:r>
      <w:r>
        <w:lastRenderedPageBreak/>
        <w:t>do Clube de Alegoria e Crítica O Homem da Meia Noite viu que seria a melhor forma de criar algo que gerasse grande apelo público.</w:t>
      </w:r>
    </w:p>
    <w:p w14:paraId="27DC4085" w14:textId="77777777" w:rsidR="00173352" w:rsidRDefault="00173352" w:rsidP="00173352">
      <w:pPr>
        <w:pStyle w:val="SemEspaamento"/>
      </w:pPr>
      <w:r>
        <w:t xml:space="preserve">Segundo o artesão Sílvio Botelho, houve negativa pro parte do presidente da Troça Carnavalesca Mista Mulher do dia na época, Israel Pereira da Costa, que só aceitou que fizessem a cerimônia quando foi dito que seria uma grande festa, mas que seria uma cerimônia fictícia. Apesar da participação até da prefeitura na produção do evento marcante, o padre não aprovou, por isso eles utilizaram do boneco gigante Parou Por Quê como juiz do casamento, além da participação do boneco Demo, que tinha como objetivo tentar evitar o casamento, o Menino da Tarde e a Menina da Tarde que seriam o pajem e a dama de honra, e a boneca </w:t>
      </w:r>
      <w:proofErr w:type="spellStart"/>
      <w:r>
        <w:t>Zeu</w:t>
      </w:r>
      <w:proofErr w:type="spellEnd"/>
      <w:r>
        <w:t xml:space="preserve"> que tinha como objetivo dizer que possuía um caso com o calunga.</w:t>
      </w:r>
    </w:p>
    <w:p w14:paraId="47A401B6" w14:textId="77777777" w:rsidR="00173352" w:rsidRDefault="00173352" w:rsidP="00173352">
      <w:pPr>
        <w:pStyle w:val="SemEspaamento"/>
      </w:pPr>
      <w:r>
        <w:t>O evento lotou as ruas de Olinda e marcou o início de uma nova tradição, em que em todos os carnavais na saída do Homem da Meia-Noite, a Mulher do Dia encontra com o boneco e depois o desfile continua enquanto a Mulher do Dia fica para descansar no aguardo do dia oficial dela que é no domingo de carnaval.</w:t>
      </w:r>
    </w:p>
    <w:p w14:paraId="25305DBD" w14:textId="3C068F5E" w:rsidR="00173352" w:rsidRDefault="00173352" w:rsidP="00686B79">
      <w:pPr>
        <w:pStyle w:val="FPCTextonormal"/>
        <w:spacing w:before="0" w:after="0"/>
        <w:rPr>
          <w:rFonts w:ascii="Times New Roman" w:hAnsi="Times New Roman"/>
        </w:rPr>
      </w:pPr>
    </w:p>
    <w:p w14:paraId="5826EE1E" w14:textId="21CCA429" w:rsidR="00173352" w:rsidRPr="006B4EAF" w:rsidRDefault="00173352" w:rsidP="00173352">
      <w:pPr>
        <w:pStyle w:val="PargrafodaLista"/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 influência dos bonecos gigantes no cenário sociocultural e econômico</w:t>
      </w:r>
    </w:p>
    <w:p w14:paraId="6889D46E" w14:textId="77777777" w:rsidR="00173352" w:rsidRDefault="00173352" w:rsidP="00173352">
      <w:pPr>
        <w:pStyle w:val="FPCTextonormal"/>
        <w:spacing w:before="0" w:after="0"/>
        <w:rPr>
          <w:rFonts w:ascii="Times New Roman" w:hAnsi="Times New Roman"/>
        </w:rPr>
      </w:pPr>
    </w:p>
    <w:p w14:paraId="7224F903" w14:textId="77777777" w:rsidR="00173352" w:rsidRDefault="00173352" w:rsidP="00173352">
      <w:pPr>
        <w:pStyle w:val="SemEspaamento"/>
        <w:ind w:firstLine="708"/>
      </w:pPr>
      <w:r>
        <w:t>Os bonecos gigantes de Olinda e principalmente o calunga O Homem da Meia Noite são parte, não só da cultura da cidade, como da cultura do estado e do país, possuindo grande influência para o reconhecimento da cidade por todo o país e até para o mundo.</w:t>
      </w:r>
    </w:p>
    <w:p w14:paraId="0F71E0BA" w14:textId="77777777" w:rsidR="00173352" w:rsidRDefault="00173352" w:rsidP="00173352">
      <w:pPr>
        <w:pStyle w:val="SemEspaamento"/>
        <w:ind w:firstLine="0"/>
      </w:pPr>
      <w:r>
        <w:tab/>
        <w:t>Com o reconhecimento, há o retorno financeiro. Em relação a 2019, o público aumentou no carnaval de 2020, atraindo mais de 3,6 milhões de foliões, segundo a prefeitura. Todo esse público movimentou um total de duzentos e noventa e cinco milhões de reais, gerando um faturamento com cinco milhões de reais a mais do que o ano passado. Além disso, mais de quatrocentos mil estrangeiros estiveram na cidade nesse período, com ocupação de noventa e oito porcento da rede hoteleira da cidade e mais de cem mil empregos diretos e indiretos gerados.</w:t>
      </w:r>
    </w:p>
    <w:p w14:paraId="1EC70422" w14:textId="77777777" w:rsidR="00173352" w:rsidRDefault="00173352" w:rsidP="00173352">
      <w:pPr>
        <w:pStyle w:val="SemEspaamento"/>
        <w:ind w:firstLine="0"/>
      </w:pPr>
      <w:r>
        <w:tab/>
        <w:t>Todos esses fatores transformam Olinda em um dos principais polos carnavalescos e culturais do Brasil, fazendo com que os bonecões sejam reconhecidos mundialmente, apesar da arte dos bonecos gigantes não ser exclusiva de Olinda e nem só do Recife, a principal cidade relacionada a essa arte, é a cidade pernambucana.</w:t>
      </w:r>
    </w:p>
    <w:p w14:paraId="53F6478B" w14:textId="77777777" w:rsidR="00173352" w:rsidRDefault="00173352" w:rsidP="00173352">
      <w:pPr>
        <w:pStyle w:val="SemEspaamento"/>
        <w:ind w:firstLine="0"/>
      </w:pPr>
      <w:r>
        <w:tab/>
        <w:t>Com o frevo, o maracatu e os bonecos gigantes como principais representações artísticas na cidade, o retorno financeiro da cidade com todas essas manifestações é relativamente alto e positivo, tendo em vista que a população da cidade segundo o censo de 2010 é de trezentos e setenta e sete mil e setecentos e setenta e nove mil habitantes. E cada vez mais, esses desfiles tendem a atrair mais gente e gerar mais renda para a cidade que ainda possui como ponto alto a proximidade com a capital do estado, Recife. Facilitando mais tanto na questão turística quanto na questão de capacidade da cidade de receber todo esse público.</w:t>
      </w:r>
    </w:p>
    <w:p w14:paraId="2A238C5E" w14:textId="77777777" w:rsidR="00173352" w:rsidRDefault="00173352" w:rsidP="00173352">
      <w:pPr>
        <w:pStyle w:val="SemEspaamento"/>
        <w:ind w:firstLine="0"/>
      </w:pPr>
      <w:r>
        <w:lastRenderedPageBreak/>
        <w:tab/>
        <w:t xml:space="preserve">Por fim, conclui-se que há grande influência dos bonecos gigantes para o contexto sociocultural e econômico da cidade de Olinda, tendo em vista todo lucro, toda a procura pelos bonecões que há e todo o público que acompanha essa arte. Mencionando também a questão histórica que é de ampla importância para uma arte que já faz parte da história da cidade desde 1932, tendo deixado de desfilar apenas entre 1950 e 1953 por questões financeiras. Sendo reconhecido até pela UNESCO, os bonecos gigantes e o calunga Homem da Meia-Noite </w:t>
      </w:r>
      <w:proofErr w:type="gramStart"/>
      <w:r>
        <w:t>figura</w:t>
      </w:r>
      <w:proofErr w:type="gramEnd"/>
      <w:r>
        <w:t xml:space="preserve"> entre uma das representações culturais do Brasil para o mundo.</w:t>
      </w:r>
    </w:p>
    <w:p w14:paraId="1F9CB25C" w14:textId="77777777" w:rsidR="00173352" w:rsidRPr="00074EB6" w:rsidRDefault="00173352" w:rsidP="00686B79">
      <w:pPr>
        <w:pStyle w:val="FPCTextonormal"/>
        <w:spacing w:before="0" w:after="0"/>
        <w:rPr>
          <w:rFonts w:ascii="Times New Roman" w:hAnsi="Times New Roman"/>
        </w:rPr>
      </w:pPr>
    </w:p>
    <w:p w14:paraId="4104A9CF" w14:textId="1075B047" w:rsidR="00686B79" w:rsidRDefault="00686B79" w:rsidP="00686B79">
      <w:pPr>
        <w:rPr>
          <w:b/>
          <w:sz w:val="24"/>
          <w:szCs w:val="24"/>
        </w:rPr>
      </w:pPr>
      <w:r>
        <w:rPr>
          <w:b/>
          <w:sz w:val="24"/>
          <w:szCs w:val="24"/>
        </w:rPr>
        <w:t>REFERÊNCIAS</w:t>
      </w:r>
    </w:p>
    <w:bookmarkEnd w:id="1"/>
    <w:p w14:paraId="7F077813" w14:textId="77777777" w:rsidR="00173352" w:rsidRDefault="00173352" w:rsidP="00173352">
      <w:pPr>
        <w:pStyle w:val="SemEspaamento"/>
        <w:ind w:firstLine="0"/>
        <w:rPr>
          <w:sz w:val="22"/>
          <w:szCs w:val="18"/>
        </w:rPr>
      </w:pPr>
    </w:p>
    <w:p w14:paraId="24C01AD7" w14:textId="0045562C" w:rsidR="00173352" w:rsidRPr="00173352" w:rsidRDefault="00173352" w:rsidP="00173352">
      <w:pPr>
        <w:pStyle w:val="SemEspaamento"/>
        <w:ind w:firstLine="0"/>
        <w:rPr>
          <w:sz w:val="22"/>
          <w:szCs w:val="18"/>
        </w:rPr>
      </w:pPr>
      <w:r w:rsidRPr="00173352">
        <w:rPr>
          <w:sz w:val="22"/>
          <w:szCs w:val="18"/>
        </w:rPr>
        <w:t>AMORIM, Maria Alice (2014</w:t>
      </w:r>
      <w:proofErr w:type="gramStart"/>
      <w:r w:rsidRPr="00173352">
        <w:rPr>
          <w:sz w:val="22"/>
          <w:szCs w:val="18"/>
        </w:rPr>
        <w:t>),  Patrimônios</w:t>
      </w:r>
      <w:proofErr w:type="gramEnd"/>
      <w:r w:rsidRPr="00173352">
        <w:rPr>
          <w:sz w:val="22"/>
          <w:szCs w:val="18"/>
        </w:rPr>
        <w:t xml:space="preserve"> Vivos de Pernambuco; 2. ed. rev. e </w:t>
      </w:r>
      <w:proofErr w:type="spellStart"/>
      <w:r w:rsidRPr="00173352">
        <w:rPr>
          <w:sz w:val="22"/>
          <w:szCs w:val="18"/>
        </w:rPr>
        <w:t>amp</w:t>
      </w:r>
      <w:proofErr w:type="spellEnd"/>
      <w:r w:rsidRPr="00173352">
        <w:rPr>
          <w:sz w:val="22"/>
          <w:szCs w:val="18"/>
        </w:rPr>
        <w:t xml:space="preserve"> – Recife: FUNDARPE</w:t>
      </w:r>
    </w:p>
    <w:p w14:paraId="78D26AB1" w14:textId="77777777" w:rsidR="00173352" w:rsidRPr="00173352" w:rsidRDefault="00173352" w:rsidP="00173352">
      <w:pPr>
        <w:pStyle w:val="SemEspaamento"/>
        <w:ind w:firstLine="0"/>
        <w:rPr>
          <w:sz w:val="22"/>
          <w:szCs w:val="18"/>
        </w:rPr>
      </w:pPr>
    </w:p>
    <w:p w14:paraId="3B53F82B" w14:textId="77777777" w:rsidR="00173352" w:rsidRPr="00173352" w:rsidRDefault="00173352" w:rsidP="00173352">
      <w:pPr>
        <w:pStyle w:val="SemEspaamento"/>
        <w:ind w:firstLine="0"/>
        <w:rPr>
          <w:sz w:val="22"/>
          <w:szCs w:val="18"/>
        </w:rPr>
      </w:pPr>
      <w:r w:rsidRPr="00173352">
        <w:rPr>
          <w:sz w:val="22"/>
          <w:szCs w:val="18"/>
        </w:rPr>
        <w:t>ARAÚJO, Raquel Dias et al. Concepção marxiana de trabalho e os desafios da atualidade. In: Vasconcelos, José Gerardo de. (</w:t>
      </w:r>
      <w:proofErr w:type="spellStart"/>
      <w:r w:rsidRPr="00173352">
        <w:rPr>
          <w:sz w:val="22"/>
          <w:szCs w:val="18"/>
        </w:rPr>
        <w:t>org</w:t>
      </w:r>
      <w:proofErr w:type="spellEnd"/>
      <w:r w:rsidRPr="00173352">
        <w:rPr>
          <w:sz w:val="22"/>
          <w:szCs w:val="18"/>
        </w:rPr>
        <w:t>). Cadernos da Pós-Graduação em Educação. Fortaleza: UFC 1998.</w:t>
      </w:r>
    </w:p>
    <w:p w14:paraId="1F646ACE" w14:textId="77777777" w:rsidR="00173352" w:rsidRPr="00173352" w:rsidRDefault="00173352" w:rsidP="00173352">
      <w:pPr>
        <w:pStyle w:val="SemEspaamento"/>
        <w:ind w:firstLine="0"/>
        <w:rPr>
          <w:sz w:val="22"/>
          <w:szCs w:val="18"/>
        </w:rPr>
      </w:pPr>
    </w:p>
    <w:p w14:paraId="6A622ADD" w14:textId="77777777" w:rsidR="00173352" w:rsidRPr="00173352" w:rsidRDefault="00173352" w:rsidP="00173352">
      <w:pPr>
        <w:pStyle w:val="SemEspaamento"/>
        <w:ind w:firstLine="0"/>
        <w:rPr>
          <w:sz w:val="22"/>
          <w:szCs w:val="18"/>
        </w:rPr>
      </w:pPr>
      <w:r w:rsidRPr="00173352">
        <w:rPr>
          <w:sz w:val="22"/>
          <w:szCs w:val="18"/>
        </w:rPr>
        <w:t xml:space="preserve">BRITO, Luísa. </w:t>
      </w:r>
      <w:proofErr w:type="gramStart"/>
      <w:r w:rsidRPr="00173352">
        <w:rPr>
          <w:sz w:val="22"/>
          <w:szCs w:val="18"/>
        </w:rPr>
        <w:t>http://g1.globo.com/Carnaval2010/0,,MUL1484125-17812,00.html Disponível</w:t>
      </w:r>
      <w:proofErr w:type="gramEnd"/>
      <w:r w:rsidRPr="00173352">
        <w:rPr>
          <w:sz w:val="22"/>
          <w:szCs w:val="18"/>
        </w:rPr>
        <w:t xml:space="preserve"> em 08 de mai.</w:t>
      </w:r>
    </w:p>
    <w:p w14:paraId="53134BCE" w14:textId="77777777" w:rsidR="00173352" w:rsidRPr="00173352" w:rsidRDefault="00173352" w:rsidP="00173352">
      <w:pPr>
        <w:pStyle w:val="SemEspaamento"/>
        <w:ind w:firstLine="0"/>
        <w:rPr>
          <w:sz w:val="22"/>
          <w:szCs w:val="18"/>
        </w:rPr>
      </w:pPr>
    </w:p>
    <w:p w14:paraId="265010C7" w14:textId="77777777" w:rsidR="00173352" w:rsidRPr="00173352" w:rsidRDefault="00173352" w:rsidP="00173352">
      <w:pPr>
        <w:pStyle w:val="SemEspaamento"/>
        <w:ind w:firstLine="0"/>
        <w:rPr>
          <w:sz w:val="22"/>
          <w:szCs w:val="18"/>
        </w:rPr>
      </w:pPr>
      <w:r w:rsidRPr="00173352">
        <w:rPr>
          <w:sz w:val="22"/>
          <w:szCs w:val="18"/>
        </w:rPr>
        <w:t xml:space="preserve">COSTA, Maria Elisabeth de Andrade. Cultura popular. In: REZENDE, Maria Beatriz; GRIECO, Bettina; TEIXEIRA, Luciano; THOMPSON, </w:t>
      </w:r>
      <w:proofErr w:type="spellStart"/>
      <w:r w:rsidRPr="00173352">
        <w:rPr>
          <w:sz w:val="22"/>
          <w:szCs w:val="18"/>
        </w:rPr>
        <w:t>Analucia</w:t>
      </w:r>
      <w:proofErr w:type="spellEnd"/>
      <w:r w:rsidRPr="00173352">
        <w:rPr>
          <w:sz w:val="22"/>
          <w:szCs w:val="18"/>
        </w:rPr>
        <w:t xml:space="preserve"> (</w:t>
      </w:r>
      <w:proofErr w:type="spellStart"/>
      <w:r w:rsidRPr="00173352">
        <w:rPr>
          <w:sz w:val="22"/>
          <w:szCs w:val="18"/>
        </w:rPr>
        <w:t>Orgs</w:t>
      </w:r>
      <w:proofErr w:type="spellEnd"/>
      <w:r w:rsidRPr="00173352">
        <w:rPr>
          <w:sz w:val="22"/>
          <w:szCs w:val="18"/>
        </w:rPr>
        <w:t>.). Dicionário IPHAN de Patrimônio Cultural. 1. ed. Rio de Janeiro, Brasília: IPHAN/DAF/</w:t>
      </w:r>
      <w:proofErr w:type="spellStart"/>
      <w:r w:rsidRPr="00173352">
        <w:rPr>
          <w:sz w:val="22"/>
          <w:szCs w:val="18"/>
        </w:rPr>
        <w:t>Copedoc</w:t>
      </w:r>
      <w:proofErr w:type="spellEnd"/>
      <w:r w:rsidRPr="00173352">
        <w:rPr>
          <w:sz w:val="22"/>
          <w:szCs w:val="18"/>
        </w:rPr>
        <w:t>, 2015. (verbete). ISBN 978-85-7334-279-6</w:t>
      </w:r>
    </w:p>
    <w:p w14:paraId="68A06E31" w14:textId="77777777" w:rsidR="00173352" w:rsidRPr="00173352" w:rsidRDefault="00173352" w:rsidP="00173352">
      <w:pPr>
        <w:pStyle w:val="SemEspaamento"/>
        <w:ind w:firstLine="0"/>
        <w:rPr>
          <w:sz w:val="22"/>
          <w:szCs w:val="18"/>
        </w:rPr>
      </w:pPr>
    </w:p>
    <w:p w14:paraId="6DB04E13" w14:textId="77777777" w:rsidR="00173352" w:rsidRPr="00173352" w:rsidRDefault="00173352" w:rsidP="00173352">
      <w:pPr>
        <w:pStyle w:val="SemEspaamento"/>
        <w:ind w:firstLine="0"/>
        <w:rPr>
          <w:sz w:val="22"/>
          <w:szCs w:val="18"/>
        </w:rPr>
      </w:pPr>
      <w:r w:rsidRPr="00173352">
        <w:rPr>
          <w:i/>
          <w:iCs/>
          <w:sz w:val="22"/>
          <w:szCs w:val="18"/>
        </w:rPr>
        <w:t>Dicionário Michaelis</w:t>
      </w:r>
      <w:r w:rsidRPr="00173352">
        <w:rPr>
          <w:sz w:val="22"/>
          <w:szCs w:val="18"/>
        </w:rPr>
        <w:t xml:space="preserve">. </w:t>
      </w:r>
      <w:proofErr w:type="gramStart"/>
      <w:r w:rsidRPr="00173352">
        <w:rPr>
          <w:sz w:val="22"/>
          <w:szCs w:val="18"/>
        </w:rPr>
        <w:t>http://michaelis.uol.com.br/busca?r=0&amp;f=0&amp;t=0&amp;palavra=cultura Disponível</w:t>
      </w:r>
      <w:proofErr w:type="gramEnd"/>
      <w:r w:rsidRPr="00173352">
        <w:rPr>
          <w:sz w:val="22"/>
          <w:szCs w:val="18"/>
        </w:rPr>
        <w:t xml:space="preserve"> em 12 de mai.</w:t>
      </w:r>
    </w:p>
    <w:p w14:paraId="1FB02DE8" w14:textId="77777777" w:rsidR="00173352" w:rsidRPr="00173352" w:rsidRDefault="00173352" w:rsidP="00173352">
      <w:pPr>
        <w:pStyle w:val="SemEspaamento"/>
        <w:ind w:firstLine="0"/>
        <w:rPr>
          <w:sz w:val="22"/>
          <w:szCs w:val="18"/>
        </w:rPr>
      </w:pPr>
    </w:p>
    <w:p w14:paraId="44DDF2A0" w14:textId="77777777" w:rsidR="00173352" w:rsidRPr="00173352" w:rsidRDefault="00173352" w:rsidP="00173352">
      <w:pPr>
        <w:pStyle w:val="SemEspaamento"/>
        <w:ind w:firstLine="0"/>
        <w:rPr>
          <w:i/>
          <w:iCs/>
          <w:sz w:val="22"/>
          <w:szCs w:val="18"/>
        </w:rPr>
      </w:pPr>
      <w:r w:rsidRPr="00173352">
        <w:rPr>
          <w:sz w:val="22"/>
          <w:szCs w:val="18"/>
        </w:rPr>
        <w:t xml:space="preserve">FILHO, Jorge Luiz Veloso da Silva. </w:t>
      </w:r>
      <w:r w:rsidRPr="00173352">
        <w:rPr>
          <w:i/>
          <w:iCs/>
          <w:sz w:val="22"/>
          <w:szCs w:val="18"/>
        </w:rPr>
        <w:t>“Lá Vem o Homem da Meia-Noite”: Tradição dos Bonecos Gigantes no Carnaval de Olinda.</w:t>
      </w:r>
      <w:r w:rsidRPr="00173352">
        <w:rPr>
          <w:sz w:val="22"/>
          <w:szCs w:val="18"/>
        </w:rPr>
        <w:t xml:space="preserve"> 2019.</w:t>
      </w:r>
    </w:p>
    <w:p w14:paraId="11B1B9B2" w14:textId="77777777" w:rsidR="00173352" w:rsidRPr="00173352" w:rsidRDefault="00173352" w:rsidP="00173352">
      <w:pPr>
        <w:pStyle w:val="SemEspaamento"/>
        <w:ind w:firstLine="0"/>
        <w:rPr>
          <w:sz w:val="22"/>
          <w:szCs w:val="18"/>
        </w:rPr>
      </w:pPr>
    </w:p>
    <w:p w14:paraId="6A2DA5C6" w14:textId="77777777" w:rsidR="00173352" w:rsidRPr="00173352" w:rsidRDefault="00173352" w:rsidP="00173352">
      <w:pPr>
        <w:pStyle w:val="SemEspaamento"/>
        <w:ind w:firstLine="0"/>
        <w:rPr>
          <w:sz w:val="22"/>
          <w:szCs w:val="18"/>
        </w:rPr>
      </w:pPr>
      <w:r w:rsidRPr="00173352">
        <w:rPr>
          <w:sz w:val="22"/>
          <w:szCs w:val="18"/>
        </w:rPr>
        <w:t xml:space="preserve">MORAES, </w:t>
      </w:r>
      <w:proofErr w:type="spellStart"/>
      <w:r w:rsidRPr="00173352">
        <w:rPr>
          <w:sz w:val="22"/>
          <w:szCs w:val="18"/>
        </w:rPr>
        <w:t>Katarina</w:t>
      </w:r>
      <w:proofErr w:type="spellEnd"/>
      <w:r w:rsidRPr="00173352">
        <w:rPr>
          <w:sz w:val="22"/>
          <w:szCs w:val="18"/>
        </w:rPr>
        <w:t xml:space="preserve">. </w:t>
      </w:r>
      <w:proofErr w:type="gramStart"/>
      <w:r w:rsidRPr="00173352">
        <w:rPr>
          <w:sz w:val="22"/>
          <w:szCs w:val="18"/>
        </w:rPr>
        <w:t>https://jc.ne10.uol.com.br/canal/cidades/jc-na-folia/noticia/2020/02/07/a-misticidade-que-envolve-o-homem-da-meia-noite-simbolo-do-carnaval-de-olinda-399289.php Disponível</w:t>
      </w:r>
      <w:proofErr w:type="gramEnd"/>
      <w:r w:rsidRPr="00173352">
        <w:rPr>
          <w:sz w:val="22"/>
          <w:szCs w:val="18"/>
        </w:rPr>
        <w:t xml:space="preserve"> em 10 de mai.</w:t>
      </w:r>
    </w:p>
    <w:p w14:paraId="743D7B09" w14:textId="77777777" w:rsidR="00173352" w:rsidRPr="00173352" w:rsidRDefault="00173352" w:rsidP="00173352">
      <w:pPr>
        <w:pStyle w:val="SemEspaamento"/>
        <w:ind w:firstLine="0"/>
        <w:rPr>
          <w:sz w:val="22"/>
          <w:szCs w:val="18"/>
        </w:rPr>
      </w:pPr>
    </w:p>
    <w:p w14:paraId="75A60DDD" w14:textId="77777777" w:rsidR="00173352" w:rsidRPr="00173352" w:rsidRDefault="00173352" w:rsidP="00173352">
      <w:pPr>
        <w:pStyle w:val="SemEspaamento"/>
        <w:ind w:firstLine="0"/>
        <w:rPr>
          <w:sz w:val="22"/>
          <w:szCs w:val="18"/>
        </w:rPr>
      </w:pPr>
      <w:r w:rsidRPr="00173352">
        <w:rPr>
          <w:sz w:val="22"/>
          <w:szCs w:val="18"/>
        </w:rPr>
        <w:t xml:space="preserve">NOTARO, Tatiana. </w:t>
      </w:r>
      <w:proofErr w:type="gramStart"/>
      <w:r w:rsidRPr="00173352">
        <w:rPr>
          <w:sz w:val="22"/>
          <w:szCs w:val="18"/>
        </w:rPr>
        <w:t>https://g1.globo.com/pe/pernambuco/carnaval/2020/noticia/2020/02/15/homem-da-meia-noite-e-mulher-do-dia-completam-bodas-de-perolas.ghtml Disponível</w:t>
      </w:r>
      <w:proofErr w:type="gramEnd"/>
      <w:r w:rsidRPr="00173352">
        <w:rPr>
          <w:sz w:val="22"/>
          <w:szCs w:val="18"/>
        </w:rPr>
        <w:t xml:space="preserve"> em 10 de mai.</w:t>
      </w:r>
    </w:p>
    <w:p w14:paraId="4482C32B" w14:textId="77777777" w:rsidR="00173352" w:rsidRPr="00173352" w:rsidRDefault="00173352" w:rsidP="00173352">
      <w:pPr>
        <w:pStyle w:val="SemEspaamento"/>
        <w:ind w:firstLine="0"/>
        <w:rPr>
          <w:sz w:val="22"/>
          <w:szCs w:val="18"/>
        </w:rPr>
      </w:pPr>
    </w:p>
    <w:p w14:paraId="67862D19" w14:textId="77777777" w:rsidR="00173352" w:rsidRPr="00173352" w:rsidRDefault="00173352" w:rsidP="00173352">
      <w:pPr>
        <w:pStyle w:val="SemEspaamento"/>
        <w:ind w:firstLine="0"/>
        <w:rPr>
          <w:sz w:val="22"/>
          <w:szCs w:val="18"/>
        </w:rPr>
      </w:pPr>
      <w:r w:rsidRPr="00173352">
        <w:rPr>
          <w:sz w:val="22"/>
          <w:szCs w:val="18"/>
        </w:rPr>
        <w:t>SANTOS, José Luiz dos. O que é cultura. 16ª ed. – São Paulo, SP: Brasiliense, 2003.</w:t>
      </w:r>
    </w:p>
    <w:p w14:paraId="217D082D" w14:textId="77777777" w:rsidR="00173352" w:rsidRPr="00173352" w:rsidRDefault="00173352" w:rsidP="00173352">
      <w:pPr>
        <w:pStyle w:val="SemEspaamento"/>
        <w:ind w:firstLine="0"/>
        <w:rPr>
          <w:sz w:val="22"/>
          <w:szCs w:val="18"/>
        </w:rPr>
      </w:pPr>
    </w:p>
    <w:p w14:paraId="54AF75FF" w14:textId="77777777" w:rsidR="00173352" w:rsidRPr="00173352" w:rsidRDefault="00173352" w:rsidP="00173352">
      <w:pPr>
        <w:pStyle w:val="SemEspaamento"/>
        <w:ind w:firstLine="0"/>
        <w:rPr>
          <w:sz w:val="22"/>
          <w:szCs w:val="18"/>
        </w:rPr>
      </w:pPr>
      <w:r w:rsidRPr="00173352">
        <w:rPr>
          <w:sz w:val="22"/>
          <w:szCs w:val="18"/>
        </w:rPr>
        <w:t xml:space="preserve">SIMÕES, Nicole. </w:t>
      </w:r>
      <w:proofErr w:type="gramStart"/>
      <w:r w:rsidRPr="00173352">
        <w:rPr>
          <w:sz w:val="22"/>
          <w:szCs w:val="18"/>
        </w:rPr>
        <w:t>https://carnaval.leiaja.com/noticias/2018/02/10/homem-da-meia-noite-o-mais-sagrado-e-misterioso-calunga Disponível</w:t>
      </w:r>
      <w:proofErr w:type="gramEnd"/>
      <w:r w:rsidRPr="00173352">
        <w:rPr>
          <w:sz w:val="22"/>
          <w:szCs w:val="18"/>
        </w:rPr>
        <w:t xml:space="preserve"> em 02 de mai.</w:t>
      </w:r>
    </w:p>
    <w:p w14:paraId="6A4E94B2" w14:textId="77777777" w:rsidR="00173352" w:rsidRPr="00173352" w:rsidRDefault="00173352" w:rsidP="00173352">
      <w:pPr>
        <w:pStyle w:val="SemEspaamento"/>
        <w:ind w:firstLine="0"/>
        <w:rPr>
          <w:sz w:val="22"/>
          <w:szCs w:val="18"/>
        </w:rPr>
      </w:pPr>
    </w:p>
    <w:p w14:paraId="63AB616E" w14:textId="77777777" w:rsidR="00173352" w:rsidRPr="00173352" w:rsidRDefault="00173352" w:rsidP="00173352">
      <w:pPr>
        <w:pStyle w:val="SemEspaamento"/>
        <w:ind w:firstLine="0"/>
        <w:rPr>
          <w:sz w:val="22"/>
          <w:szCs w:val="18"/>
        </w:rPr>
      </w:pPr>
      <w:r w:rsidRPr="00173352">
        <w:rPr>
          <w:sz w:val="22"/>
          <w:szCs w:val="18"/>
        </w:rPr>
        <w:lastRenderedPageBreak/>
        <w:t xml:space="preserve">VERÍSSIMO, Isabela. </w:t>
      </w:r>
      <w:proofErr w:type="gramStart"/>
      <w:r w:rsidRPr="00173352">
        <w:rPr>
          <w:sz w:val="22"/>
          <w:szCs w:val="18"/>
        </w:rPr>
        <w:t>https://g1.globo.com/pe/pernambuco/carnaval/2020/noticia/2020/02/27/carnaval-2020-em-olinda-atrai-36-milhoes-de-folioes.ghtml Disponível</w:t>
      </w:r>
      <w:proofErr w:type="gramEnd"/>
      <w:r w:rsidRPr="00173352">
        <w:rPr>
          <w:sz w:val="22"/>
          <w:szCs w:val="18"/>
        </w:rPr>
        <w:t xml:space="preserve"> em 10 de mai.</w:t>
      </w:r>
    </w:p>
    <w:p w14:paraId="1A5F76EF" w14:textId="77777777" w:rsidR="00154974" w:rsidRDefault="00A13AF8" w:rsidP="00686B79">
      <w:pPr>
        <w:pStyle w:val="NormalWeb"/>
        <w:shd w:val="clear" w:color="auto" w:fill="FFFFFF"/>
        <w:spacing w:before="0" w:beforeAutospacing="0" w:after="150" w:afterAutospacing="0" w:line="360" w:lineRule="auto"/>
        <w:jc w:val="center"/>
      </w:pPr>
    </w:p>
    <w:sectPr w:rsidR="00154974" w:rsidSect="00696317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524" w:right="1134" w:bottom="2127" w:left="1701" w:header="720" w:footer="121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F24B36" w14:textId="77777777" w:rsidR="00A13AF8" w:rsidRDefault="00A13AF8">
      <w:r>
        <w:separator/>
      </w:r>
    </w:p>
  </w:endnote>
  <w:endnote w:type="continuationSeparator" w:id="0">
    <w:p w14:paraId="04C050D9" w14:textId="77777777" w:rsidR="00A13AF8" w:rsidRDefault="00A13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96679" w14:textId="77777777" w:rsidR="00074EB6" w:rsidRDefault="00686B79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431D2957" w14:textId="77777777" w:rsidR="00074EB6" w:rsidRDefault="00A13AF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CFE04" w14:textId="77777777" w:rsidR="00B64552" w:rsidRPr="00BC7195" w:rsidRDefault="00292221">
    <w:pPr>
      <w:pStyle w:val="Rodap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262DB19" wp14:editId="057C2D78">
          <wp:simplePos x="0" y="0"/>
          <wp:positionH relativeFrom="margin">
            <wp:posOffset>1263015</wp:posOffset>
          </wp:positionH>
          <wp:positionV relativeFrom="margin">
            <wp:posOffset>8055610</wp:posOffset>
          </wp:positionV>
          <wp:extent cx="3714750" cy="959485"/>
          <wp:effectExtent l="0" t="0" r="0" b="0"/>
          <wp:wrapSquare wrapText="bothSides"/>
          <wp:docPr id="12" name="Imagem 12" descr="Descrição: http://i65.tinypic.com/dca82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http://i65.tinypic.com/dca82b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29"/>
                  <a:stretch/>
                </pic:blipFill>
                <pic:spPr bwMode="auto">
                  <a:xfrm>
                    <a:off x="0" y="0"/>
                    <a:ext cx="3714750" cy="959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B79">
      <w:rPr>
        <w:noProof/>
      </w:rPr>
      <w:drawing>
        <wp:anchor distT="0" distB="0" distL="114300" distR="114300" simplePos="0" relativeHeight="251659264" behindDoc="0" locked="0" layoutInCell="1" allowOverlap="1" wp14:anchorId="07E910D7" wp14:editId="1337BD15">
          <wp:simplePos x="0" y="0"/>
          <wp:positionH relativeFrom="margin">
            <wp:posOffset>-670560</wp:posOffset>
          </wp:positionH>
          <wp:positionV relativeFrom="margin">
            <wp:posOffset>8065135</wp:posOffset>
          </wp:positionV>
          <wp:extent cx="1356995" cy="959485"/>
          <wp:effectExtent l="0" t="0" r="0" b="0"/>
          <wp:wrapSquare wrapText="bothSides"/>
          <wp:docPr id="13" name="Imagem 13" descr="Descrição: http://i65.tinypic.com/dca82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http://i65.tinypic.com/dca82b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7941"/>
                  <a:stretch/>
                </pic:blipFill>
                <pic:spPr bwMode="auto">
                  <a:xfrm>
                    <a:off x="0" y="0"/>
                    <a:ext cx="135699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B7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5D9236" wp14:editId="0CBF1BAE">
              <wp:simplePos x="0" y="0"/>
              <wp:positionH relativeFrom="column">
                <wp:posOffset>974090</wp:posOffset>
              </wp:positionH>
              <wp:positionV relativeFrom="paragraph">
                <wp:posOffset>-202565</wp:posOffset>
              </wp:positionV>
              <wp:extent cx="2299970" cy="237490"/>
              <wp:effectExtent l="2540" t="0" r="1905" b="3175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9970" cy="237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A0FE57" w14:textId="77777777" w:rsidR="00E66B50" w:rsidRPr="001E0AF0" w:rsidRDefault="00686B79" w:rsidP="00E66B50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Apoio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C5D9236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76.7pt;margin-top:-15.95pt;width:181.1pt;height:18.7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" stroked="f">
              <v:textbox style="mso-fit-shape-to-text:t">
                <w:txbxContent>
                  <w:p w14:paraId="67A0FE57" w14:textId="77777777" w:rsidR="00E66B50" w:rsidRPr="001E0AF0" w:rsidRDefault="00686B79" w:rsidP="00E66B5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Apoio</w:t>
                    </w:r>
                  </w:p>
                </w:txbxContent>
              </v:textbox>
            </v:shape>
          </w:pict>
        </mc:Fallback>
      </mc:AlternateContent>
    </w:r>
    <w:r w:rsidR="00686B7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A959191" wp14:editId="76FE39B8">
              <wp:simplePos x="0" y="0"/>
              <wp:positionH relativeFrom="column">
                <wp:posOffset>-511810</wp:posOffset>
              </wp:positionH>
              <wp:positionV relativeFrom="paragraph">
                <wp:posOffset>-202565</wp:posOffset>
              </wp:positionV>
              <wp:extent cx="2301875" cy="237490"/>
              <wp:effectExtent l="2540" t="0" r="0" b="317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875" cy="237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718F0C" w14:textId="77777777" w:rsidR="001E0AF0" w:rsidRPr="001E0AF0" w:rsidRDefault="00686B79">
                          <w:pPr>
                            <w:rPr>
                              <w:b/>
                            </w:rPr>
                          </w:pPr>
                          <w:r w:rsidRPr="001E0AF0">
                            <w:rPr>
                              <w:b/>
                            </w:rPr>
                            <w:t>Realização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A959191" id="Caixa de texto 3" o:spid="_x0000_s1027" type="#_x0000_t202" style="position:absolute;left:0;text-align:left;margin-left:-40.3pt;margin-top:-15.95pt;width:181.25pt;height:18.7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" stroked="f">
              <v:textbox style="mso-fit-shape-to-text:t">
                <w:txbxContent>
                  <w:p w14:paraId="0B718F0C" w14:textId="77777777" w:rsidR="001E0AF0" w:rsidRPr="001E0AF0" w:rsidRDefault="00686B79">
                    <w:pPr>
                      <w:rPr>
                        <w:b/>
                      </w:rPr>
                    </w:pPr>
                    <w:r w:rsidRPr="001E0AF0">
                      <w:rPr>
                        <w:b/>
                      </w:rPr>
                      <w:t>Realização</w:t>
                    </w:r>
                  </w:p>
                </w:txbxContent>
              </v:textbox>
            </v:shape>
          </w:pict>
        </mc:Fallback>
      </mc:AlternateContent>
    </w:r>
  </w:p>
  <w:p w14:paraId="6509B1F2" w14:textId="77777777" w:rsidR="00B07EE1" w:rsidRDefault="00686B79">
    <w:pPr>
      <w:pStyle w:val="Rodap"/>
    </w:pPr>
    <w:r>
      <w:rPr>
        <w:noProof/>
      </w:rPr>
      <w:drawing>
        <wp:anchor distT="0" distB="0" distL="114300" distR="114300" simplePos="0" relativeHeight="251669504" behindDoc="0" locked="0" layoutInCell="1" allowOverlap="1" wp14:anchorId="11F94414" wp14:editId="22B56D0A">
          <wp:simplePos x="0" y="0"/>
          <wp:positionH relativeFrom="margin">
            <wp:posOffset>4853940</wp:posOffset>
          </wp:positionH>
          <wp:positionV relativeFrom="margin">
            <wp:posOffset>8434705</wp:posOffset>
          </wp:positionV>
          <wp:extent cx="790575" cy="167005"/>
          <wp:effectExtent l="0" t="0" r="9525" b="4445"/>
          <wp:wrapSquare wrapText="bothSides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pesp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167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3F69B" w14:textId="77777777" w:rsidR="00D60EB7" w:rsidRDefault="00686B79" w:rsidP="00D60EB7">
    <w:pPr>
      <w:pStyle w:val="Rodap"/>
      <w:jc w:val="center"/>
    </w:pPr>
    <w:r>
      <w:t xml:space="preserve">II CONINTER – Congresso Internacional Interdisciplinar em Sociais e Humanidades </w:t>
    </w:r>
  </w:p>
  <w:p w14:paraId="5A58816F" w14:textId="77777777" w:rsidR="00B964BA" w:rsidRDefault="00686B79" w:rsidP="00D60EB7">
    <w:pPr>
      <w:pStyle w:val="Rodap"/>
      <w:jc w:val="center"/>
    </w:pPr>
    <w:r>
      <w:t>Belo Horizonte, de 8 a 11 de outubro de 2013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720AFE" w14:textId="77777777" w:rsidR="00A13AF8" w:rsidRDefault="00A13AF8">
      <w:r>
        <w:separator/>
      </w:r>
    </w:p>
  </w:footnote>
  <w:footnote w:type="continuationSeparator" w:id="0">
    <w:p w14:paraId="4942AC24" w14:textId="77777777" w:rsidR="00A13AF8" w:rsidRDefault="00A13A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C2F59" w14:textId="77777777" w:rsidR="001508D4" w:rsidRDefault="00B06445" w:rsidP="000C3153">
    <w:pPr>
      <w:pStyle w:val="Cabealho"/>
      <w:jc w:val="right"/>
    </w:pPr>
    <w:r>
      <w:rPr>
        <w:noProof/>
      </w:rPr>
      <w:drawing>
        <wp:inline distT="0" distB="0" distL="0" distR="0" wp14:anchorId="31370FB5" wp14:editId="28626900">
          <wp:extent cx="5760720" cy="908050"/>
          <wp:effectExtent l="0" t="0" r="0" b="635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08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43DE79" w14:textId="77777777" w:rsidR="006348C9" w:rsidRDefault="00686B79">
    <w:pPr>
      <w:pStyle w:val="Cabealho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524CDD5" wp14:editId="0FF93CDF">
          <wp:simplePos x="0" y="0"/>
          <wp:positionH relativeFrom="margin">
            <wp:posOffset>-948690</wp:posOffset>
          </wp:positionH>
          <wp:positionV relativeFrom="margin">
            <wp:posOffset>-1087120</wp:posOffset>
          </wp:positionV>
          <wp:extent cx="2113280" cy="905510"/>
          <wp:effectExtent l="0" t="0" r="1270" b="8890"/>
          <wp:wrapSquare wrapText="bothSides"/>
          <wp:docPr id="15" name="Imagem 15" descr="Logotipo_SIDTe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Logotipo_SIDTec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28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61BABE31" w14:textId="77777777" w:rsidR="00D22BA2" w:rsidRPr="00447739" w:rsidRDefault="00A13AF8" w:rsidP="00447739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6B6627"/>
    <w:multiLevelType w:val="multilevel"/>
    <w:tmpl w:val="09CAE04A"/>
    <w:lvl w:ilvl="0">
      <w:start w:val="1"/>
      <w:numFmt w:val="decimal"/>
      <w:pStyle w:val="Se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B79"/>
    <w:rsid w:val="000C3153"/>
    <w:rsid w:val="000E0DE7"/>
    <w:rsid w:val="00173352"/>
    <w:rsid w:val="001E428C"/>
    <w:rsid w:val="001E79CC"/>
    <w:rsid w:val="00292221"/>
    <w:rsid w:val="0051424F"/>
    <w:rsid w:val="00565168"/>
    <w:rsid w:val="00596B11"/>
    <w:rsid w:val="0063025F"/>
    <w:rsid w:val="0068594A"/>
    <w:rsid w:val="00686B79"/>
    <w:rsid w:val="006B4EAF"/>
    <w:rsid w:val="0082067A"/>
    <w:rsid w:val="00934EB1"/>
    <w:rsid w:val="00A13AF8"/>
    <w:rsid w:val="00A14D41"/>
    <w:rsid w:val="00B06445"/>
    <w:rsid w:val="00C13EAD"/>
    <w:rsid w:val="00D544B4"/>
    <w:rsid w:val="00E218E7"/>
    <w:rsid w:val="00E71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7B6762"/>
  <w15:docId w15:val="{284FB197-E182-4807-AB0B-A30B0D396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Resumo"/>
    <w:qFormat/>
    <w:rsid w:val="00686B79"/>
    <w:pPr>
      <w:autoSpaceDE w:val="0"/>
      <w:autoSpaceDN w:val="0"/>
      <w:spacing w:after="0" w:line="240" w:lineRule="auto"/>
      <w:jc w:val="both"/>
    </w:pPr>
    <w:rPr>
      <w:rFonts w:ascii="Arial" w:eastAsia="MS Mincho" w:hAnsi="Arial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686B7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86B79"/>
    <w:rPr>
      <w:rFonts w:ascii="Arial" w:eastAsia="MS Mincho" w:hAnsi="Arial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686B7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686B79"/>
    <w:rPr>
      <w:rFonts w:ascii="Arial" w:eastAsia="MS Mincho" w:hAnsi="Arial" w:cs="Times New Roman"/>
      <w:sz w:val="20"/>
      <w:szCs w:val="20"/>
      <w:lang w:eastAsia="pt-BR"/>
    </w:rPr>
  </w:style>
  <w:style w:type="character" w:styleId="Forte">
    <w:name w:val="Strong"/>
    <w:qFormat/>
    <w:rsid w:val="00686B79"/>
    <w:rPr>
      <w:b/>
      <w:bCs/>
    </w:rPr>
  </w:style>
  <w:style w:type="paragraph" w:styleId="NormalWeb">
    <w:name w:val="Normal (Web)"/>
    <w:basedOn w:val="Normal"/>
    <w:uiPriority w:val="99"/>
    <w:unhideWhenUsed/>
    <w:rsid w:val="00686B79"/>
    <w:pPr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686B79"/>
    <w:rPr>
      <w:color w:val="0000FF"/>
      <w:u w:val="single"/>
    </w:rPr>
  </w:style>
  <w:style w:type="paragraph" w:customStyle="1" w:styleId="FPCNomedoAutor">
    <w:name w:val="FPC Nome do Autor"/>
    <w:basedOn w:val="Normal"/>
    <w:rsid w:val="00686B79"/>
    <w:pPr>
      <w:autoSpaceDE/>
      <w:autoSpaceDN/>
      <w:spacing w:before="360" w:after="120"/>
      <w:jc w:val="center"/>
    </w:pPr>
    <w:rPr>
      <w:b/>
      <w:sz w:val="24"/>
      <w:szCs w:val="24"/>
    </w:rPr>
  </w:style>
  <w:style w:type="paragraph" w:customStyle="1" w:styleId="FPCTextonormal">
    <w:name w:val="FPC Texto normal"/>
    <w:basedOn w:val="Normal"/>
    <w:rsid w:val="00686B79"/>
    <w:pPr>
      <w:autoSpaceDE/>
      <w:autoSpaceDN/>
      <w:spacing w:before="120" w:after="120"/>
    </w:pPr>
    <w:rPr>
      <w:sz w:val="22"/>
      <w:szCs w:val="24"/>
    </w:rPr>
  </w:style>
  <w:style w:type="paragraph" w:styleId="Ttulo">
    <w:name w:val="Title"/>
    <w:basedOn w:val="Normal"/>
    <w:next w:val="Normal"/>
    <w:link w:val="TtuloChar"/>
    <w:qFormat/>
    <w:rsid w:val="00686B79"/>
    <w:pPr>
      <w:spacing w:line="360" w:lineRule="auto"/>
      <w:jc w:val="center"/>
      <w:outlineLvl w:val="0"/>
    </w:pPr>
    <w:rPr>
      <w:rFonts w:eastAsia="Times New Roman"/>
      <w:b/>
      <w:bCs/>
      <w:caps/>
      <w:kern w:val="28"/>
      <w:sz w:val="28"/>
      <w:szCs w:val="32"/>
    </w:rPr>
  </w:style>
  <w:style w:type="character" w:customStyle="1" w:styleId="TtuloChar">
    <w:name w:val="Título Char"/>
    <w:basedOn w:val="Fontepargpadro"/>
    <w:link w:val="Ttulo"/>
    <w:rsid w:val="00686B79"/>
    <w:rPr>
      <w:rFonts w:ascii="Arial" w:eastAsia="Times New Roman" w:hAnsi="Arial" w:cs="Times New Roman"/>
      <w:b/>
      <w:bCs/>
      <w:caps/>
      <w:kern w:val="28"/>
      <w:sz w:val="28"/>
      <w:szCs w:val="32"/>
      <w:lang w:eastAsia="pt-BR"/>
    </w:rPr>
  </w:style>
  <w:style w:type="paragraph" w:styleId="Subttulo">
    <w:name w:val="Subtitle"/>
    <w:aliases w:val="Citação Direta"/>
    <w:basedOn w:val="Normal"/>
    <w:next w:val="Normal"/>
    <w:link w:val="SubttuloChar"/>
    <w:qFormat/>
    <w:rsid w:val="00686B79"/>
    <w:pPr>
      <w:ind w:left="2268"/>
    </w:pPr>
    <w:rPr>
      <w:rFonts w:eastAsia="Times New Roman"/>
      <w:szCs w:val="24"/>
    </w:rPr>
  </w:style>
  <w:style w:type="character" w:customStyle="1" w:styleId="SubttuloChar">
    <w:name w:val="Subtítulo Char"/>
    <w:aliases w:val="Citação Direta Char"/>
    <w:basedOn w:val="Fontepargpadro"/>
    <w:link w:val="Subttulo"/>
    <w:rsid w:val="00686B79"/>
    <w:rPr>
      <w:rFonts w:ascii="Arial" w:eastAsia="Times New Roman" w:hAnsi="Arial" w:cs="Times New Roman"/>
      <w:sz w:val="20"/>
      <w:szCs w:val="24"/>
      <w:lang w:eastAsia="pt-BR"/>
    </w:rPr>
  </w:style>
  <w:style w:type="paragraph" w:customStyle="1" w:styleId="Seo">
    <w:name w:val="Seção"/>
    <w:basedOn w:val="Normal"/>
    <w:link w:val="SeoChar"/>
    <w:qFormat/>
    <w:rsid w:val="00686B79"/>
    <w:pPr>
      <w:numPr>
        <w:numId w:val="1"/>
      </w:numPr>
    </w:pPr>
    <w:rPr>
      <w:b/>
      <w:sz w:val="24"/>
      <w:szCs w:val="24"/>
    </w:rPr>
  </w:style>
  <w:style w:type="paragraph" w:styleId="SemEspaamento">
    <w:name w:val="No Spacing"/>
    <w:uiPriority w:val="1"/>
    <w:qFormat/>
    <w:rsid w:val="00686B79"/>
    <w:pPr>
      <w:autoSpaceDE w:val="0"/>
      <w:autoSpaceDN w:val="0"/>
      <w:spacing w:after="0" w:line="240" w:lineRule="auto"/>
      <w:ind w:firstLine="709"/>
      <w:jc w:val="both"/>
    </w:pPr>
    <w:rPr>
      <w:rFonts w:ascii="Arial" w:eastAsia="MS Mincho" w:hAnsi="Arial" w:cs="Times New Roman"/>
      <w:sz w:val="24"/>
      <w:szCs w:val="20"/>
      <w:lang w:eastAsia="pt-BR"/>
    </w:rPr>
  </w:style>
  <w:style w:type="character" w:customStyle="1" w:styleId="SeoChar">
    <w:name w:val="Seção Char"/>
    <w:link w:val="Seo"/>
    <w:rsid w:val="00686B79"/>
    <w:rPr>
      <w:rFonts w:ascii="Arial" w:eastAsia="MS Mincho" w:hAnsi="Arial" w:cs="Times New Roman"/>
      <w:b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C315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3153"/>
    <w:rPr>
      <w:rFonts w:ascii="Tahoma" w:eastAsia="MS Mincho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6B4E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3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3034</Words>
  <Characters>16384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Vinícius Rodrigues</dc:creator>
  <cp:lastModifiedBy>Vinícius Rodrigues de Oliveira Gonçalves</cp:lastModifiedBy>
  <cp:revision>4</cp:revision>
  <dcterms:created xsi:type="dcterms:W3CDTF">2020-10-23T02:35:00Z</dcterms:created>
  <dcterms:modified xsi:type="dcterms:W3CDTF">2020-11-09T13:29:00Z</dcterms:modified>
</cp:coreProperties>
</file>