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 temática: </w:t>
      </w:r>
      <w:r w:rsidDel="00000000" w:rsidR="00000000" w:rsidRPr="00000000">
        <w:rPr>
          <w:rFonts w:ascii="Arial" w:cs="Arial" w:eastAsia="Arial" w:hAnsi="Arial"/>
          <w:rtl w:val="0"/>
        </w:rPr>
        <w:t xml:space="preserve">Multidisciplinar.</w:t>
      </w:r>
    </w:p>
    <w:p w:rsidR="00000000" w:rsidDel="00000000" w:rsidP="00000000" w:rsidRDefault="00000000" w:rsidRPr="00000000" w14:paraId="00000002">
      <w:pPr>
        <w:spacing w:after="60" w:before="60" w:line="240" w:lineRule="auto"/>
        <w:ind w:right="14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8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Ação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in vitro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de aroeira (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Myracrodruon urundeuva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) sobre cepas bacterianas.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8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Marcileide Almeida Amaral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rtl w:val="0"/>
        </w:rPr>
        <w:t xml:space="preserve">; Francisco Marlon Carneiro Feijó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; Jonas dos Santos Silva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Caio Augusto Martins Aires</w:t>
      </w:r>
      <w:r w:rsidDel="00000000" w:rsidR="00000000" w:rsidRPr="00000000">
        <w:rPr>
          <w:rFonts w:ascii="Arial" w:cs="Arial" w:eastAsia="Arial" w:hAnsi="Arial"/>
          <w:highlight w:val="white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; Caio Sergio Santos</w:t>
      </w:r>
      <w:r w:rsidDel="00000000" w:rsidR="00000000" w:rsidRPr="00000000">
        <w:rPr>
          <w:rFonts w:ascii="Arial" w:cs="Arial" w:eastAsia="Arial" w:hAnsi="Arial"/>
          <w:highlight w:val="white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60" w:before="60" w:line="240" w:lineRule="auto"/>
        <w:ind w:right="14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Aroeira (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Myracrodruon urundeuva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) é um  fitoterápico conhecido como antimicrobiano na cultura nordestina. O objetivo da pesquisa consistiu em analisar a ação antimicrobiana desse fitoterápico  nas formas: decocto de folhas secas e folhas verdes. </w:t>
      </w:r>
      <w:r w:rsidDel="00000000" w:rsidR="00000000" w:rsidRPr="00000000">
        <w:rPr>
          <w:rFonts w:ascii="Arial" w:cs="Arial" w:eastAsia="Arial" w:hAnsi="Arial"/>
          <w:rtl w:val="0"/>
        </w:rPr>
        <w:t xml:space="preserve">As amostras de folha secas e verdes de aroeira foram retiradas diretamente da árvore que se localiza na Universidade Federal Rural do Semi-Árido, pela manhã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decocto de folha seca e verde foi produzido na concentração 1:1. Foram testados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sete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microrganismos previamente isolados de enfermidades animais e replicados em caldo BHI sob a concentração 0,5 da escala MacFarland. Assim, 1 ml da solução de cada bactéria foi semeado em placas de Petri com orifícios previamente produzidos. Os orifícios foram revestido com 5 ul de de agar Muller Hinton e sobrepostas por 50 microlitros de decocto. Foram considerados dados resultantes as medidas dos halos formados no entorno do poço mensuradas com auxílio de uma régua milimétrica, tendo como base a Metodologia do Teste de Sensibilidade a Antimicrobianos por Disco-difusão. Foi observado </w:t>
      </w:r>
      <w:r w:rsidDel="00000000" w:rsidR="00000000" w:rsidRPr="00000000">
        <w:rPr>
          <w:rFonts w:ascii="Arial" w:cs="Arial" w:eastAsia="Arial" w:hAnsi="Arial"/>
          <w:rtl w:val="0"/>
        </w:rPr>
        <w:t xml:space="preserve">com o decocto de folhas secas as seguintes medidas de halo: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Streptococcus agalactiae</w:t>
      </w:r>
      <w:r w:rsidDel="00000000" w:rsidR="00000000" w:rsidRPr="00000000">
        <w:rPr>
          <w:rFonts w:ascii="Arial" w:cs="Arial" w:eastAsia="Arial" w:hAnsi="Arial"/>
          <w:rtl w:val="0"/>
        </w:rPr>
        <w:t xml:space="preserve"> - 11 mm;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Staphylococcus aureus </w:t>
      </w:r>
      <w:r w:rsidDel="00000000" w:rsidR="00000000" w:rsidRPr="00000000">
        <w:rPr>
          <w:rFonts w:ascii="Arial" w:cs="Arial" w:eastAsia="Arial" w:hAnsi="Arial"/>
          <w:rtl w:val="0"/>
        </w:rPr>
        <w:t xml:space="preserve">- 10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Corynebacterium sp</w:t>
      </w:r>
      <w:r w:rsidDel="00000000" w:rsidR="00000000" w:rsidRPr="00000000">
        <w:rPr>
          <w:rFonts w:ascii="Arial" w:cs="Arial" w:eastAsia="Arial" w:hAnsi="Arial"/>
          <w:rtl w:val="0"/>
        </w:rPr>
        <w:t xml:space="preserve"> - 9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Salmonella typhimurium</w:t>
      </w:r>
      <w:r w:rsidDel="00000000" w:rsidR="00000000" w:rsidRPr="00000000">
        <w:rPr>
          <w:rFonts w:ascii="Arial" w:cs="Arial" w:eastAsia="Arial" w:hAnsi="Arial"/>
          <w:rtl w:val="0"/>
        </w:rPr>
        <w:t xml:space="preserve">, - 8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Candida albicans</w:t>
      </w:r>
      <w:r w:rsidDel="00000000" w:rsidR="00000000" w:rsidRPr="00000000">
        <w:rPr>
          <w:rFonts w:ascii="Arial" w:cs="Arial" w:eastAsia="Arial" w:hAnsi="Arial"/>
          <w:rtl w:val="0"/>
        </w:rPr>
        <w:t xml:space="preserve"> - 7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Shigella flexneri</w:t>
      </w:r>
      <w:r w:rsidDel="00000000" w:rsidR="00000000" w:rsidRPr="00000000">
        <w:rPr>
          <w:rFonts w:ascii="Arial" w:cs="Arial" w:eastAsia="Arial" w:hAnsi="Arial"/>
          <w:rtl w:val="0"/>
        </w:rPr>
        <w:t xml:space="preserve"> halos -  6 mm 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Escherichia coli</w:t>
      </w:r>
      <w:r w:rsidDel="00000000" w:rsidR="00000000" w:rsidRPr="00000000">
        <w:rPr>
          <w:rFonts w:ascii="Arial" w:cs="Arial" w:eastAsia="Arial" w:hAnsi="Arial"/>
          <w:rtl w:val="0"/>
        </w:rPr>
        <w:t xml:space="preserve"> - 7 mm. Para o decocto de folhas verdes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S. agalactiae</w:t>
      </w:r>
      <w:r w:rsidDel="00000000" w:rsidR="00000000" w:rsidRPr="00000000">
        <w:rPr>
          <w:rFonts w:ascii="Arial" w:cs="Arial" w:eastAsia="Arial" w:hAnsi="Arial"/>
          <w:rtl w:val="0"/>
        </w:rPr>
        <w:t xml:space="preserve"> - 23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S. aureus </w:t>
      </w:r>
      <w:r w:rsidDel="00000000" w:rsidR="00000000" w:rsidRPr="00000000">
        <w:rPr>
          <w:rFonts w:ascii="Arial" w:cs="Arial" w:eastAsia="Arial" w:hAnsi="Arial"/>
          <w:rtl w:val="0"/>
        </w:rPr>
        <w:t xml:space="preserve">- 14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Corynebacterium sp</w:t>
      </w:r>
      <w:r w:rsidDel="00000000" w:rsidR="00000000" w:rsidRPr="00000000">
        <w:rPr>
          <w:rFonts w:ascii="Arial" w:cs="Arial" w:eastAsia="Arial" w:hAnsi="Arial"/>
          <w:rtl w:val="0"/>
        </w:rPr>
        <w:t xml:space="preserve"> -13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S. typhimurium</w:t>
      </w:r>
      <w:r w:rsidDel="00000000" w:rsidR="00000000" w:rsidRPr="00000000">
        <w:rPr>
          <w:rFonts w:ascii="Arial" w:cs="Arial" w:eastAsia="Arial" w:hAnsi="Arial"/>
          <w:rtl w:val="0"/>
        </w:rPr>
        <w:t xml:space="preserve"> - 13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C. albicans </w:t>
      </w:r>
      <w:r w:rsidDel="00000000" w:rsidR="00000000" w:rsidRPr="00000000">
        <w:rPr>
          <w:rFonts w:ascii="Arial" w:cs="Arial" w:eastAsia="Arial" w:hAnsi="Arial"/>
          <w:rtl w:val="0"/>
        </w:rPr>
        <w:t xml:space="preserve">- 12 mm;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S. flexneri </w:t>
      </w:r>
      <w:r w:rsidDel="00000000" w:rsidR="00000000" w:rsidRPr="00000000">
        <w:rPr>
          <w:rFonts w:ascii="Arial" w:cs="Arial" w:eastAsia="Arial" w:hAnsi="Arial"/>
          <w:rtl w:val="0"/>
        </w:rPr>
        <w:t xml:space="preserve">- 10 mm 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E. coli</w:t>
      </w:r>
      <w:r w:rsidDel="00000000" w:rsidR="00000000" w:rsidRPr="00000000">
        <w:rPr>
          <w:rFonts w:ascii="Arial" w:cs="Arial" w:eastAsia="Arial" w:hAnsi="Arial"/>
          <w:rtl w:val="0"/>
        </w:rPr>
        <w:t xml:space="preserve"> - 9 mm. Com base em uma análise comparativa, os resultados ressaltam a maior eficácia do decocto de folhas verdes.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Estudos como esse são uma maneira de verificar a aplicabilidade das práticas culturais. Tendo em vista a facilidade de produção, o baixo custo e a ação antimicrobiana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in vitro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comprovada sobre as espécies de microrganismos testadas é possível concluir que o decocto de aroeira (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Myracrodruon urundeuva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) pode vir a ser uma alternativa terapêutica.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60" w:line="240" w:lineRule="auto"/>
        <w:ind w:right="14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rtl w:val="0"/>
        </w:rPr>
        <w:t xml:space="preserve"> Fitoterápico</w:t>
      </w:r>
      <w:r w:rsidDel="00000000" w:rsidR="00000000" w:rsidRPr="00000000">
        <w:rPr>
          <w:rFonts w:ascii="Arial" w:cs="Arial" w:eastAsia="Arial" w:hAnsi="Arial"/>
          <w:rtl w:val="0"/>
        </w:rPr>
        <w:t xml:space="preserve">, Decocto, Ação antimicrobiana.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Agência financiadora: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UFERSA.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60" w:line="240" w:lineRule="auto"/>
        <w:ind w:right="14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color="c45911" w:space="1" w:sz="12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cs="Arial" w:eastAsia="Arial" w:hAnsi="Arial"/>
        <w:b w:val="1"/>
        <w:color w:val="1f4e79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1f4e79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071.0" w:type="dxa"/>
      <w:jc w:val="left"/>
      <w:tblInd w:w="0.0" w:type="dxa"/>
      <w:tblBorders>
        <w:bottom w:color="c45911" w:space="0" w:sz="8" w:val="single"/>
      </w:tblBorders>
      <w:tblLayout w:type="fixed"/>
      <w:tblLook w:val="0400"/>
    </w:tblPr>
    <w:tblGrid>
      <w:gridCol w:w="6858"/>
      <w:gridCol w:w="2213"/>
      <w:tblGridChange w:id="0">
        <w:tblGrid>
          <w:gridCol w:w="6858"/>
          <w:gridCol w:w="2213"/>
        </w:tblGrid>
      </w:tblGridChange>
    </w:tblGrid>
    <w:tr>
      <w:tc>
        <w:tcPr>
          <w:shd w:fill="auto" w:val="clear"/>
          <w:vAlign w:val="center"/>
        </w:tcPr>
        <w:p w:rsidR="00000000" w:rsidDel="00000000" w:rsidP="00000000" w:rsidRDefault="00000000" w:rsidRPr="00000000" w14:paraId="000000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  <w:drawing>
              <wp:inline distB="0" distT="0" distL="0" distR="0">
                <wp:extent cx="3399790" cy="891540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9790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  <w:rtl w:val="0"/>
            </w:rPr>
            <w:t xml:space="preserve">Anais 2020</w:t>
          </w:r>
        </w:p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spacing w:after="60" w:before="60" w:line="240" w:lineRule="auto"/>
            <w:jc w:val="right"/>
            <w:rPr>
              <w:rFonts w:ascii="Arial" w:cs="Arial" w:eastAsia="Arial" w:hAnsi="Arial"/>
              <w:b w:val="1"/>
              <w:color w:val="ed7d3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ed7d31"/>
              <w:sz w:val="20"/>
              <w:szCs w:val="20"/>
              <w:rtl w:val="0"/>
            </w:rPr>
            <w:t xml:space="preserve">Mossoró-RN</w:t>
          </w:r>
        </w:p>
      </w:tc>
    </w:tr>
  </w:tbl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60" w:before="60" w:line="240" w:lineRule="auto"/>
      <w:rPr>
        <w:rFonts w:ascii="Times New Roman" w:cs="Times New Roman" w:eastAsia="Times New Roman" w:hAnsi="Times New Roman"/>
        <w:b w:val="1"/>
        <w:color w:val="ed7d3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A5169B"/>
    <w:pPr>
      <w:keepNext w:val="1"/>
      <w:keepLines w:val="1"/>
      <w:spacing w:after="0"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 w:val="1"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606DA"/>
  </w:style>
  <w:style w:type="character" w:styleId="Ttulo1Char" w:customStyle="1">
    <w:name w:val="Título 1 Char"/>
    <w:link w:val="Ttulo1"/>
    <w:uiPriority w:val="9"/>
    <w:rsid w:val="00A5169B"/>
    <w:rPr>
      <w:rFonts w:ascii="Calibri Light" w:cs="Times New Roman" w:eastAsia="Times New Roman" w:hAnsi="Calibri Light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uiPriority w:val="99"/>
    <w:semiHidden w:val="1"/>
    <w:unhideWhenUsed w:val="1"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577F3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577F3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577F3"/>
    <w:rPr>
      <w:b w:val="1"/>
      <w:bCs w:val="1"/>
      <w:lang w:eastAsia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577F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6577F3"/>
    <w:rPr>
      <w:rFonts w:ascii="Segoe UI" w:cs="Segoe UI" w:hAnsi="Segoe UI"/>
      <w:sz w:val="18"/>
      <w:szCs w:val="18"/>
      <w:lang w:eastAsia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Forte">
    <w:name w:val="Strong"/>
    <w:basedOn w:val="Fontepargpadro"/>
    <w:uiPriority w:val="22"/>
    <w:qFormat w:val="1"/>
    <w:rsid w:val="00700CD9"/>
    <w:rPr>
      <w:b w:val="1"/>
      <w:bCs w:val="1"/>
    </w:r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nrUQ/tWNijoCgJnPZQTEGh5dw==">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2020-11-07T01:47:00Z</dcterms:created>
  <dc:creator>Thaiseany Freitas Rêgo</dc:creator>
</cp:coreProperties>
</file>