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1073" w14:textId="77777777" w:rsidR="00067F27" w:rsidRDefault="00D97552">
      <w:pPr>
        <w:tabs>
          <w:tab w:val="left" w:pos="2480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PERFIL NUTRICI</w:t>
      </w:r>
      <w:r w:rsidR="00857B38">
        <w:rPr>
          <w:rFonts w:ascii="Times New Roman" w:eastAsia="Times New Roman" w:hAnsi="Times New Roman" w:cs="Times New Roman"/>
          <w:b/>
          <w:sz w:val="24"/>
          <w:szCs w:val="24"/>
        </w:rPr>
        <w:t>ONAL DE ADULTOS HOSPITALIZADOS N</w:t>
      </w:r>
      <w:r>
        <w:rPr>
          <w:rFonts w:ascii="Times New Roman" w:eastAsia="Times New Roman" w:hAnsi="Times New Roman" w:cs="Times New Roman"/>
          <w:b/>
          <w:sz w:val="24"/>
          <w:szCs w:val="24"/>
        </w:rPr>
        <w:t>O ESTADO DE ALAGOAS COM COVID-19</w:t>
      </w:r>
    </w:p>
    <w:p w14:paraId="420BF115" w14:textId="77777777" w:rsidR="00067F27" w:rsidRDefault="00D97552">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5F2C7C48" w14:textId="256C1A80" w:rsidR="00067F27" w:rsidRDefault="00D97552" w:rsidP="003318D6">
      <w:pPr>
        <w:spacing w:after="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 xml:space="preserve">A hospitalização por </w:t>
      </w:r>
      <w:r w:rsidR="003318D6">
        <w:rPr>
          <w:rFonts w:ascii="Times New Roman" w:eastAsia="Times New Roman" w:hAnsi="Times New Roman" w:cs="Times New Roman"/>
          <w:sz w:val="24"/>
          <w:szCs w:val="24"/>
          <w:highlight w:val="white"/>
        </w:rPr>
        <w:t xml:space="preserve">COVID‐19 </w:t>
      </w:r>
      <w:r>
        <w:rPr>
          <w:rFonts w:ascii="Times New Roman" w:eastAsia="Times New Roman" w:hAnsi="Times New Roman" w:cs="Times New Roman"/>
          <w:sz w:val="24"/>
          <w:szCs w:val="24"/>
        </w:rPr>
        <w:t xml:space="preserve">na Unidade de Terapia Intensiva perdura por cerca de 3 semanas, a desnutrição e o emagrecimento são fenômenos comuns em longos períodos de internação, a interação entre doenças infecciosas e estado nutricional do hospedeiro, geralmente propicia a má nutrição levando a um aumento da patogenicidade do agente infectante. O objetivo deste estudo foi avaliar o perfil nutricional de adultos hospitalizados com Covid-19 em Alagoas. Trata-se de um estudo descritivo, baseado na coorte dinâmica multicêntrica no Norte e Nordeste do país, foram avaliados 57 pacientes internos em </w:t>
      </w:r>
      <w:r w:rsidRPr="00C87AA7">
        <w:rPr>
          <w:rFonts w:ascii="Times" w:eastAsia="Times New Roman" w:hAnsi="Times" w:cs="Times New Roman"/>
          <w:sz w:val="24"/>
          <w:szCs w:val="24"/>
        </w:rPr>
        <w:t xml:space="preserve">hospitais do território Alagoano, através do contato telefônico e preenchimento guiado de formulário </w:t>
      </w:r>
      <w:proofErr w:type="spellStart"/>
      <w:r w:rsidRPr="00C87AA7">
        <w:rPr>
          <w:rFonts w:ascii="Times" w:eastAsia="Times New Roman" w:hAnsi="Times" w:cs="Times New Roman"/>
          <w:sz w:val="24"/>
          <w:szCs w:val="24"/>
        </w:rPr>
        <w:t>pré</w:t>
      </w:r>
      <w:proofErr w:type="spellEnd"/>
      <w:r w:rsidRPr="00C87AA7">
        <w:rPr>
          <w:rFonts w:ascii="Times" w:eastAsia="Times New Roman" w:hAnsi="Times" w:cs="Times New Roman"/>
          <w:sz w:val="24"/>
          <w:szCs w:val="24"/>
        </w:rPr>
        <w:t xml:space="preserve">-estruturado contemplando informações </w:t>
      </w:r>
      <w:proofErr w:type="spellStart"/>
      <w:r w:rsidRPr="00C87AA7">
        <w:rPr>
          <w:rFonts w:ascii="Times" w:eastAsia="Times New Roman" w:hAnsi="Times" w:cs="Times New Roman"/>
          <w:sz w:val="24"/>
          <w:szCs w:val="24"/>
        </w:rPr>
        <w:t>sociodemográficas</w:t>
      </w:r>
      <w:proofErr w:type="spellEnd"/>
      <w:r w:rsidRPr="00C87AA7">
        <w:rPr>
          <w:rFonts w:ascii="Times" w:eastAsia="Times New Roman" w:hAnsi="Times" w:cs="Times New Roman"/>
          <w:sz w:val="24"/>
          <w:szCs w:val="24"/>
        </w:rPr>
        <w:t xml:space="preserve">, econômicas, estilo de vida e estado nutricional. </w:t>
      </w:r>
      <w:r w:rsidRPr="00C87AA7">
        <w:rPr>
          <w:rFonts w:ascii="Times" w:eastAsia="Gungsuh" w:hAnsi="Times" w:cs="Gungsuh"/>
          <w:sz w:val="24"/>
          <w:szCs w:val="24"/>
          <w:highlight w:val="white"/>
        </w:rPr>
        <w:t xml:space="preserve">A maioria dos estudados estavam </w:t>
      </w:r>
      <w:proofErr w:type="spellStart"/>
      <w:r w:rsidRPr="00C87AA7">
        <w:rPr>
          <w:rFonts w:ascii="Times" w:eastAsia="Gungsuh" w:hAnsi="Times" w:cs="Gungsuh"/>
          <w:sz w:val="24"/>
          <w:szCs w:val="24"/>
          <w:highlight w:val="white"/>
        </w:rPr>
        <w:t>eutróficos</w:t>
      </w:r>
      <w:proofErr w:type="spellEnd"/>
      <w:r w:rsidRPr="00C87AA7">
        <w:rPr>
          <w:rFonts w:ascii="Times" w:eastAsia="Gungsuh" w:hAnsi="Times" w:cs="Gungsuh"/>
          <w:sz w:val="24"/>
          <w:szCs w:val="24"/>
          <w:highlight w:val="white"/>
        </w:rPr>
        <w:t xml:space="preserve"> no momento do internamento e antes</w:t>
      </w:r>
      <w:r w:rsidR="00915F62">
        <w:rPr>
          <w:rFonts w:ascii="Times" w:eastAsia="Gungsuh" w:hAnsi="Times" w:cs="Gungsuh"/>
          <w:sz w:val="24"/>
          <w:szCs w:val="24"/>
          <w:highlight w:val="white"/>
        </w:rPr>
        <w:t xml:space="preserve"> do internamento</w:t>
      </w:r>
      <w:r w:rsidRPr="00C87AA7">
        <w:rPr>
          <w:rFonts w:ascii="Times" w:eastAsia="Gungsuh" w:hAnsi="Times" w:cs="Gungsuh"/>
          <w:sz w:val="24"/>
          <w:szCs w:val="24"/>
          <w:highlight w:val="white"/>
        </w:rPr>
        <w:t xml:space="preserve"> (31,5% </w:t>
      </w:r>
      <w:proofErr w:type="spellStart"/>
      <w:r w:rsidRPr="00C87AA7">
        <w:rPr>
          <w:rFonts w:ascii="Times" w:eastAsia="Gungsuh" w:hAnsi="Times" w:cs="Gungsuh"/>
          <w:sz w:val="24"/>
          <w:szCs w:val="24"/>
          <w:highlight w:val="white"/>
        </w:rPr>
        <w:t>vs</w:t>
      </w:r>
      <w:proofErr w:type="spellEnd"/>
      <w:r w:rsidRPr="00C87AA7">
        <w:rPr>
          <w:rFonts w:ascii="Times" w:eastAsia="Gungsuh" w:hAnsi="Times" w:cs="Gungsuh"/>
          <w:sz w:val="24"/>
          <w:szCs w:val="24"/>
          <w:highlight w:val="white"/>
        </w:rPr>
        <w:t xml:space="preserve"> 28%), porém observou-se mudança do estado nutricional, pacientes que estavam em obesidade grau I, II, III passaram a </w:t>
      </w:r>
      <w:r w:rsidRPr="00915F62">
        <w:rPr>
          <w:rFonts w:ascii="Times" w:eastAsia="Gungsuh" w:hAnsi="Times" w:cs="Gungsuh"/>
          <w:sz w:val="24"/>
          <w:szCs w:val="24"/>
        </w:rPr>
        <w:t xml:space="preserve">enquadrar em </w:t>
      </w:r>
      <w:r w:rsidR="00C87AA7" w:rsidRPr="00915F62">
        <w:rPr>
          <w:rFonts w:ascii="Times" w:eastAsia="Gungsuh" w:hAnsi="Times" w:cs="Gungsuh"/>
          <w:sz w:val="24"/>
          <w:szCs w:val="24"/>
        </w:rPr>
        <w:t xml:space="preserve">índice de massa corporal </w:t>
      </w:r>
      <w:r w:rsidR="00915F62" w:rsidRPr="00915F62">
        <w:rPr>
          <w:rFonts w:ascii="Times" w:eastAsia="Gungsuh" w:hAnsi="Times" w:cs="Gungsuh"/>
          <w:sz w:val="24"/>
          <w:szCs w:val="24"/>
        </w:rPr>
        <w:t>de</w:t>
      </w:r>
      <w:r w:rsidRPr="00915F62">
        <w:rPr>
          <w:rFonts w:ascii="Times" w:eastAsia="Gungsuh" w:hAnsi="Times" w:cs="Gungsuh"/>
          <w:sz w:val="24"/>
          <w:szCs w:val="24"/>
        </w:rPr>
        <w:t xml:space="preserve"> </w:t>
      </w:r>
      <w:proofErr w:type="spellStart"/>
      <w:r w:rsidRPr="00915F62">
        <w:rPr>
          <w:rFonts w:ascii="Times" w:eastAsia="Gungsuh" w:hAnsi="Times" w:cs="Gungsuh"/>
          <w:sz w:val="24"/>
          <w:szCs w:val="24"/>
        </w:rPr>
        <w:t>eutrofia</w:t>
      </w:r>
      <w:proofErr w:type="spellEnd"/>
      <w:r w:rsidRPr="00915F62">
        <w:rPr>
          <w:rFonts w:ascii="Times" w:eastAsia="Gungsuh" w:hAnsi="Times" w:cs="Gungsuh"/>
          <w:sz w:val="24"/>
          <w:szCs w:val="24"/>
        </w:rPr>
        <w:t xml:space="preserve"> ou baixo peso, 49% relatou perda de peso. Negaram </w:t>
      </w:r>
      <w:r w:rsidR="00C87AA7" w:rsidRPr="00915F62">
        <w:rPr>
          <w:rFonts w:ascii="Times" w:eastAsia="Gungsuh" w:hAnsi="Times" w:cs="Gungsuh"/>
          <w:sz w:val="24"/>
          <w:szCs w:val="24"/>
        </w:rPr>
        <w:t xml:space="preserve">a ingestão de </w:t>
      </w:r>
      <w:r w:rsidRPr="00915F62">
        <w:rPr>
          <w:rFonts w:ascii="Times" w:eastAsia="Gungsuh" w:hAnsi="Times" w:cs="Gungsuh"/>
          <w:sz w:val="24"/>
          <w:szCs w:val="24"/>
        </w:rPr>
        <w:t>bebida alcóolica (46%), tabagismo (74%) e prática de atividade física (74%)</w:t>
      </w:r>
      <w:r w:rsidR="00C87AA7" w:rsidRPr="00915F62">
        <w:rPr>
          <w:rFonts w:ascii="Times" w:eastAsia="Gungsuh" w:hAnsi="Times" w:cs="Gungsuh"/>
          <w:sz w:val="24"/>
          <w:szCs w:val="24"/>
        </w:rPr>
        <w:t>. Os participantes</w:t>
      </w:r>
      <w:r w:rsidRPr="00915F62">
        <w:rPr>
          <w:rFonts w:ascii="Times" w:eastAsia="Gungsuh" w:hAnsi="Times" w:cs="Gungsuh"/>
          <w:sz w:val="24"/>
          <w:szCs w:val="24"/>
        </w:rPr>
        <w:t xml:space="preserve"> tinham idade média de 44,8</w:t>
      </w:r>
      <w:r w:rsidR="00C87AA7" w:rsidRPr="00915F62">
        <w:rPr>
          <w:rFonts w:ascii="Times" w:eastAsia="Gungsuh" w:hAnsi="Times" w:cs="Gungsuh"/>
          <w:sz w:val="24"/>
          <w:szCs w:val="24"/>
        </w:rPr>
        <w:sym w:font="Symbol" w:char="F0B1"/>
      </w:r>
      <w:r w:rsidR="00857B38" w:rsidRPr="00915F62">
        <w:rPr>
          <w:rFonts w:ascii="Times" w:eastAsia="Gungsuh" w:hAnsi="Times" w:cs="Gungsuh"/>
          <w:sz w:val="24"/>
          <w:szCs w:val="24"/>
        </w:rPr>
        <w:t>10,06</w:t>
      </w:r>
      <w:r w:rsidR="00C87AA7" w:rsidRPr="00915F62">
        <w:rPr>
          <w:rFonts w:ascii="Times" w:eastAsia="Gungsuh" w:hAnsi="Times" w:cs="Gungsuh"/>
          <w:sz w:val="24"/>
          <w:szCs w:val="24"/>
        </w:rPr>
        <w:t xml:space="preserve"> anos</w:t>
      </w:r>
      <w:r w:rsidR="00857B38" w:rsidRPr="00915F62">
        <w:rPr>
          <w:rFonts w:ascii="Times" w:eastAsia="Gungsuh" w:hAnsi="Times" w:cs="Gungsuh"/>
          <w:sz w:val="24"/>
          <w:szCs w:val="24"/>
        </w:rPr>
        <w:t xml:space="preserve"> </w:t>
      </w:r>
      <w:r w:rsidRPr="00915F62">
        <w:rPr>
          <w:rFonts w:ascii="Times" w:eastAsia="Gungsuh" w:hAnsi="Times" w:cs="Gungsuh"/>
          <w:sz w:val="24"/>
          <w:szCs w:val="24"/>
        </w:rPr>
        <w:t>e ensino médio completo ou superior completo (14%).</w:t>
      </w:r>
      <w:r w:rsidR="005B1D07" w:rsidRPr="00915F62">
        <w:rPr>
          <w:rFonts w:ascii="Times" w:eastAsia="Gungsuh" w:hAnsi="Times" w:cs="Gungsuh"/>
          <w:sz w:val="24"/>
          <w:szCs w:val="24"/>
        </w:rPr>
        <w:t xml:space="preserve"> </w:t>
      </w:r>
      <w:r w:rsidR="005B1D07" w:rsidRPr="00915F62">
        <w:rPr>
          <w:rFonts w:ascii="Times" w:hAnsi="Times" w:cs="Times New Roman"/>
          <w:color w:val="000000"/>
          <w:sz w:val="24"/>
          <w:szCs w:val="24"/>
          <w:shd w:val="clear" w:color="auto" w:fill="FFFFFF"/>
        </w:rPr>
        <w:t>Conclui</w:t>
      </w:r>
      <w:r w:rsidR="005B1D07" w:rsidRPr="00915F62">
        <w:rPr>
          <w:rFonts w:ascii="Times New Roman" w:hAnsi="Times New Roman" w:cs="Times New Roman"/>
          <w:color w:val="000000"/>
          <w:sz w:val="24"/>
          <w:szCs w:val="24"/>
          <w:shd w:val="clear" w:color="auto" w:fill="FFFFFF"/>
        </w:rPr>
        <w:t>-se que a avaliação do estado nutricional é importante</w:t>
      </w:r>
      <w:r w:rsidR="005B1D07">
        <w:rPr>
          <w:rFonts w:ascii="Times New Roman" w:hAnsi="Times New Roman" w:cs="Times New Roman"/>
          <w:color w:val="000000"/>
          <w:sz w:val="24"/>
          <w:szCs w:val="24"/>
          <w:shd w:val="clear" w:color="auto" w:fill="FFFFFF"/>
        </w:rPr>
        <w:t xml:space="preserve"> para</w:t>
      </w:r>
      <w:r w:rsidR="005B1D07" w:rsidRPr="00355AD7">
        <w:rPr>
          <w:rFonts w:ascii="Times New Roman" w:hAnsi="Times New Roman" w:cs="Times New Roman"/>
          <w:color w:val="000000"/>
          <w:sz w:val="24"/>
          <w:szCs w:val="24"/>
          <w:shd w:val="clear" w:color="auto" w:fill="FFFFFF"/>
        </w:rPr>
        <w:t xml:space="preserve"> identificação precoce </w:t>
      </w:r>
      <w:r w:rsidR="005B1D07">
        <w:rPr>
          <w:rFonts w:ascii="Times New Roman" w:hAnsi="Times New Roman" w:cs="Times New Roman"/>
          <w:color w:val="000000"/>
          <w:sz w:val="24"/>
          <w:szCs w:val="24"/>
          <w:shd w:val="clear" w:color="auto" w:fill="FFFFFF"/>
        </w:rPr>
        <w:t>do</w:t>
      </w:r>
      <w:r w:rsidR="005B1D07" w:rsidRPr="00355AD7">
        <w:rPr>
          <w:rFonts w:ascii="Times New Roman" w:hAnsi="Times New Roman" w:cs="Times New Roman"/>
          <w:color w:val="000000"/>
          <w:sz w:val="24"/>
          <w:szCs w:val="24"/>
          <w:shd w:val="clear" w:color="auto" w:fill="FFFFFF"/>
        </w:rPr>
        <w:t xml:space="preserve"> risco nutricional </w:t>
      </w:r>
      <w:r w:rsidR="005B1D07">
        <w:rPr>
          <w:rFonts w:ascii="Times New Roman" w:hAnsi="Times New Roman" w:cs="Times New Roman"/>
          <w:color w:val="000000"/>
          <w:sz w:val="24"/>
          <w:szCs w:val="24"/>
          <w:shd w:val="clear" w:color="auto" w:fill="FFFFFF"/>
        </w:rPr>
        <w:t>em</w:t>
      </w:r>
      <w:r w:rsidR="005B1D07" w:rsidRPr="00355AD7">
        <w:rPr>
          <w:rFonts w:ascii="Times New Roman" w:hAnsi="Times New Roman" w:cs="Times New Roman"/>
          <w:color w:val="000000"/>
          <w:sz w:val="24"/>
          <w:szCs w:val="24"/>
          <w:shd w:val="clear" w:color="auto" w:fill="FFFFFF"/>
        </w:rPr>
        <w:t xml:space="preserve"> </w:t>
      </w:r>
      <w:r w:rsidR="005B1D07">
        <w:rPr>
          <w:rFonts w:ascii="Times New Roman" w:hAnsi="Times New Roman" w:cs="Times New Roman"/>
          <w:color w:val="000000"/>
          <w:sz w:val="24"/>
          <w:szCs w:val="24"/>
          <w:shd w:val="clear" w:color="auto" w:fill="FFFFFF"/>
        </w:rPr>
        <w:t xml:space="preserve">pacientes </w:t>
      </w:r>
      <w:r w:rsidR="005B1D07" w:rsidRPr="00355AD7">
        <w:rPr>
          <w:rFonts w:ascii="Times New Roman" w:hAnsi="Times New Roman" w:cs="Times New Roman"/>
          <w:color w:val="000000"/>
          <w:sz w:val="24"/>
          <w:szCs w:val="24"/>
          <w:shd w:val="clear" w:color="auto" w:fill="FFFFFF"/>
        </w:rPr>
        <w:t>internados com COVID-19</w:t>
      </w:r>
      <w:r w:rsidR="005B1D07">
        <w:rPr>
          <w:rFonts w:ascii="Times New Roman" w:hAnsi="Times New Roman" w:cs="Times New Roman"/>
          <w:color w:val="000000"/>
          <w:sz w:val="24"/>
          <w:szCs w:val="24"/>
          <w:shd w:val="clear" w:color="auto" w:fill="FFFFFF"/>
        </w:rPr>
        <w:t>, com intuito de</w:t>
      </w:r>
      <w:r w:rsidR="005B1D07" w:rsidRPr="00355AD7">
        <w:rPr>
          <w:rFonts w:ascii="Times New Roman" w:hAnsi="Times New Roman" w:cs="Times New Roman"/>
          <w:color w:val="000000"/>
          <w:sz w:val="24"/>
          <w:szCs w:val="24"/>
          <w:shd w:val="clear" w:color="auto" w:fill="FFFFFF"/>
        </w:rPr>
        <w:t xml:space="preserve"> prevenir déficit</w:t>
      </w:r>
      <w:r w:rsidR="005B1D07">
        <w:rPr>
          <w:rFonts w:ascii="Times New Roman" w:hAnsi="Times New Roman" w:cs="Times New Roman"/>
          <w:color w:val="000000"/>
          <w:sz w:val="24"/>
          <w:szCs w:val="24"/>
          <w:shd w:val="clear" w:color="auto" w:fill="FFFFFF"/>
        </w:rPr>
        <w:t>s e maior tempo de hospitalização</w:t>
      </w:r>
      <w:r w:rsidR="00A23335">
        <w:rPr>
          <w:rFonts w:ascii="Times New Roman" w:hAnsi="Times New Roman" w:cs="Times New Roman"/>
          <w:color w:val="000000"/>
          <w:sz w:val="24"/>
          <w:szCs w:val="24"/>
          <w:shd w:val="clear" w:color="auto" w:fill="FFFFFF"/>
        </w:rPr>
        <w:t>.</w:t>
      </w:r>
    </w:p>
    <w:p w14:paraId="48A8C533" w14:textId="77777777" w:rsidR="00067F27" w:rsidRDefault="00D97552" w:rsidP="003318D6">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Saúde, Nutrição,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w:t>
      </w:r>
    </w:p>
    <w:p w14:paraId="0DA216B6" w14:textId="77777777" w:rsidR="00067F27" w:rsidRDefault="00067F27">
      <w:pPr>
        <w:spacing w:after="0" w:line="360" w:lineRule="auto"/>
        <w:jc w:val="both"/>
        <w:rPr>
          <w:rFonts w:ascii="Times New Roman" w:eastAsia="Times New Roman" w:hAnsi="Times New Roman" w:cs="Times New Roman"/>
          <w:sz w:val="24"/>
          <w:szCs w:val="24"/>
        </w:rPr>
      </w:pPr>
    </w:p>
    <w:p w14:paraId="1E4E0E26" w14:textId="77777777" w:rsidR="00067F27" w:rsidRDefault="00D9755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33818CF7" w14:textId="0A40C35F" w:rsidR="00067F27" w:rsidRDefault="00D97552" w:rsidP="003318D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Relatório Divulgado pela Organização Mundial da Saúde (OMS) sobre COVID-19 até junho de 2020, </w:t>
      </w:r>
      <w:proofErr w:type="gramStart"/>
      <w:r>
        <w:rPr>
          <w:rFonts w:ascii="Times New Roman" w:eastAsia="Times New Roman" w:hAnsi="Times New Roman" w:cs="Times New Roman"/>
          <w:sz w:val="24"/>
          <w:szCs w:val="24"/>
        </w:rPr>
        <w:t>houveram</w:t>
      </w:r>
      <w:proofErr w:type="gramEnd"/>
      <w:r>
        <w:rPr>
          <w:rFonts w:ascii="Times New Roman" w:eastAsia="Times New Roman" w:hAnsi="Times New Roman" w:cs="Times New Roman"/>
          <w:sz w:val="24"/>
          <w:szCs w:val="24"/>
        </w:rPr>
        <w:t xml:space="preserve"> 6 milhões de casos confirmados da doença e mais de 371.000 mortes pelo </w:t>
      </w:r>
      <w:r w:rsidRPr="00915F62">
        <w:rPr>
          <w:rFonts w:ascii="Times New Roman" w:eastAsia="Times New Roman" w:hAnsi="Times New Roman" w:cs="Times New Roman"/>
          <w:sz w:val="24"/>
          <w:szCs w:val="24"/>
        </w:rPr>
        <w:t>mundo (</w:t>
      </w:r>
      <w:r w:rsidR="00C87AA7" w:rsidRPr="00915F62">
        <w:rPr>
          <w:rFonts w:ascii="Times New Roman" w:eastAsia="Times New Roman" w:hAnsi="Times New Roman" w:cs="Times New Roman"/>
          <w:sz w:val="24"/>
          <w:szCs w:val="24"/>
        </w:rPr>
        <w:t>WORLD HEALTH ORGANIZATION</w:t>
      </w:r>
      <w:r w:rsidRPr="00915F62">
        <w:rPr>
          <w:rFonts w:ascii="Times New Roman" w:eastAsia="Times New Roman" w:hAnsi="Times New Roman" w:cs="Times New Roman"/>
          <w:sz w:val="24"/>
          <w:szCs w:val="24"/>
        </w:rPr>
        <w:t xml:space="preserve">, 2020). As manifestações clínicas mais comuns apresentadas pela doença são </w:t>
      </w:r>
      <w:proofErr w:type="gramStart"/>
      <w:r w:rsidRPr="00915F62">
        <w:rPr>
          <w:rFonts w:ascii="Times New Roman" w:eastAsia="Times New Roman" w:hAnsi="Times New Roman" w:cs="Times New Roman"/>
          <w:sz w:val="24"/>
          <w:szCs w:val="24"/>
        </w:rPr>
        <w:t>febre</w:t>
      </w:r>
      <w:proofErr w:type="gramEnd"/>
      <w:r w:rsidRPr="00915F62">
        <w:rPr>
          <w:rFonts w:ascii="Times New Roman" w:eastAsia="Times New Roman" w:hAnsi="Times New Roman" w:cs="Times New Roman"/>
          <w:sz w:val="24"/>
          <w:szCs w:val="24"/>
        </w:rPr>
        <w:t>, tosse, fadiga, dores musculares, diarreia e pneumonia</w:t>
      </w:r>
      <w:r w:rsidR="00915F62">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odendo avançar para quadros graves como síndrome de dificuldade respiratória aguda, acidose </w:t>
      </w:r>
      <w:r>
        <w:rPr>
          <w:rFonts w:ascii="Times New Roman" w:eastAsia="Times New Roman" w:hAnsi="Times New Roman" w:cs="Times New Roman"/>
          <w:sz w:val="24"/>
          <w:szCs w:val="24"/>
        </w:rPr>
        <w:lastRenderedPageBreak/>
        <w:t xml:space="preserve">metabólica, choque séptico, disfunção de coagulação e insuficiência de órgãos (CHEN et al, 2020). Atualmente, não há tratamento terapêutico específico e as estratégias de proteção contra a doenças ainda não são bem definidas. Fatores de risco não modificáveis como idade avançada, sexo masculino e </w:t>
      </w:r>
      <w:proofErr w:type="spellStart"/>
      <w:r>
        <w:rPr>
          <w:rFonts w:ascii="Times New Roman" w:eastAsia="Times New Roman" w:hAnsi="Times New Roman" w:cs="Times New Roman"/>
          <w:sz w:val="24"/>
          <w:szCs w:val="24"/>
        </w:rPr>
        <w:t>comorbidades</w:t>
      </w:r>
      <w:proofErr w:type="spellEnd"/>
      <w:r>
        <w:rPr>
          <w:rFonts w:ascii="Times New Roman" w:eastAsia="Times New Roman" w:hAnsi="Times New Roman" w:cs="Times New Roman"/>
          <w:sz w:val="24"/>
          <w:szCs w:val="24"/>
        </w:rPr>
        <w:t>, mostraram estar relacionado a forma mais g</w:t>
      </w:r>
      <w:r w:rsidR="00915F62">
        <w:rPr>
          <w:rFonts w:ascii="Times New Roman" w:eastAsia="Times New Roman" w:hAnsi="Times New Roman" w:cs="Times New Roman"/>
          <w:sz w:val="24"/>
          <w:szCs w:val="24"/>
        </w:rPr>
        <w:t>rave da doença (YANG et al, 2020)</w:t>
      </w:r>
      <w:r w:rsidR="003318D6">
        <w:rPr>
          <w:rFonts w:ascii="Times New Roman" w:eastAsia="Times New Roman" w:hAnsi="Times New Roman" w:cs="Times New Roman"/>
          <w:sz w:val="24"/>
          <w:szCs w:val="24"/>
        </w:rPr>
        <w:t>.</w:t>
      </w:r>
    </w:p>
    <w:p w14:paraId="358CCC82" w14:textId="493F43FB" w:rsidR="00DC688C" w:rsidRDefault="00D97552" w:rsidP="003318D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hospitalização por </w:t>
      </w:r>
      <w:r w:rsidR="003318D6">
        <w:rPr>
          <w:rFonts w:ascii="Times New Roman" w:eastAsia="Times New Roman" w:hAnsi="Times New Roman" w:cs="Times New Roman"/>
          <w:sz w:val="24"/>
          <w:szCs w:val="24"/>
          <w:highlight w:val="white"/>
        </w:rPr>
        <w:t>COVID‐19</w:t>
      </w:r>
      <w:r>
        <w:rPr>
          <w:rFonts w:ascii="Times New Roman" w:eastAsia="Times New Roman" w:hAnsi="Times New Roman" w:cs="Times New Roman"/>
          <w:sz w:val="24"/>
          <w:szCs w:val="24"/>
        </w:rPr>
        <w:t xml:space="preserve">, na UTI (Unidade de Terapia Intensiva), perdura por cerca de 3 semanas, superando o tempo de internação em comparado a estadia normal. Após o despertar do paciente, o período de repouso na cama e a recuperação demandam tempo, podendo promover complicações de curto e longo prazo. Além disso, a desnutrição e o emagrecimento são fenômenos comuns em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xml:space="preserve">, e se tratando de longos períodos de internação, uma possível perda muscular deve ser reconhecida, monitorada e tratada adequadamente, a fim de evitar seu </w:t>
      </w:r>
      <w:r w:rsidR="00915F62">
        <w:rPr>
          <w:rFonts w:ascii="Times New Roman" w:eastAsia="Times New Roman" w:hAnsi="Times New Roman" w:cs="Times New Roman"/>
          <w:sz w:val="24"/>
          <w:szCs w:val="24"/>
        </w:rPr>
        <w:t>agravamento (SINGER et al, 2019</w:t>
      </w:r>
      <w:r>
        <w:rPr>
          <w:rFonts w:ascii="Times New Roman" w:eastAsia="Times New Roman" w:hAnsi="Times New Roman" w:cs="Times New Roman"/>
          <w:sz w:val="24"/>
          <w:szCs w:val="24"/>
        </w:rPr>
        <w:t xml:space="preserve">). Estudos demonstram que a interação entre doenças infecciosas e estado nutricional do hospedeiro, geralmente propicia a má nutrição do hospedeiro leva a um aumento da patogenicidade do agente infectante. Tendo relação direta com o aumento da mortalidade, associado a longos períodos de permanência nas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deficiências e morbidade geral após alta hospitalar (ARKIN et al, 2020).</w:t>
      </w:r>
      <w:r w:rsidR="005E260B">
        <w:rPr>
          <w:rFonts w:ascii="Times New Roman" w:eastAsia="Times New Roman" w:hAnsi="Times New Roman" w:cs="Times New Roman"/>
          <w:sz w:val="24"/>
          <w:szCs w:val="24"/>
        </w:rPr>
        <w:t xml:space="preserve"> </w:t>
      </w:r>
      <w:r w:rsidR="00857B38">
        <w:rPr>
          <w:rFonts w:ascii="Times New Roman" w:eastAsia="Times New Roman" w:hAnsi="Times New Roman" w:cs="Times New Roman"/>
          <w:sz w:val="24"/>
          <w:szCs w:val="24"/>
        </w:rPr>
        <w:t>Diante do exposto</w:t>
      </w:r>
      <w:r>
        <w:rPr>
          <w:rFonts w:ascii="Times New Roman" w:eastAsia="Times New Roman" w:hAnsi="Times New Roman" w:cs="Times New Roman"/>
          <w:sz w:val="24"/>
          <w:szCs w:val="24"/>
        </w:rPr>
        <w:t xml:space="preserve"> o objetivo deste estudo foi avaliar o perfil nutricional de adultos hospitalizados com Covid-19.</w:t>
      </w:r>
    </w:p>
    <w:p w14:paraId="1F523E82" w14:textId="77777777" w:rsidR="003318D6" w:rsidRPr="00DC688C" w:rsidRDefault="003318D6" w:rsidP="003318D6">
      <w:pPr>
        <w:spacing w:after="0" w:line="360" w:lineRule="auto"/>
        <w:ind w:firstLine="720"/>
        <w:jc w:val="both"/>
        <w:rPr>
          <w:rFonts w:ascii="Times New Roman" w:eastAsia="Times New Roman" w:hAnsi="Times New Roman" w:cs="Times New Roman"/>
          <w:sz w:val="24"/>
          <w:szCs w:val="24"/>
        </w:rPr>
      </w:pPr>
    </w:p>
    <w:p w14:paraId="216E88E8" w14:textId="7268F68A" w:rsidR="00915F62" w:rsidRPr="00915F62" w:rsidRDefault="00915F62" w:rsidP="003318D6">
      <w:pPr>
        <w:spacing w:after="0"/>
        <w:rPr>
          <w:rFonts w:ascii="Times New Roman" w:hAnsi="Times New Roman" w:cs="Times New Roman"/>
          <w:b/>
          <w:sz w:val="24"/>
          <w:szCs w:val="24"/>
        </w:rPr>
      </w:pPr>
      <w:r w:rsidRPr="00915F62">
        <w:rPr>
          <w:rFonts w:ascii="Times New Roman" w:hAnsi="Times New Roman" w:cs="Times New Roman"/>
          <w:b/>
          <w:sz w:val="24"/>
          <w:szCs w:val="24"/>
        </w:rPr>
        <w:t xml:space="preserve">2.MATERIAIS E </w:t>
      </w:r>
      <w:r w:rsidR="00D97552" w:rsidRPr="00915F62">
        <w:rPr>
          <w:rFonts w:ascii="Times New Roman" w:hAnsi="Times New Roman" w:cs="Times New Roman"/>
          <w:b/>
          <w:sz w:val="24"/>
          <w:szCs w:val="24"/>
        </w:rPr>
        <w:t>MÉTODOS</w:t>
      </w:r>
      <w:r w:rsidR="00D97552" w:rsidRPr="00915F62">
        <w:rPr>
          <w:rFonts w:ascii="Times New Roman" w:hAnsi="Times New Roman" w:cs="Times New Roman"/>
          <w:b/>
          <w:sz w:val="24"/>
          <w:szCs w:val="24"/>
        </w:rPr>
        <w:tab/>
      </w:r>
    </w:p>
    <w:p w14:paraId="06B6D3DD" w14:textId="2886DF02" w:rsidR="00067F27" w:rsidRDefault="00D97552" w:rsidP="00DC688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trabalho derivou dos resultados de uma coorte dinâmica, multicêntrico no Norte e Nordeste do país, com Centro Coordenador sediado em </w:t>
      </w:r>
      <w:proofErr w:type="spellStart"/>
      <w:r>
        <w:rPr>
          <w:rFonts w:ascii="Times New Roman" w:eastAsia="Times New Roman" w:hAnsi="Times New Roman" w:cs="Times New Roman"/>
          <w:sz w:val="24"/>
          <w:szCs w:val="24"/>
        </w:rPr>
        <w:t>Maceió-AL</w:t>
      </w:r>
      <w:proofErr w:type="spellEnd"/>
      <w:r>
        <w:rPr>
          <w:rFonts w:ascii="Times New Roman" w:eastAsia="Times New Roman" w:hAnsi="Times New Roman" w:cs="Times New Roman"/>
          <w:sz w:val="24"/>
          <w:szCs w:val="24"/>
        </w:rPr>
        <w:t>, na Universidade Federal de Alagoas, foi extraído os dados de indivíduos hospitalizados na capital alagoana. A pesquisa foi estruturada de acordo com as normas de pesquisa em seres humanos, segundo à resolução 196/96 do Conselho Nacional de Pesquisa para análise e aprovação, sob nº 4.171.161/2020. O plano amostral não probabilístico, por conveniência foi baseado em um número total de 57 adultos, de ambos os sexos, com idade entre 19 e 59 anos, foram excluídos o grupo de gestantes e incluídos apenas indivíduos com diagnóstico laboratorial para COVID-19 positivo.</w:t>
      </w:r>
    </w:p>
    <w:p w14:paraId="2EEA7790" w14:textId="5070A52A" w:rsidR="00067F27" w:rsidRDefault="00D97552" w:rsidP="00857B3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pacientes foram admitidos no estudo e identificados pelas nutricionistas dos serviços de cada hospital parceiro, por meio do registro em prontuário do diagnóstico de COVID-19 (comprovado por exames laboratoriais). A coordenação local do estudo </w:t>
      </w:r>
      <w:r>
        <w:rPr>
          <w:rFonts w:ascii="Times New Roman" w:eastAsia="Times New Roman" w:hAnsi="Times New Roman" w:cs="Times New Roman"/>
          <w:sz w:val="24"/>
          <w:szCs w:val="24"/>
        </w:rPr>
        <w:lastRenderedPageBreak/>
        <w:t xml:space="preserve">entrou em contato por telefone com o paciente ou familiar responsável. </w:t>
      </w:r>
      <w:r w:rsidR="00857B38">
        <w:rPr>
          <w:rFonts w:ascii="Times New Roman" w:eastAsia="Times New Roman" w:hAnsi="Times New Roman" w:cs="Times New Roman"/>
          <w:sz w:val="24"/>
          <w:szCs w:val="24"/>
        </w:rPr>
        <w:t xml:space="preserve">Após concordância em </w:t>
      </w:r>
      <w:r w:rsidR="00857B38" w:rsidRPr="00780A02">
        <w:rPr>
          <w:rFonts w:ascii="Times New Roman" w:eastAsia="Times New Roman" w:hAnsi="Times New Roman" w:cs="Times New Roman"/>
          <w:sz w:val="24"/>
          <w:szCs w:val="24"/>
        </w:rPr>
        <w:t xml:space="preserve">participação através do preenchimento do </w:t>
      </w:r>
      <w:r w:rsidR="00857B38" w:rsidRPr="00780A02">
        <w:rPr>
          <w:rFonts w:ascii="Times New Roman" w:hAnsi="Times New Roman" w:cs="Times New Roman"/>
          <w:sz w:val="24"/>
          <w:szCs w:val="24"/>
        </w:rPr>
        <w:t>Termo de Consentimento Livre e Esclarecido (TCLE) por meio de ferramentas digitais por questão de segurança sanitária</w:t>
      </w:r>
      <w:r w:rsidR="00857B38">
        <w:rPr>
          <w:rFonts w:ascii="Times New Roman" w:hAnsi="Times New Roman" w:cs="Times New Roman"/>
          <w:sz w:val="24"/>
          <w:szCs w:val="24"/>
        </w:rPr>
        <w:t xml:space="preserve">, </w:t>
      </w:r>
      <w:r>
        <w:rPr>
          <w:rFonts w:ascii="Times New Roman" w:eastAsia="Times New Roman" w:hAnsi="Times New Roman" w:cs="Times New Roman"/>
          <w:sz w:val="24"/>
          <w:szCs w:val="24"/>
        </w:rPr>
        <w:t>foi aplicado formulário</w:t>
      </w:r>
      <w:r w:rsidR="00857B38">
        <w:rPr>
          <w:rFonts w:ascii="Times New Roman" w:eastAsia="Times New Roman" w:hAnsi="Times New Roman" w:cs="Times New Roman"/>
          <w:sz w:val="24"/>
          <w:szCs w:val="24"/>
        </w:rPr>
        <w:t xml:space="preserve"> único </w:t>
      </w:r>
      <w:r>
        <w:rPr>
          <w:rFonts w:ascii="Times New Roman" w:eastAsia="Times New Roman" w:hAnsi="Times New Roman" w:cs="Times New Roman"/>
          <w:sz w:val="24"/>
          <w:szCs w:val="24"/>
        </w:rPr>
        <w:t xml:space="preserve">por meio de entrevista guiada. O formulário era individual, construídos no formulário Google </w:t>
      </w:r>
      <w:proofErr w:type="spellStart"/>
      <w:r>
        <w:rPr>
          <w:rFonts w:ascii="Times New Roman" w:eastAsia="Times New Roman" w:hAnsi="Times New Roman" w:cs="Times New Roman"/>
          <w:sz w:val="24"/>
          <w:szCs w:val="24"/>
        </w:rPr>
        <w:t>docs</w:t>
      </w:r>
      <w:proofErr w:type="spellEnd"/>
      <w:r>
        <w:rPr>
          <w:rFonts w:ascii="Times New Roman" w:eastAsia="Times New Roman" w:hAnsi="Times New Roman" w:cs="Times New Roman"/>
          <w:sz w:val="24"/>
          <w:szCs w:val="24"/>
        </w:rPr>
        <w:t xml:space="preserve"> e armazenados em co</w:t>
      </w:r>
      <w:r w:rsidR="00857B38">
        <w:rPr>
          <w:rFonts w:ascii="Times New Roman" w:eastAsia="Times New Roman" w:hAnsi="Times New Roman" w:cs="Times New Roman"/>
          <w:sz w:val="24"/>
          <w:szCs w:val="24"/>
        </w:rPr>
        <w:t>nta Google restrita do projeto. Foram obtidos dados de identificação (nome, idade, sexo), demográficos (estado civil, área de moradia, escolaridade), econômicos (renda familiar mensal), avaliação do estilo de vida (consumo de bebidas alcóolicas, tabagismo e prática de atividade física).</w:t>
      </w:r>
    </w:p>
    <w:p w14:paraId="2F3CE019" w14:textId="3A7FD92D" w:rsidR="00DC688C" w:rsidRDefault="00D97552" w:rsidP="003318D6">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915F62">
        <w:rPr>
          <w:rFonts w:ascii="Times New Roman" w:eastAsia="Times New Roman" w:hAnsi="Times New Roman" w:cs="Times New Roman"/>
          <w:sz w:val="24"/>
          <w:szCs w:val="24"/>
        </w:rPr>
        <w:t>Para</w:t>
      </w:r>
      <w:r w:rsidR="00C87AA7" w:rsidRPr="00915F62">
        <w:rPr>
          <w:rFonts w:ascii="Times New Roman" w:eastAsia="Times New Roman" w:hAnsi="Times New Roman" w:cs="Times New Roman"/>
          <w:sz w:val="24"/>
          <w:szCs w:val="24"/>
        </w:rPr>
        <w:t xml:space="preserve"> a avaliação do estado nutricional, foram coletados</w:t>
      </w:r>
      <w:r w:rsidRPr="00915F62">
        <w:rPr>
          <w:rFonts w:ascii="Times New Roman" w:eastAsia="Times New Roman" w:hAnsi="Times New Roman" w:cs="Times New Roman"/>
          <w:sz w:val="24"/>
          <w:szCs w:val="24"/>
        </w:rPr>
        <w:t xml:space="preserve"> os dados antropométricos </w:t>
      </w:r>
      <w:r w:rsidR="00C87AA7" w:rsidRPr="00915F62">
        <w:rPr>
          <w:rFonts w:ascii="Times New Roman" w:eastAsia="Times New Roman" w:hAnsi="Times New Roman" w:cs="Times New Roman"/>
          <w:sz w:val="24"/>
          <w:szCs w:val="24"/>
        </w:rPr>
        <w:t>tais como</w:t>
      </w:r>
      <w:r>
        <w:rPr>
          <w:rFonts w:ascii="Times New Roman" w:eastAsia="Times New Roman" w:hAnsi="Times New Roman" w:cs="Times New Roman"/>
          <w:sz w:val="24"/>
          <w:szCs w:val="24"/>
        </w:rPr>
        <w:t xml:space="preserve"> peso atual (pós-internamento), peso habitual (antes do internamento) e altura referidos pelo próprio paciente para cálculo do Índice de massa corporal (IMC), a c</w:t>
      </w:r>
      <w:r>
        <w:rPr>
          <w:rFonts w:ascii="Times New Roman" w:eastAsia="Times New Roman" w:hAnsi="Times New Roman" w:cs="Times New Roman"/>
          <w:sz w:val="24"/>
          <w:szCs w:val="24"/>
          <w:highlight w:val="white"/>
        </w:rPr>
        <w:t xml:space="preserve">lassificação do IMC foi segundo as categorias preconizadas pela World Health </w:t>
      </w:r>
      <w:proofErr w:type="spellStart"/>
      <w:r>
        <w:rPr>
          <w:rFonts w:ascii="Times New Roman" w:eastAsia="Times New Roman" w:hAnsi="Times New Roman" w:cs="Times New Roman"/>
          <w:sz w:val="24"/>
          <w:szCs w:val="24"/>
          <w:highlight w:val="white"/>
        </w:rPr>
        <w:t>Organization</w:t>
      </w:r>
      <w:proofErr w:type="spellEnd"/>
      <w:r>
        <w:rPr>
          <w:rFonts w:ascii="Times New Roman" w:eastAsia="Times New Roman" w:hAnsi="Times New Roman" w:cs="Times New Roman"/>
          <w:sz w:val="24"/>
          <w:szCs w:val="24"/>
          <w:highlight w:val="white"/>
        </w:rPr>
        <w:t xml:space="preserve"> (WHO, 1995) para adultos</w:t>
      </w:r>
      <w:r>
        <w:rPr>
          <w:rFonts w:ascii="Times New Roman" w:eastAsia="Times New Roman" w:hAnsi="Times New Roman" w:cs="Times New Roman"/>
          <w:sz w:val="24"/>
          <w:szCs w:val="24"/>
        </w:rPr>
        <w:t>, além do histórico de perda de peso nos últimos 6 meses.</w:t>
      </w:r>
    </w:p>
    <w:p w14:paraId="55BB78E0" w14:textId="77777777" w:rsidR="003318D6" w:rsidRDefault="003318D6" w:rsidP="003318D6">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14:paraId="72D9BEC3" w14:textId="72B20458" w:rsidR="00DC688C" w:rsidRDefault="00D97552" w:rsidP="00DC688C">
      <w:pPr>
        <w:tabs>
          <w:tab w:val="center" w:pos="4252"/>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RESULTADOS </w:t>
      </w:r>
      <w:r w:rsidR="00DC688C">
        <w:rPr>
          <w:rFonts w:ascii="Times New Roman" w:eastAsia="Times New Roman" w:hAnsi="Times New Roman" w:cs="Times New Roman"/>
          <w:b/>
          <w:sz w:val="24"/>
          <w:szCs w:val="24"/>
        </w:rPr>
        <w:t>E DISCUSSÃO</w:t>
      </w:r>
    </w:p>
    <w:p w14:paraId="1C2CC4DE" w14:textId="6A023B35" w:rsidR="00067F27" w:rsidRPr="00DC688C" w:rsidRDefault="00D97552" w:rsidP="00DC688C">
      <w:pPr>
        <w:spacing w:after="0" w:line="360" w:lineRule="auto"/>
        <w:ind w:firstLine="709"/>
        <w:jc w:val="both"/>
        <w:rPr>
          <w:rFonts w:ascii="Times New Roman" w:eastAsia="Times New Roman" w:hAnsi="Times New Roman" w:cs="Times New Roman"/>
          <w:b/>
          <w:sz w:val="24"/>
          <w:szCs w:val="24"/>
        </w:rPr>
      </w:pPr>
      <w:r w:rsidRPr="00C87AA7">
        <w:rPr>
          <w:rFonts w:ascii="Times" w:eastAsia="Gungsuh" w:hAnsi="Times" w:cs="Gungsuh"/>
          <w:sz w:val="24"/>
          <w:szCs w:val="24"/>
          <w:highlight w:val="white"/>
        </w:rPr>
        <w:t>Foram incluídos n</w:t>
      </w:r>
      <w:r w:rsidRPr="00915F62">
        <w:rPr>
          <w:rFonts w:ascii="Times New Roman" w:hAnsi="Times New Roman" w:cs="Times New Roman"/>
          <w:sz w:val="24"/>
          <w:szCs w:val="24"/>
          <w:highlight w:val="white"/>
        </w:rPr>
        <w:t>o estudo 57 pacientes internados, sendo 37% do sexo feminino e 63% masculino, com idade média de 44,8</w:t>
      </w:r>
      <w:r w:rsidRPr="00915F62">
        <w:rPr>
          <w:rFonts w:ascii="Times New Roman" w:hAnsi="Times New Roman" w:cs="Times New Roman"/>
          <w:sz w:val="24"/>
          <w:szCs w:val="24"/>
          <w:highlight w:val="white"/>
        </w:rPr>
        <w:t>土</w:t>
      </w:r>
      <w:r w:rsidRPr="00915F62">
        <w:rPr>
          <w:rFonts w:ascii="Times New Roman" w:hAnsi="Times New Roman" w:cs="Times New Roman"/>
          <w:sz w:val="24"/>
          <w:szCs w:val="24"/>
          <w:highlight w:val="white"/>
        </w:rPr>
        <w:t>10,</w:t>
      </w:r>
      <w:r w:rsidRPr="00915F62">
        <w:rPr>
          <w:rFonts w:ascii="Times New Roman" w:hAnsi="Times New Roman" w:cs="Times New Roman"/>
          <w:sz w:val="24"/>
          <w:szCs w:val="24"/>
        </w:rPr>
        <w:t>06</w:t>
      </w:r>
      <w:r w:rsidR="00C87AA7" w:rsidRPr="00915F62">
        <w:rPr>
          <w:rFonts w:ascii="Times New Roman" w:hAnsi="Times New Roman" w:cs="Times New Roman"/>
          <w:sz w:val="24"/>
          <w:szCs w:val="24"/>
        </w:rPr>
        <w:t xml:space="preserve"> anos</w:t>
      </w:r>
      <w:r w:rsidR="00AB1E99">
        <w:rPr>
          <w:rFonts w:ascii="Times New Roman" w:hAnsi="Times New Roman" w:cs="Times New Roman"/>
          <w:sz w:val="24"/>
          <w:szCs w:val="24"/>
        </w:rPr>
        <w:t>, a maioria casados (a) e que</w:t>
      </w:r>
      <w:r w:rsidR="00C87AA7" w:rsidRPr="00915F62">
        <w:rPr>
          <w:rFonts w:ascii="Times New Roman" w:hAnsi="Times New Roman" w:cs="Times New Roman"/>
          <w:sz w:val="24"/>
          <w:szCs w:val="24"/>
        </w:rPr>
        <w:t xml:space="preserve"> </w:t>
      </w:r>
      <w:r w:rsidRPr="00915F62">
        <w:rPr>
          <w:rFonts w:ascii="Times New Roman" w:hAnsi="Times New Roman" w:cs="Times New Roman"/>
          <w:sz w:val="24"/>
          <w:szCs w:val="24"/>
        </w:rPr>
        <w:t xml:space="preserve">tinham ensino médio completo ou superior completo, </w:t>
      </w:r>
      <w:r w:rsidR="00AB1E99">
        <w:rPr>
          <w:rFonts w:ascii="Times New Roman" w:hAnsi="Times New Roman" w:cs="Times New Roman"/>
          <w:sz w:val="24"/>
          <w:szCs w:val="24"/>
        </w:rPr>
        <w:t>mais da metade</w:t>
      </w:r>
      <w:r w:rsidR="00C87AA7" w:rsidRPr="00915F62">
        <w:rPr>
          <w:rFonts w:ascii="Times New Roman" w:hAnsi="Times New Roman" w:cs="Times New Roman"/>
          <w:sz w:val="24"/>
          <w:szCs w:val="24"/>
        </w:rPr>
        <w:t xml:space="preserve"> </w:t>
      </w:r>
      <w:r w:rsidR="00AB1E99">
        <w:rPr>
          <w:rFonts w:ascii="Times New Roman" w:hAnsi="Times New Roman" w:cs="Times New Roman"/>
          <w:sz w:val="24"/>
          <w:szCs w:val="24"/>
        </w:rPr>
        <w:t>morava</w:t>
      </w:r>
      <w:r w:rsidRPr="00915F62">
        <w:rPr>
          <w:rFonts w:ascii="Times New Roman" w:hAnsi="Times New Roman" w:cs="Times New Roman"/>
          <w:sz w:val="24"/>
          <w:szCs w:val="24"/>
        </w:rPr>
        <w:t xml:space="preserve"> </w:t>
      </w:r>
      <w:r w:rsidRPr="00915F62">
        <w:rPr>
          <w:rFonts w:ascii="Times New Roman" w:hAnsi="Times New Roman" w:cs="Times New Roman"/>
          <w:sz w:val="24"/>
          <w:szCs w:val="24"/>
          <w:highlight w:val="white"/>
        </w:rPr>
        <w:t>em área urbana e</w:t>
      </w:r>
      <w:r w:rsidR="00AB1E99">
        <w:rPr>
          <w:rFonts w:ascii="Times New Roman" w:hAnsi="Times New Roman" w:cs="Times New Roman"/>
          <w:sz w:val="24"/>
          <w:szCs w:val="24"/>
          <w:highlight w:val="white"/>
        </w:rPr>
        <w:t xml:space="preserve"> </w:t>
      </w:r>
      <w:r w:rsidRPr="00915F62">
        <w:rPr>
          <w:rFonts w:ascii="Times New Roman" w:hAnsi="Times New Roman" w:cs="Times New Roman"/>
          <w:sz w:val="24"/>
          <w:szCs w:val="24"/>
          <w:highlight w:val="white"/>
        </w:rPr>
        <w:t>tinham renda familiar mensal entre 1 e 2 salários mínimos</w:t>
      </w:r>
      <w:r w:rsidR="00C87AA7" w:rsidRPr="00915F62">
        <w:rPr>
          <w:rFonts w:ascii="Times New Roman" w:hAnsi="Times New Roman" w:cs="Times New Roman"/>
          <w:sz w:val="24"/>
          <w:szCs w:val="24"/>
          <w:highlight w:val="white"/>
        </w:rPr>
        <w:t>.</w:t>
      </w:r>
      <w:r w:rsidR="00915F62">
        <w:rPr>
          <w:rFonts w:ascii="Times New Roman" w:hAnsi="Times New Roman" w:cs="Times New Roman"/>
          <w:sz w:val="24"/>
          <w:szCs w:val="24"/>
          <w:highlight w:val="white"/>
        </w:rPr>
        <w:t xml:space="preserve"> </w:t>
      </w:r>
      <w:r w:rsidRPr="00915F62">
        <w:rPr>
          <w:rFonts w:ascii="Times New Roman" w:hAnsi="Times New Roman" w:cs="Times New Roman"/>
          <w:sz w:val="24"/>
          <w:szCs w:val="24"/>
          <w:highlight w:val="white"/>
        </w:rPr>
        <w:t xml:space="preserve">Entre os indivíduos estudados </w:t>
      </w:r>
      <w:r w:rsidR="00AB1E99">
        <w:rPr>
          <w:rFonts w:ascii="Times New Roman" w:hAnsi="Times New Roman" w:cs="Times New Roman"/>
          <w:sz w:val="24"/>
          <w:szCs w:val="24"/>
          <w:highlight w:val="white"/>
        </w:rPr>
        <w:t>maior parte era de</w:t>
      </w:r>
      <w:r w:rsidRPr="00915F62">
        <w:rPr>
          <w:rFonts w:ascii="Times New Roman" w:hAnsi="Times New Roman" w:cs="Times New Roman"/>
          <w:sz w:val="24"/>
          <w:szCs w:val="24"/>
          <w:highlight w:val="white"/>
        </w:rPr>
        <w:t xml:space="preserve"> moradores do interior do estado. Os dados sobre caracterização </w:t>
      </w:r>
      <w:r w:rsidR="003318D6">
        <w:rPr>
          <w:rFonts w:ascii="Times New Roman" w:hAnsi="Times New Roman" w:cs="Times New Roman"/>
          <w:sz w:val="24"/>
          <w:szCs w:val="24"/>
          <w:highlight w:val="white"/>
        </w:rPr>
        <w:t xml:space="preserve">demográfica e socioeconômica </w:t>
      </w:r>
      <w:r w:rsidRPr="00915F62">
        <w:rPr>
          <w:rFonts w:ascii="Times New Roman" w:hAnsi="Times New Roman" w:cs="Times New Roman"/>
          <w:sz w:val="24"/>
          <w:szCs w:val="24"/>
          <w:highlight w:val="white"/>
        </w:rPr>
        <w:t>encontram-se descritos na Tabela 1.</w:t>
      </w:r>
    </w:p>
    <w:p w14:paraId="7C8930EB" w14:textId="77777777" w:rsidR="00067F27" w:rsidRPr="00915F62" w:rsidRDefault="00D97552" w:rsidP="00DC688C">
      <w:pPr>
        <w:pBdr>
          <w:top w:val="nil"/>
          <w:left w:val="nil"/>
          <w:bottom w:val="nil"/>
          <w:right w:val="nil"/>
          <w:between w:val="nil"/>
        </w:pBdr>
        <w:spacing w:after="0" w:line="240" w:lineRule="auto"/>
        <w:ind w:firstLine="709"/>
        <w:jc w:val="both"/>
        <w:rPr>
          <w:rFonts w:ascii="Times" w:eastAsia="Times New Roman" w:hAnsi="Times" w:cs="Times New Roman"/>
          <w:sz w:val="24"/>
          <w:szCs w:val="24"/>
        </w:rPr>
      </w:pPr>
      <w:r w:rsidRPr="00C87AA7">
        <w:rPr>
          <w:rFonts w:ascii="Times" w:eastAsia="Times New Roman" w:hAnsi="Times" w:cs="Times New Roman"/>
          <w:b/>
          <w:sz w:val="20"/>
          <w:szCs w:val="20"/>
          <w:highlight w:val="white"/>
        </w:rPr>
        <w:t>Tabela 1</w:t>
      </w:r>
      <w:r w:rsidRPr="00C87AA7">
        <w:rPr>
          <w:rFonts w:ascii="Times" w:eastAsia="Times New Roman" w:hAnsi="Times" w:cs="Times New Roman"/>
          <w:sz w:val="20"/>
          <w:szCs w:val="20"/>
          <w:highlight w:val="white"/>
        </w:rPr>
        <w:t xml:space="preserve"> – Caracterização demográfica e </w:t>
      </w:r>
      <w:r w:rsidRPr="00915F62">
        <w:rPr>
          <w:rFonts w:ascii="Times" w:eastAsia="Times New Roman" w:hAnsi="Times" w:cs="Times New Roman"/>
          <w:sz w:val="20"/>
          <w:szCs w:val="20"/>
        </w:rPr>
        <w:t>socioeconômica</w:t>
      </w:r>
      <w:r w:rsidR="00F25015" w:rsidRPr="00915F62">
        <w:rPr>
          <w:rFonts w:ascii="Times" w:eastAsia="Times New Roman" w:hAnsi="Times" w:cs="Times New Roman"/>
          <w:sz w:val="20"/>
          <w:szCs w:val="20"/>
        </w:rPr>
        <w:t xml:space="preserve"> dos adultos hospitalizados no estado de A lagoas com COVID-19</w:t>
      </w:r>
    </w:p>
    <w:tbl>
      <w:tblPr>
        <w:tblStyle w:val="a"/>
        <w:tblW w:w="850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17"/>
        <w:gridCol w:w="4815"/>
        <w:gridCol w:w="885"/>
        <w:gridCol w:w="1185"/>
      </w:tblGrid>
      <w:tr w:rsidR="00067F27" w:rsidRPr="00C87AA7" w14:paraId="22AAB48D" w14:textId="77777777" w:rsidTr="003318D6">
        <w:trPr>
          <w:trHeight w:val="98"/>
        </w:trPr>
        <w:tc>
          <w:tcPr>
            <w:tcW w:w="1617" w:type="dxa"/>
            <w:tcBorders>
              <w:top w:val="single" w:sz="8" w:space="0" w:color="000000"/>
              <w:left w:val="nil"/>
              <w:bottom w:val="single" w:sz="8" w:space="0" w:color="000000"/>
              <w:right w:val="nil"/>
            </w:tcBorders>
            <w:tcMar>
              <w:top w:w="100" w:type="dxa"/>
              <w:left w:w="100" w:type="dxa"/>
              <w:bottom w:w="100" w:type="dxa"/>
              <w:right w:w="100" w:type="dxa"/>
            </w:tcMar>
          </w:tcPr>
          <w:p w14:paraId="36269105" w14:textId="77777777" w:rsidR="00067F27" w:rsidRPr="003318D6" w:rsidRDefault="00D97552">
            <w:pPr>
              <w:spacing w:after="0" w:line="240" w:lineRule="auto"/>
              <w:jc w:val="both"/>
              <w:rPr>
                <w:rFonts w:ascii="Times New Roman" w:eastAsia="Times New Roman" w:hAnsi="Times New Roman" w:cs="Times New Roman"/>
                <w:b/>
                <w:highlight w:val="white"/>
              </w:rPr>
            </w:pPr>
            <w:r w:rsidRPr="003318D6">
              <w:rPr>
                <w:rFonts w:ascii="Times New Roman" w:eastAsia="Times New Roman" w:hAnsi="Times New Roman" w:cs="Times New Roman"/>
                <w:b/>
                <w:highlight w:val="white"/>
              </w:rPr>
              <w:t>Variáveis</w:t>
            </w:r>
          </w:p>
        </w:tc>
        <w:tc>
          <w:tcPr>
            <w:tcW w:w="4815" w:type="dxa"/>
            <w:tcBorders>
              <w:top w:val="single" w:sz="8" w:space="0" w:color="000000"/>
              <w:left w:val="nil"/>
              <w:bottom w:val="single" w:sz="8" w:space="0" w:color="000000"/>
              <w:right w:val="nil"/>
            </w:tcBorders>
            <w:tcMar>
              <w:top w:w="100" w:type="dxa"/>
              <w:left w:w="100" w:type="dxa"/>
              <w:bottom w:w="100" w:type="dxa"/>
              <w:right w:w="100" w:type="dxa"/>
            </w:tcMar>
          </w:tcPr>
          <w:p w14:paraId="00964B28" w14:textId="77777777" w:rsidR="00067F27" w:rsidRPr="003318D6" w:rsidRDefault="00D97552">
            <w:pPr>
              <w:spacing w:after="0" w:line="240" w:lineRule="auto"/>
              <w:jc w:val="both"/>
              <w:rPr>
                <w:rFonts w:ascii="Times New Roman" w:eastAsia="Times New Roman" w:hAnsi="Times New Roman" w:cs="Times New Roman"/>
                <w:b/>
                <w:highlight w:val="white"/>
              </w:rPr>
            </w:pPr>
            <w:r w:rsidRPr="003318D6">
              <w:rPr>
                <w:rFonts w:ascii="Times New Roman" w:eastAsia="Times New Roman" w:hAnsi="Times New Roman" w:cs="Times New Roman"/>
                <w:b/>
                <w:highlight w:val="white"/>
              </w:rPr>
              <w:t>Categorias</w:t>
            </w:r>
          </w:p>
        </w:tc>
        <w:tc>
          <w:tcPr>
            <w:tcW w:w="885" w:type="dxa"/>
            <w:tcBorders>
              <w:top w:val="single" w:sz="8" w:space="0" w:color="000000"/>
              <w:left w:val="nil"/>
              <w:bottom w:val="single" w:sz="8" w:space="0" w:color="000000"/>
              <w:right w:val="nil"/>
            </w:tcBorders>
            <w:tcMar>
              <w:top w:w="100" w:type="dxa"/>
              <w:left w:w="100" w:type="dxa"/>
              <w:bottom w:w="100" w:type="dxa"/>
              <w:right w:w="100" w:type="dxa"/>
            </w:tcMar>
          </w:tcPr>
          <w:p w14:paraId="20CDE4F2" w14:textId="47EA6245" w:rsidR="00067F27" w:rsidRPr="003318D6" w:rsidRDefault="001E7CAF">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n</w:t>
            </w:r>
          </w:p>
        </w:tc>
        <w:tc>
          <w:tcPr>
            <w:tcW w:w="1185" w:type="dxa"/>
            <w:tcBorders>
              <w:top w:val="single" w:sz="8" w:space="0" w:color="000000"/>
              <w:left w:val="nil"/>
              <w:bottom w:val="single" w:sz="8" w:space="0" w:color="000000"/>
              <w:right w:val="nil"/>
            </w:tcBorders>
            <w:tcMar>
              <w:top w:w="100" w:type="dxa"/>
              <w:left w:w="100" w:type="dxa"/>
              <w:bottom w:w="100" w:type="dxa"/>
              <w:right w:w="100" w:type="dxa"/>
            </w:tcMar>
          </w:tcPr>
          <w:p w14:paraId="15D4E039" w14:textId="77777777" w:rsidR="00067F27" w:rsidRPr="003318D6" w:rsidRDefault="00D97552">
            <w:pPr>
              <w:spacing w:after="0" w:line="240" w:lineRule="auto"/>
              <w:jc w:val="both"/>
              <w:rPr>
                <w:rFonts w:ascii="Times New Roman" w:eastAsia="Times New Roman" w:hAnsi="Times New Roman" w:cs="Times New Roman"/>
                <w:b/>
                <w:highlight w:val="white"/>
              </w:rPr>
            </w:pPr>
            <w:r w:rsidRPr="003318D6">
              <w:rPr>
                <w:rFonts w:ascii="Times New Roman" w:eastAsia="Times New Roman" w:hAnsi="Times New Roman" w:cs="Times New Roman"/>
                <w:b/>
                <w:highlight w:val="white"/>
              </w:rPr>
              <w:t>%</w:t>
            </w:r>
          </w:p>
        </w:tc>
      </w:tr>
      <w:tr w:rsidR="00067F27" w:rsidRPr="00C87AA7" w14:paraId="2240CC58" w14:textId="77777777" w:rsidTr="003318D6">
        <w:trPr>
          <w:trHeight w:val="1059"/>
        </w:trPr>
        <w:tc>
          <w:tcPr>
            <w:tcW w:w="1617" w:type="dxa"/>
            <w:tcBorders>
              <w:top w:val="nil"/>
              <w:left w:val="nil"/>
              <w:bottom w:val="single" w:sz="8" w:space="0" w:color="000000"/>
              <w:right w:val="nil"/>
            </w:tcBorders>
            <w:tcMar>
              <w:top w:w="100" w:type="dxa"/>
              <w:left w:w="100" w:type="dxa"/>
              <w:bottom w:w="100" w:type="dxa"/>
              <w:right w:w="100" w:type="dxa"/>
            </w:tcMar>
          </w:tcPr>
          <w:p w14:paraId="09DD4C2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Estado civil</w:t>
            </w:r>
          </w:p>
        </w:tc>
        <w:tc>
          <w:tcPr>
            <w:tcW w:w="4815" w:type="dxa"/>
            <w:tcBorders>
              <w:top w:val="nil"/>
              <w:left w:val="nil"/>
              <w:bottom w:val="single" w:sz="8" w:space="0" w:color="000000"/>
              <w:right w:val="nil"/>
            </w:tcBorders>
            <w:tcMar>
              <w:top w:w="100" w:type="dxa"/>
              <w:left w:w="100" w:type="dxa"/>
              <w:bottom w:w="100" w:type="dxa"/>
              <w:right w:w="100" w:type="dxa"/>
            </w:tcMar>
          </w:tcPr>
          <w:p w14:paraId="09BEEB2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Solteiro (a)</w:t>
            </w:r>
          </w:p>
          <w:p w14:paraId="7C4F8F0A"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Casado (a)</w:t>
            </w:r>
          </w:p>
          <w:p w14:paraId="132F7BB8"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União estável</w:t>
            </w:r>
          </w:p>
          <w:p w14:paraId="1FA9EE21"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Divorciado (a)</w:t>
            </w:r>
          </w:p>
          <w:p w14:paraId="552128E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Viúvo (a)</w:t>
            </w:r>
          </w:p>
        </w:tc>
        <w:tc>
          <w:tcPr>
            <w:tcW w:w="885" w:type="dxa"/>
            <w:tcBorders>
              <w:top w:val="nil"/>
              <w:left w:val="nil"/>
              <w:bottom w:val="single" w:sz="8" w:space="0" w:color="000000"/>
              <w:right w:val="nil"/>
            </w:tcBorders>
            <w:tcMar>
              <w:top w:w="100" w:type="dxa"/>
              <w:left w:w="100" w:type="dxa"/>
              <w:bottom w:w="100" w:type="dxa"/>
              <w:right w:w="100" w:type="dxa"/>
            </w:tcMar>
          </w:tcPr>
          <w:p w14:paraId="7429FEC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11</w:t>
            </w:r>
          </w:p>
          <w:p w14:paraId="0A1F02BD"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34</w:t>
            </w:r>
          </w:p>
          <w:p w14:paraId="62B8D138"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673F32E6"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w:t>
            </w:r>
          </w:p>
          <w:p w14:paraId="7E908E6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w:t>
            </w:r>
          </w:p>
        </w:tc>
        <w:tc>
          <w:tcPr>
            <w:tcW w:w="1185" w:type="dxa"/>
            <w:tcBorders>
              <w:top w:val="nil"/>
              <w:left w:val="nil"/>
              <w:bottom w:val="single" w:sz="8" w:space="0" w:color="000000"/>
              <w:right w:val="nil"/>
            </w:tcBorders>
            <w:tcMar>
              <w:top w:w="100" w:type="dxa"/>
              <w:left w:w="100" w:type="dxa"/>
              <w:bottom w:w="100" w:type="dxa"/>
              <w:right w:w="100" w:type="dxa"/>
            </w:tcMar>
          </w:tcPr>
          <w:p w14:paraId="0AB4C28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19</w:t>
            </w:r>
          </w:p>
          <w:p w14:paraId="53971067"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60</w:t>
            </w:r>
          </w:p>
          <w:p w14:paraId="655D2013"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12</w:t>
            </w:r>
          </w:p>
          <w:p w14:paraId="40A45EE1"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7CD8BFBE"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w:t>
            </w:r>
          </w:p>
        </w:tc>
      </w:tr>
      <w:tr w:rsidR="00067F27" w:rsidRPr="00C87AA7" w14:paraId="03FE09B1" w14:textId="77777777" w:rsidTr="003318D6">
        <w:trPr>
          <w:trHeight w:val="2195"/>
        </w:trPr>
        <w:tc>
          <w:tcPr>
            <w:tcW w:w="1617" w:type="dxa"/>
            <w:tcBorders>
              <w:top w:val="nil"/>
              <w:left w:val="nil"/>
              <w:bottom w:val="single" w:sz="8" w:space="0" w:color="000000"/>
              <w:right w:val="nil"/>
            </w:tcBorders>
            <w:tcMar>
              <w:top w:w="100" w:type="dxa"/>
              <w:left w:w="100" w:type="dxa"/>
              <w:bottom w:w="100" w:type="dxa"/>
              <w:right w:w="100" w:type="dxa"/>
            </w:tcMar>
          </w:tcPr>
          <w:p w14:paraId="2AEC0A3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lastRenderedPageBreak/>
              <w:t>Escolaridade</w:t>
            </w:r>
          </w:p>
        </w:tc>
        <w:tc>
          <w:tcPr>
            <w:tcW w:w="4815" w:type="dxa"/>
            <w:tcBorders>
              <w:top w:val="nil"/>
              <w:left w:val="nil"/>
              <w:bottom w:val="single" w:sz="8" w:space="0" w:color="000000"/>
              <w:right w:val="nil"/>
            </w:tcBorders>
            <w:tcMar>
              <w:top w:w="100" w:type="dxa"/>
              <w:left w:w="100" w:type="dxa"/>
              <w:bottom w:w="100" w:type="dxa"/>
              <w:right w:w="100" w:type="dxa"/>
            </w:tcMar>
          </w:tcPr>
          <w:p w14:paraId="3C517777"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Analfabeto</w:t>
            </w:r>
          </w:p>
          <w:p w14:paraId="1C60D7A4"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Fundamental I (até 4º série) – Incompleto</w:t>
            </w:r>
          </w:p>
          <w:p w14:paraId="4A3D6606"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Fundamental I (até 4º série) – completo</w:t>
            </w:r>
          </w:p>
          <w:p w14:paraId="307FDDE8"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Fundamental II (da 5º a 8º série) – Incompleto</w:t>
            </w:r>
          </w:p>
          <w:p w14:paraId="3470CC1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Fundamental II (da 5º a 8º série) – completo</w:t>
            </w:r>
          </w:p>
          <w:p w14:paraId="6651B09E"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Médio – Incompleto</w:t>
            </w:r>
          </w:p>
          <w:p w14:paraId="66F194AF"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Médio – completo</w:t>
            </w:r>
          </w:p>
          <w:p w14:paraId="5CE1DE01"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Superior – Incompleto</w:t>
            </w:r>
          </w:p>
          <w:p w14:paraId="600EC3C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Superior – completo</w:t>
            </w:r>
          </w:p>
          <w:p w14:paraId="317A577B" w14:textId="77777777" w:rsidR="00067F27" w:rsidRPr="003318D6" w:rsidRDefault="00D97552">
            <w:pPr>
              <w:spacing w:after="0" w:line="240" w:lineRule="auto"/>
              <w:jc w:val="both"/>
              <w:rPr>
                <w:rFonts w:ascii="Times New Roman" w:eastAsia="Times New Roman" w:hAnsi="Times New Roman" w:cs="Times New Roman"/>
                <w:highlight w:val="white"/>
              </w:rPr>
            </w:pPr>
            <w:proofErr w:type="gramStart"/>
            <w:r w:rsidRPr="003318D6">
              <w:rPr>
                <w:rFonts w:ascii="Times New Roman" w:eastAsia="Times New Roman" w:hAnsi="Times New Roman" w:cs="Times New Roman"/>
                <w:highlight w:val="white"/>
              </w:rPr>
              <w:t>Pós graduado</w:t>
            </w:r>
            <w:proofErr w:type="gramEnd"/>
            <w:r w:rsidRPr="003318D6">
              <w:rPr>
                <w:rFonts w:ascii="Times New Roman" w:eastAsia="Times New Roman" w:hAnsi="Times New Roman" w:cs="Times New Roman"/>
                <w:highlight w:val="white"/>
              </w:rPr>
              <w:t>(a)</w:t>
            </w:r>
          </w:p>
        </w:tc>
        <w:tc>
          <w:tcPr>
            <w:tcW w:w="885" w:type="dxa"/>
            <w:tcBorders>
              <w:top w:val="nil"/>
              <w:left w:val="nil"/>
              <w:bottom w:val="single" w:sz="8" w:space="0" w:color="000000"/>
              <w:right w:val="nil"/>
            </w:tcBorders>
            <w:tcMar>
              <w:top w:w="100" w:type="dxa"/>
              <w:left w:w="100" w:type="dxa"/>
              <w:bottom w:w="100" w:type="dxa"/>
              <w:right w:w="100" w:type="dxa"/>
            </w:tcMar>
          </w:tcPr>
          <w:p w14:paraId="3D7AD284"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2BEADAB6"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5</w:t>
            </w:r>
          </w:p>
          <w:p w14:paraId="6BD539E7"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6E1B3F3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w:t>
            </w:r>
          </w:p>
          <w:p w14:paraId="26540069"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7FA08C3D"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2</w:t>
            </w:r>
          </w:p>
          <w:p w14:paraId="4D310708"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8</w:t>
            </w:r>
          </w:p>
          <w:p w14:paraId="6CE795F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5</w:t>
            </w:r>
          </w:p>
          <w:p w14:paraId="0B704F2A"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8</w:t>
            </w:r>
          </w:p>
          <w:p w14:paraId="6E99C79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3</w:t>
            </w:r>
          </w:p>
        </w:tc>
        <w:tc>
          <w:tcPr>
            <w:tcW w:w="1185" w:type="dxa"/>
            <w:tcBorders>
              <w:top w:val="nil"/>
              <w:left w:val="nil"/>
              <w:bottom w:val="single" w:sz="8" w:space="0" w:color="000000"/>
              <w:right w:val="nil"/>
            </w:tcBorders>
            <w:tcMar>
              <w:top w:w="100" w:type="dxa"/>
              <w:left w:w="100" w:type="dxa"/>
              <w:bottom w:w="100" w:type="dxa"/>
              <w:right w:w="100" w:type="dxa"/>
            </w:tcMar>
          </w:tcPr>
          <w:p w14:paraId="1C8BA53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12</w:t>
            </w:r>
          </w:p>
          <w:p w14:paraId="344DADB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9</w:t>
            </w:r>
          </w:p>
          <w:p w14:paraId="230DCF39"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12</w:t>
            </w:r>
          </w:p>
          <w:p w14:paraId="63D388B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p w14:paraId="45308123"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12</w:t>
            </w:r>
          </w:p>
          <w:p w14:paraId="70D6FF71"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w:t>
            </w:r>
          </w:p>
          <w:p w14:paraId="03128931"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14</w:t>
            </w:r>
          </w:p>
          <w:p w14:paraId="7925C91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9</w:t>
            </w:r>
          </w:p>
          <w:p w14:paraId="39A011E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14</w:t>
            </w:r>
          </w:p>
          <w:p w14:paraId="4CDAE13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5</w:t>
            </w:r>
          </w:p>
        </w:tc>
      </w:tr>
      <w:tr w:rsidR="00067F27" w14:paraId="70E1EB30" w14:textId="77777777" w:rsidTr="003318D6">
        <w:trPr>
          <w:trHeight w:val="1170"/>
        </w:trPr>
        <w:tc>
          <w:tcPr>
            <w:tcW w:w="1617" w:type="dxa"/>
            <w:tcBorders>
              <w:top w:val="nil"/>
              <w:left w:val="nil"/>
              <w:bottom w:val="single" w:sz="8" w:space="0" w:color="000000"/>
              <w:right w:val="nil"/>
            </w:tcBorders>
            <w:tcMar>
              <w:top w:w="100" w:type="dxa"/>
              <w:left w:w="100" w:type="dxa"/>
              <w:bottom w:w="100" w:type="dxa"/>
              <w:right w:w="100" w:type="dxa"/>
            </w:tcMar>
          </w:tcPr>
          <w:p w14:paraId="43C68C9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Renda familiar mensal</w:t>
            </w:r>
          </w:p>
        </w:tc>
        <w:tc>
          <w:tcPr>
            <w:tcW w:w="4815" w:type="dxa"/>
            <w:tcBorders>
              <w:top w:val="nil"/>
              <w:left w:val="nil"/>
              <w:bottom w:val="single" w:sz="8" w:space="0" w:color="000000"/>
              <w:right w:val="nil"/>
            </w:tcBorders>
            <w:tcMar>
              <w:top w:w="100" w:type="dxa"/>
              <w:left w:w="100" w:type="dxa"/>
              <w:bottom w:w="100" w:type="dxa"/>
              <w:right w:w="100" w:type="dxa"/>
            </w:tcMar>
          </w:tcPr>
          <w:p w14:paraId="330B522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Menor que 1 salário mínimo*</w:t>
            </w:r>
          </w:p>
          <w:p w14:paraId="545C1E0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Entre 1 e 2 salários mínimos</w:t>
            </w:r>
          </w:p>
          <w:p w14:paraId="6CF7D2CB"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Entre 2 e 5 salários mínimos</w:t>
            </w:r>
          </w:p>
          <w:p w14:paraId="7A5EAC0E"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Entre 5 e 10 salários mínimos</w:t>
            </w:r>
          </w:p>
          <w:p w14:paraId="1CFB8E19"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Maior que 10 salários mínimos</w:t>
            </w:r>
          </w:p>
        </w:tc>
        <w:tc>
          <w:tcPr>
            <w:tcW w:w="885" w:type="dxa"/>
            <w:tcBorders>
              <w:top w:val="nil"/>
              <w:left w:val="nil"/>
              <w:bottom w:val="single" w:sz="8" w:space="0" w:color="000000"/>
              <w:right w:val="nil"/>
            </w:tcBorders>
            <w:tcMar>
              <w:top w:w="100" w:type="dxa"/>
              <w:left w:w="100" w:type="dxa"/>
              <w:bottom w:w="100" w:type="dxa"/>
              <w:right w:w="100" w:type="dxa"/>
            </w:tcMar>
          </w:tcPr>
          <w:p w14:paraId="7987160B"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8</w:t>
            </w:r>
          </w:p>
          <w:p w14:paraId="4E659058"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32</w:t>
            </w:r>
          </w:p>
          <w:p w14:paraId="295F4C9F"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11</w:t>
            </w:r>
          </w:p>
          <w:p w14:paraId="480B42A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w:t>
            </w:r>
          </w:p>
          <w:p w14:paraId="730816A4"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w:t>
            </w:r>
          </w:p>
        </w:tc>
        <w:tc>
          <w:tcPr>
            <w:tcW w:w="1185" w:type="dxa"/>
            <w:tcBorders>
              <w:top w:val="nil"/>
              <w:left w:val="nil"/>
              <w:bottom w:val="single" w:sz="8" w:space="0" w:color="000000"/>
              <w:right w:val="nil"/>
            </w:tcBorders>
            <w:tcMar>
              <w:top w:w="100" w:type="dxa"/>
              <w:left w:w="100" w:type="dxa"/>
              <w:bottom w:w="100" w:type="dxa"/>
              <w:right w:w="100" w:type="dxa"/>
            </w:tcMar>
          </w:tcPr>
          <w:p w14:paraId="185990F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14</w:t>
            </w:r>
          </w:p>
          <w:p w14:paraId="3F1AD8C0"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56</w:t>
            </w:r>
          </w:p>
          <w:p w14:paraId="03FA1E1D"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19</w:t>
            </w:r>
          </w:p>
          <w:p w14:paraId="2D61E247"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2</w:t>
            </w:r>
          </w:p>
          <w:p w14:paraId="1F3289E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7</w:t>
            </w:r>
          </w:p>
        </w:tc>
      </w:tr>
      <w:tr w:rsidR="00067F27" w14:paraId="175AE417" w14:textId="77777777" w:rsidTr="003318D6">
        <w:trPr>
          <w:trHeight w:val="359"/>
        </w:trPr>
        <w:tc>
          <w:tcPr>
            <w:tcW w:w="1617" w:type="dxa"/>
            <w:tcBorders>
              <w:top w:val="nil"/>
              <w:left w:val="nil"/>
              <w:bottom w:val="single" w:sz="8" w:space="0" w:color="000000"/>
              <w:right w:val="nil"/>
            </w:tcBorders>
            <w:tcMar>
              <w:top w:w="100" w:type="dxa"/>
              <w:left w:w="100" w:type="dxa"/>
              <w:bottom w:w="100" w:type="dxa"/>
              <w:right w:w="100" w:type="dxa"/>
            </w:tcMar>
          </w:tcPr>
          <w:p w14:paraId="26088314"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Área de moradia</w:t>
            </w:r>
          </w:p>
        </w:tc>
        <w:tc>
          <w:tcPr>
            <w:tcW w:w="4815" w:type="dxa"/>
            <w:tcBorders>
              <w:top w:val="nil"/>
              <w:left w:val="nil"/>
              <w:bottom w:val="single" w:sz="8" w:space="0" w:color="000000"/>
              <w:right w:val="nil"/>
            </w:tcBorders>
            <w:tcMar>
              <w:top w:w="100" w:type="dxa"/>
              <w:left w:w="100" w:type="dxa"/>
              <w:bottom w:w="100" w:type="dxa"/>
              <w:right w:w="100" w:type="dxa"/>
            </w:tcMar>
          </w:tcPr>
          <w:p w14:paraId="2F996CCF"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Área urbana</w:t>
            </w:r>
          </w:p>
          <w:p w14:paraId="2BF0132C"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Área rural</w:t>
            </w:r>
          </w:p>
        </w:tc>
        <w:tc>
          <w:tcPr>
            <w:tcW w:w="885" w:type="dxa"/>
            <w:tcBorders>
              <w:top w:val="nil"/>
              <w:left w:val="nil"/>
              <w:bottom w:val="single" w:sz="8" w:space="0" w:color="000000"/>
              <w:right w:val="nil"/>
            </w:tcBorders>
            <w:tcMar>
              <w:top w:w="100" w:type="dxa"/>
              <w:left w:w="100" w:type="dxa"/>
              <w:bottom w:w="100" w:type="dxa"/>
              <w:right w:w="100" w:type="dxa"/>
            </w:tcMar>
          </w:tcPr>
          <w:p w14:paraId="341C4DE3"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46</w:t>
            </w:r>
          </w:p>
          <w:p w14:paraId="3CE4BB35"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11</w:t>
            </w:r>
          </w:p>
        </w:tc>
        <w:tc>
          <w:tcPr>
            <w:tcW w:w="1185" w:type="dxa"/>
            <w:tcBorders>
              <w:top w:val="nil"/>
              <w:left w:val="nil"/>
              <w:bottom w:val="single" w:sz="8" w:space="0" w:color="000000"/>
              <w:right w:val="nil"/>
            </w:tcBorders>
            <w:tcMar>
              <w:top w:w="100" w:type="dxa"/>
              <w:left w:w="100" w:type="dxa"/>
              <w:bottom w:w="100" w:type="dxa"/>
              <w:right w:w="100" w:type="dxa"/>
            </w:tcMar>
          </w:tcPr>
          <w:p w14:paraId="2DEEAD82"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81</w:t>
            </w:r>
          </w:p>
          <w:p w14:paraId="3883121E" w14:textId="77777777" w:rsidR="00067F27" w:rsidRPr="003318D6" w:rsidRDefault="00D97552">
            <w:pPr>
              <w:spacing w:after="0" w:line="240" w:lineRule="auto"/>
              <w:jc w:val="both"/>
              <w:rPr>
                <w:rFonts w:ascii="Times New Roman" w:eastAsia="Times New Roman" w:hAnsi="Times New Roman" w:cs="Times New Roman"/>
                <w:highlight w:val="white"/>
              </w:rPr>
            </w:pPr>
            <w:r w:rsidRPr="003318D6">
              <w:rPr>
                <w:rFonts w:ascii="Times New Roman" w:eastAsia="Times New Roman" w:hAnsi="Times New Roman" w:cs="Times New Roman"/>
                <w:highlight w:val="white"/>
              </w:rPr>
              <w:t>19</w:t>
            </w:r>
          </w:p>
        </w:tc>
      </w:tr>
    </w:tbl>
    <w:p w14:paraId="14ECFC02" w14:textId="77777777" w:rsidR="00067F27" w:rsidRPr="003318D6" w:rsidRDefault="00D97552">
      <w:pPr>
        <w:spacing w:after="0" w:line="360" w:lineRule="auto"/>
        <w:jc w:val="both"/>
        <w:rPr>
          <w:rFonts w:ascii="Times New Roman" w:eastAsia="Times New Roman" w:hAnsi="Times New Roman" w:cs="Times New Roman"/>
          <w:sz w:val="20"/>
          <w:szCs w:val="20"/>
          <w:highlight w:val="white"/>
        </w:rPr>
      </w:pPr>
      <w:r w:rsidRPr="003318D6">
        <w:rPr>
          <w:rFonts w:ascii="Times New Roman" w:eastAsia="Times New Roman" w:hAnsi="Times New Roman" w:cs="Times New Roman"/>
          <w:sz w:val="20"/>
          <w:szCs w:val="20"/>
          <w:highlight w:val="white"/>
        </w:rPr>
        <w:t>*O salário mínimo foi considerado o vigente do ano 2020 no valor de 1.045,00 reais.</w:t>
      </w:r>
    </w:p>
    <w:p w14:paraId="628C8E4C" w14:textId="0D9D1533" w:rsidR="00067F27" w:rsidRDefault="00D9755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Enquanto ao estilo de vida, 39% dos pacientes afirmaram fazer o consumo de bebidas alcoólicas, ao mesmo tempo 46% afirmaram não beber e 16% que haviam parado de beber por pelo menos os últimos 6 meses.  </w:t>
      </w:r>
      <w:r>
        <w:rPr>
          <w:rFonts w:ascii="Times New Roman" w:eastAsia="Times New Roman" w:hAnsi="Times New Roman" w:cs="Times New Roman"/>
          <w:sz w:val="24"/>
          <w:szCs w:val="24"/>
          <w:highlight w:val="white"/>
        </w:rPr>
        <w:t>Apesar de um relatório recente de que o consumo excessivo de álcool não está associado à hospitalização por COVID-19 no Rein</w:t>
      </w:r>
      <w:r w:rsidR="004F18CC">
        <w:rPr>
          <w:rFonts w:ascii="Times New Roman" w:eastAsia="Times New Roman" w:hAnsi="Times New Roman" w:cs="Times New Roman"/>
          <w:sz w:val="24"/>
          <w:szCs w:val="24"/>
          <w:highlight w:val="white"/>
        </w:rPr>
        <w:t xml:space="preserve">o Unido (HAMER et al </w:t>
      </w:r>
      <w:r>
        <w:rPr>
          <w:rFonts w:ascii="Times New Roman" w:eastAsia="Times New Roman" w:hAnsi="Times New Roman" w:cs="Times New Roman"/>
          <w:sz w:val="24"/>
          <w:szCs w:val="24"/>
          <w:highlight w:val="white"/>
        </w:rPr>
        <w:t>2020), existem inúmeras maneiras em que o consumo indevido de álcool é problemático no contexto de Infecção por COVID-19, como o impacto negativo na defesa inata do pulmão e na resposta a lesões (TESTINO, 2020).</w:t>
      </w:r>
    </w:p>
    <w:p w14:paraId="453BF4F1" w14:textId="479E53A4" w:rsidR="00067F27" w:rsidRDefault="00D97552">
      <w:pPr>
        <w:pBdr>
          <w:top w:val="nil"/>
          <w:left w:val="nil"/>
          <w:bottom w:val="nil"/>
          <w:right w:val="nil"/>
          <w:between w:val="nil"/>
        </w:pBdr>
        <w:spacing w:after="0" w:line="360" w:lineRule="auto"/>
        <w:ind w:firstLine="709"/>
        <w:jc w:val="both"/>
        <w:rPr>
          <w:rFonts w:ascii="Arial" w:eastAsia="Arial" w:hAnsi="Arial" w:cs="Arial"/>
          <w:color w:val="303030"/>
          <w:sz w:val="20"/>
          <w:szCs w:val="20"/>
          <w:highlight w:val="white"/>
        </w:rPr>
      </w:pPr>
      <w:r>
        <w:rPr>
          <w:rFonts w:ascii="Times New Roman" w:eastAsia="Times New Roman" w:hAnsi="Times New Roman" w:cs="Times New Roman"/>
          <w:sz w:val="24"/>
          <w:szCs w:val="24"/>
        </w:rPr>
        <w:t xml:space="preserve">Sobre tabagismo, 74% afirmaram não fumar e apenas 5% relataram fumar, enquanto 21% afirmaram ter parado de fumar a pelo menos 6 meses. Uma revisão sistemática e meta-análise feita por </w:t>
      </w:r>
      <w:proofErr w:type="spellStart"/>
      <w:r>
        <w:rPr>
          <w:rFonts w:ascii="Times New Roman" w:eastAsia="Times New Roman" w:hAnsi="Times New Roman" w:cs="Times New Roman"/>
          <w:sz w:val="24"/>
          <w:szCs w:val="24"/>
        </w:rPr>
        <w:t>Reddy</w:t>
      </w:r>
      <w:proofErr w:type="spellEnd"/>
      <w:r>
        <w:rPr>
          <w:rFonts w:ascii="Times New Roman" w:eastAsia="Times New Roman" w:hAnsi="Times New Roman" w:cs="Times New Roman"/>
          <w:sz w:val="24"/>
          <w:szCs w:val="24"/>
        </w:rPr>
        <w:t xml:space="preserve"> et al (2020), </w:t>
      </w:r>
      <w:r>
        <w:rPr>
          <w:rFonts w:ascii="Times New Roman" w:eastAsia="Times New Roman" w:hAnsi="Times New Roman" w:cs="Times New Roman"/>
          <w:sz w:val="24"/>
          <w:szCs w:val="24"/>
          <w:highlight w:val="white"/>
        </w:rPr>
        <w:t>analisou 47 estudos envolvendo pacientes com COVID‐19 hospitalizados, em que 8.417 relatou histó</w:t>
      </w:r>
      <w:r w:rsidR="003318D6">
        <w:rPr>
          <w:rFonts w:ascii="Times New Roman" w:eastAsia="Times New Roman" w:hAnsi="Times New Roman" w:cs="Times New Roman"/>
          <w:sz w:val="24"/>
          <w:szCs w:val="24"/>
          <w:highlight w:val="white"/>
        </w:rPr>
        <w:t>rico de tabagismo, observou que</w:t>
      </w:r>
      <w:r>
        <w:rPr>
          <w:rFonts w:ascii="Times New Roman" w:eastAsia="Times New Roman" w:hAnsi="Times New Roman" w:cs="Times New Roman"/>
          <w:sz w:val="24"/>
          <w:szCs w:val="24"/>
          <w:highlight w:val="white"/>
        </w:rPr>
        <w:t xml:space="preserve"> os que tinham qualquer histórico de tabagismo eram mais vulneráveis ​​a COVID‐19 grave e tiveram piores resultados hospitalares. </w:t>
      </w:r>
    </w:p>
    <w:p w14:paraId="28309AA4" w14:textId="77777777" w:rsidR="00067F27" w:rsidRDefault="00D9755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Já em relação a atividade física, 74% afirmaram não fazer nenhum tipo e apenas 26% faziam atividade física de pelo menos 30 minutos. Apesar de no momento pouco sabermos como os </w:t>
      </w:r>
      <w:r>
        <w:rPr>
          <w:rFonts w:ascii="Times New Roman" w:eastAsia="Times New Roman" w:hAnsi="Times New Roman" w:cs="Times New Roman"/>
          <w:sz w:val="24"/>
          <w:szCs w:val="24"/>
          <w:highlight w:val="white"/>
        </w:rPr>
        <w:t xml:space="preserve">exercícios podem interagir com o sistema imunológico para afetar a </w:t>
      </w:r>
      <w:proofErr w:type="spellStart"/>
      <w:r>
        <w:rPr>
          <w:rFonts w:ascii="Times New Roman" w:eastAsia="Times New Roman" w:hAnsi="Times New Roman" w:cs="Times New Roman"/>
          <w:sz w:val="24"/>
          <w:szCs w:val="24"/>
          <w:highlight w:val="white"/>
        </w:rPr>
        <w:t>infectividade</w:t>
      </w:r>
      <w:proofErr w:type="spellEnd"/>
      <w:r>
        <w:rPr>
          <w:rFonts w:ascii="Times New Roman" w:eastAsia="Times New Roman" w:hAnsi="Times New Roman" w:cs="Times New Roman"/>
          <w:sz w:val="24"/>
          <w:szCs w:val="24"/>
          <w:highlight w:val="white"/>
        </w:rPr>
        <w:t xml:space="preserve"> do SARS-CoV-2 e a suscetibilidade à doença COVID-19</w:t>
      </w:r>
      <w:r>
        <w:rPr>
          <w:rFonts w:ascii="Times New Roman" w:eastAsia="Times New Roman" w:hAnsi="Times New Roman" w:cs="Times New Roman"/>
          <w:sz w:val="24"/>
          <w:szCs w:val="24"/>
        </w:rPr>
        <w:t xml:space="preserve">, sabe-se que </w:t>
      </w:r>
      <w:r>
        <w:rPr>
          <w:rFonts w:ascii="Times New Roman" w:eastAsia="Times New Roman" w:hAnsi="Times New Roman" w:cs="Times New Roman"/>
          <w:sz w:val="24"/>
          <w:szCs w:val="24"/>
          <w:highlight w:val="white"/>
        </w:rPr>
        <w:t xml:space="preserve">a redução de atividades físicas e de exercícios, reduz a aptidão física, e este pode aumentar a suscetibilidade à infecções e certamente aumentar algumas </w:t>
      </w:r>
      <w:proofErr w:type="spellStart"/>
      <w:r>
        <w:rPr>
          <w:rFonts w:ascii="Times New Roman" w:eastAsia="Times New Roman" w:hAnsi="Times New Roman" w:cs="Times New Roman"/>
          <w:sz w:val="24"/>
          <w:szCs w:val="24"/>
          <w:highlight w:val="white"/>
        </w:rPr>
        <w:t>comorbidades</w:t>
      </w:r>
      <w:proofErr w:type="spellEnd"/>
      <w:r>
        <w:rPr>
          <w:rFonts w:ascii="Times New Roman" w:eastAsia="Times New Roman" w:hAnsi="Times New Roman" w:cs="Times New Roman"/>
          <w:sz w:val="24"/>
          <w:szCs w:val="24"/>
          <w:highlight w:val="white"/>
        </w:rPr>
        <w:t xml:space="preserve"> associadas a prognósticos ruins de COVID-19 (WOODS et al, 2020).</w:t>
      </w:r>
    </w:p>
    <w:p w14:paraId="6BA95E4A" w14:textId="49C8C473" w:rsidR="00067F27" w:rsidRDefault="00D9755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Quando perguntado sobre o apetite no período antes da internação, 77% afirmou diminuição do apetite e da ingestão de alimentos, nenhum (0%) relatou aumento do apetite e aumento da ingestão alimentar e 21% afirmaram que não tiveram mudanças no apetite e ingesta.  </w:t>
      </w:r>
      <w:proofErr w:type="spellStart"/>
      <w:r>
        <w:rPr>
          <w:rFonts w:ascii="Times New Roman" w:eastAsia="Times New Roman" w:hAnsi="Times New Roman" w:cs="Times New Roman"/>
          <w:sz w:val="24"/>
          <w:szCs w:val="24"/>
          <w:highlight w:val="white"/>
        </w:rPr>
        <w:t>Xiaobo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Zhao</w:t>
      </w:r>
      <w:proofErr w:type="spellEnd"/>
      <w:r>
        <w:rPr>
          <w:rFonts w:ascii="Times New Roman" w:eastAsia="Times New Roman" w:hAnsi="Times New Roman" w:cs="Times New Roman"/>
          <w:sz w:val="24"/>
          <w:szCs w:val="24"/>
          <w:highlight w:val="white"/>
        </w:rPr>
        <w:t xml:space="preserve"> et al</w:t>
      </w:r>
      <w:r w:rsidR="004F3B5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(2020) observ</w:t>
      </w:r>
      <w:r w:rsidR="004F3B54">
        <w:rPr>
          <w:rFonts w:ascii="Times New Roman" w:eastAsia="Times New Roman" w:hAnsi="Times New Roman" w:cs="Times New Roman"/>
          <w:sz w:val="24"/>
          <w:szCs w:val="24"/>
          <w:highlight w:val="white"/>
        </w:rPr>
        <w:t>aram</w:t>
      </w:r>
      <w:r>
        <w:rPr>
          <w:rFonts w:ascii="Times New Roman" w:eastAsia="Times New Roman" w:hAnsi="Times New Roman" w:cs="Times New Roman"/>
          <w:sz w:val="24"/>
          <w:szCs w:val="24"/>
          <w:highlight w:val="white"/>
        </w:rPr>
        <w:t xml:space="preserve"> que a perda de apetite e redução da ingestão alimentar aconteceu </w:t>
      </w:r>
      <w:proofErr w:type="gramStart"/>
      <w:r>
        <w:rPr>
          <w:rFonts w:ascii="Times New Roman" w:eastAsia="Times New Roman" w:hAnsi="Times New Roman" w:cs="Times New Roman"/>
          <w:sz w:val="24"/>
          <w:szCs w:val="24"/>
          <w:highlight w:val="white"/>
        </w:rPr>
        <w:t>em  246</w:t>
      </w:r>
      <w:proofErr w:type="gramEnd"/>
      <w:r>
        <w:rPr>
          <w:rFonts w:ascii="Times New Roman" w:eastAsia="Times New Roman" w:hAnsi="Times New Roman" w:cs="Times New Roman"/>
          <w:sz w:val="24"/>
          <w:szCs w:val="24"/>
          <w:highlight w:val="white"/>
        </w:rPr>
        <w:t xml:space="preserve"> pacientes (60%) dos 413 avaliados, apresentando quadro acentuado a deficiência de nutrientes. </w:t>
      </w:r>
      <w:r>
        <w:rPr>
          <w:rFonts w:ascii="Times New Roman" w:eastAsia="Times New Roman" w:hAnsi="Times New Roman" w:cs="Times New Roman"/>
          <w:sz w:val="24"/>
          <w:szCs w:val="24"/>
        </w:rPr>
        <w:t>Em reflexo a essas informações, a perda de peso nos últimos 6 meses foi de 49% vs. 32% aos que afirmaram não ter tido perda de peso, enquanto 19% não souberam dizer se tiveram perda de peso ou não.</w:t>
      </w:r>
    </w:p>
    <w:p w14:paraId="5B933F7B" w14:textId="362554A2" w:rsidR="00067F27" w:rsidRPr="00A23335" w:rsidRDefault="00D9755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Enquanto ao IMC a maioria dos estudados estavam </w:t>
      </w:r>
      <w:proofErr w:type="spellStart"/>
      <w:r>
        <w:rPr>
          <w:rFonts w:ascii="Times New Roman" w:eastAsia="Times New Roman" w:hAnsi="Times New Roman" w:cs="Times New Roman"/>
          <w:sz w:val="24"/>
          <w:szCs w:val="24"/>
          <w:highlight w:val="white"/>
        </w:rPr>
        <w:t>eutróficos</w:t>
      </w:r>
      <w:proofErr w:type="spellEnd"/>
      <w:r>
        <w:rPr>
          <w:rFonts w:ascii="Times New Roman" w:eastAsia="Times New Roman" w:hAnsi="Times New Roman" w:cs="Times New Roman"/>
          <w:sz w:val="24"/>
          <w:szCs w:val="24"/>
          <w:highlight w:val="white"/>
        </w:rPr>
        <w:t xml:space="preserve"> no momento do internamento e ante</w:t>
      </w:r>
      <w:r w:rsidR="00AB1E99">
        <w:rPr>
          <w:rFonts w:ascii="Times New Roman" w:eastAsia="Times New Roman" w:hAnsi="Times New Roman" w:cs="Times New Roman"/>
          <w:sz w:val="24"/>
          <w:szCs w:val="24"/>
          <w:highlight w:val="white"/>
        </w:rPr>
        <w:t>s do internamento</w:t>
      </w:r>
      <w:r>
        <w:rPr>
          <w:rFonts w:ascii="Times New Roman" w:eastAsia="Times New Roman" w:hAnsi="Times New Roman" w:cs="Times New Roman"/>
          <w:sz w:val="24"/>
          <w:szCs w:val="24"/>
          <w:highlight w:val="white"/>
        </w:rPr>
        <w:t>, se</w:t>
      </w:r>
      <w:r w:rsidR="00AB1E99">
        <w:rPr>
          <w:rFonts w:ascii="Times New Roman" w:eastAsia="Times New Roman" w:hAnsi="Times New Roman" w:cs="Times New Roman"/>
          <w:sz w:val="24"/>
          <w:szCs w:val="24"/>
          <w:highlight w:val="white"/>
        </w:rPr>
        <w:t>guido de sobrepeso</w:t>
      </w:r>
      <w:r w:rsidR="00687008">
        <w:rPr>
          <w:rFonts w:ascii="Times New Roman" w:eastAsia="Times New Roman" w:hAnsi="Times New Roman" w:cs="Times New Roman"/>
          <w:sz w:val="24"/>
          <w:szCs w:val="24"/>
          <w:highlight w:val="white"/>
        </w:rPr>
        <w:t>. D</w:t>
      </w:r>
      <w:r>
        <w:rPr>
          <w:rFonts w:ascii="Times New Roman" w:eastAsia="Times New Roman" w:hAnsi="Times New Roman" w:cs="Times New Roman"/>
          <w:sz w:val="24"/>
          <w:szCs w:val="24"/>
          <w:highlight w:val="white"/>
        </w:rPr>
        <w:t xml:space="preserve">iferentes estudos apontaram que o excesso de peso e as </w:t>
      </w:r>
      <w:proofErr w:type="spellStart"/>
      <w:r>
        <w:rPr>
          <w:rFonts w:ascii="Times New Roman" w:eastAsia="Times New Roman" w:hAnsi="Times New Roman" w:cs="Times New Roman"/>
          <w:sz w:val="24"/>
          <w:szCs w:val="24"/>
          <w:highlight w:val="white"/>
        </w:rPr>
        <w:t>comorbidades</w:t>
      </w:r>
      <w:proofErr w:type="spellEnd"/>
      <w:r>
        <w:rPr>
          <w:rFonts w:ascii="Times New Roman" w:eastAsia="Times New Roman" w:hAnsi="Times New Roman" w:cs="Times New Roman"/>
          <w:sz w:val="24"/>
          <w:szCs w:val="24"/>
          <w:highlight w:val="white"/>
        </w:rPr>
        <w:t xml:space="preserve"> relacionadas foram associadas a alterações fisiológicas, e maior suscetibilidade à infecção, patogenicidade e transmissão de COVID-19 (</w:t>
      </w:r>
      <w:r w:rsidR="001E7CAF">
        <w:rPr>
          <w:rFonts w:ascii="Times New Roman" w:eastAsia="Times New Roman" w:hAnsi="Times New Roman" w:cs="Times New Roman"/>
          <w:sz w:val="24"/>
          <w:szCs w:val="24"/>
          <w:highlight w:val="white"/>
        </w:rPr>
        <w:t>SILVEIRO, 2020)</w:t>
      </w:r>
      <w:r w:rsidR="00A23335" w:rsidRPr="00A23335">
        <w:rPr>
          <w:rFonts w:ascii="Times New Roman" w:eastAsia="Times New Roman" w:hAnsi="Times New Roman" w:cs="Times New Roman"/>
          <w:sz w:val="24"/>
          <w:szCs w:val="24"/>
          <w:highlight w:val="white"/>
        </w:rPr>
        <w:t xml:space="preserve">. </w:t>
      </w:r>
      <w:r w:rsidR="00A23335" w:rsidRPr="00A23335">
        <w:rPr>
          <w:rFonts w:ascii="Times New Roman" w:eastAsia="Times New Roman" w:hAnsi="Times New Roman" w:cs="Times New Roman"/>
          <w:sz w:val="24"/>
          <w:szCs w:val="24"/>
        </w:rPr>
        <w:t>L</w:t>
      </w:r>
      <w:r w:rsidR="00A23335" w:rsidRPr="00A23335">
        <w:rPr>
          <w:rFonts w:ascii="Times New Roman" w:hAnsi="Times New Roman" w:cs="Times New Roman"/>
          <w:color w:val="000000"/>
          <w:sz w:val="24"/>
          <w:szCs w:val="24"/>
          <w:shd w:val="clear" w:color="auto" w:fill="FFFFFF"/>
        </w:rPr>
        <w:t>eung et al</w:t>
      </w:r>
      <w:r w:rsidR="004F3B54">
        <w:rPr>
          <w:rFonts w:ascii="Times New Roman" w:hAnsi="Times New Roman" w:cs="Times New Roman"/>
          <w:color w:val="000000"/>
          <w:sz w:val="24"/>
          <w:szCs w:val="24"/>
          <w:shd w:val="clear" w:color="auto" w:fill="FFFFFF"/>
        </w:rPr>
        <w:t>.</w:t>
      </w:r>
      <w:bookmarkStart w:id="0" w:name="_GoBack"/>
      <w:bookmarkEnd w:id="0"/>
      <w:r w:rsidR="00A23335" w:rsidRPr="00A23335">
        <w:rPr>
          <w:rFonts w:ascii="Times New Roman" w:hAnsi="Times New Roman" w:cs="Times New Roman"/>
          <w:color w:val="000000"/>
          <w:sz w:val="24"/>
          <w:szCs w:val="24"/>
          <w:shd w:val="clear" w:color="auto" w:fill="FFFFFF"/>
        </w:rPr>
        <w:t xml:space="preserve"> (2020) </w:t>
      </w:r>
      <w:r w:rsidR="00A23335" w:rsidRPr="00915F62">
        <w:rPr>
          <w:rFonts w:ascii="Times New Roman" w:hAnsi="Times New Roman" w:cs="Times New Roman"/>
          <w:color w:val="000000"/>
          <w:sz w:val="24"/>
          <w:szCs w:val="24"/>
          <w:shd w:val="clear" w:color="auto" w:fill="FFFFFF"/>
        </w:rPr>
        <w:t>relat</w:t>
      </w:r>
      <w:r w:rsidR="005213C9" w:rsidRPr="00915F62">
        <w:rPr>
          <w:rFonts w:ascii="Times New Roman" w:hAnsi="Times New Roman" w:cs="Times New Roman"/>
          <w:color w:val="000000"/>
          <w:sz w:val="24"/>
          <w:szCs w:val="24"/>
          <w:shd w:val="clear" w:color="auto" w:fill="FFFFFF"/>
        </w:rPr>
        <w:t>aram</w:t>
      </w:r>
      <w:r w:rsidR="00A23335" w:rsidRPr="00A23335">
        <w:rPr>
          <w:rFonts w:ascii="Times New Roman" w:hAnsi="Times New Roman" w:cs="Times New Roman"/>
          <w:color w:val="000000"/>
          <w:sz w:val="24"/>
          <w:szCs w:val="24"/>
          <w:shd w:val="clear" w:color="auto" w:fill="FFFFFF"/>
        </w:rPr>
        <w:t xml:space="preserve"> que um IMC mais alto estava associado a resultados desfavoráveis ​​em indivíduos com COVID-19, em particular maior risco de hospitalização, risco de transferência de UTI e tempo de permanência na UTI e, finalmente, de morte.</w:t>
      </w:r>
    </w:p>
    <w:p w14:paraId="3AF7429A" w14:textId="77777777" w:rsidR="00067F27" w:rsidRDefault="00D97552">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0"/>
          <w:szCs w:val="20"/>
          <w:highlight w:val="white"/>
        </w:rPr>
        <w:t>Tabela 2</w:t>
      </w:r>
      <w:r>
        <w:rPr>
          <w:rFonts w:ascii="Times New Roman" w:eastAsia="Times New Roman" w:hAnsi="Times New Roman" w:cs="Times New Roman"/>
          <w:sz w:val="20"/>
          <w:szCs w:val="20"/>
          <w:highlight w:val="white"/>
        </w:rPr>
        <w:t xml:space="preserve"> – </w:t>
      </w:r>
      <w:r w:rsidR="005213C9">
        <w:rPr>
          <w:rFonts w:ascii="Times New Roman" w:eastAsia="Times New Roman" w:hAnsi="Times New Roman" w:cs="Times New Roman"/>
          <w:sz w:val="20"/>
          <w:szCs w:val="20"/>
          <w:highlight w:val="white"/>
        </w:rPr>
        <w:t>Caracterização do estado nutricional através do índice de massa corporal dos</w:t>
      </w:r>
      <w:r w:rsidR="00F25015">
        <w:rPr>
          <w:rFonts w:ascii="Times New Roman" w:eastAsia="Times New Roman" w:hAnsi="Times New Roman" w:cs="Times New Roman"/>
          <w:sz w:val="20"/>
          <w:szCs w:val="20"/>
          <w:highlight w:val="white"/>
        </w:rPr>
        <w:t xml:space="preserve"> </w:t>
      </w:r>
      <w:r w:rsidR="00F25015" w:rsidRPr="00F25015">
        <w:rPr>
          <w:rFonts w:ascii="Times" w:eastAsia="Times New Roman" w:hAnsi="Times" w:cs="Times New Roman"/>
          <w:sz w:val="20"/>
          <w:szCs w:val="20"/>
        </w:rPr>
        <w:t xml:space="preserve">adultos hospitalizados no estado de </w:t>
      </w:r>
      <w:r w:rsidR="00F25015">
        <w:rPr>
          <w:rFonts w:ascii="Times" w:eastAsia="Times New Roman" w:hAnsi="Times" w:cs="Times New Roman"/>
          <w:sz w:val="20"/>
          <w:szCs w:val="20"/>
        </w:rPr>
        <w:t>A</w:t>
      </w:r>
      <w:r w:rsidR="00F25015" w:rsidRPr="00F25015">
        <w:rPr>
          <w:rFonts w:ascii="Times" w:eastAsia="Times New Roman" w:hAnsi="Times" w:cs="Times New Roman"/>
          <w:sz w:val="20"/>
          <w:szCs w:val="20"/>
        </w:rPr>
        <w:t>lagoas com COVID-</w:t>
      </w:r>
      <w:r w:rsidR="00F25015">
        <w:rPr>
          <w:rFonts w:ascii="Times New Roman" w:eastAsia="Times New Roman" w:hAnsi="Times New Roman" w:cs="Times New Roman"/>
          <w:sz w:val="20"/>
          <w:szCs w:val="20"/>
          <w:highlight w:val="white"/>
        </w:rPr>
        <w:t>19</w:t>
      </w:r>
    </w:p>
    <w:tbl>
      <w:tblPr>
        <w:tblStyle w:val="a0"/>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40"/>
        <w:gridCol w:w="4395"/>
        <w:gridCol w:w="885"/>
        <w:gridCol w:w="1185"/>
      </w:tblGrid>
      <w:tr w:rsidR="00067F27" w14:paraId="2E42273F" w14:textId="77777777" w:rsidTr="001E7CAF">
        <w:trPr>
          <w:trHeight w:val="88"/>
        </w:trPr>
        <w:tc>
          <w:tcPr>
            <w:tcW w:w="2040" w:type="dxa"/>
            <w:tcBorders>
              <w:top w:val="single" w:sz="8" w:space="0" w:color="000000"/>
              <w:left w:val="nil"/>
              <w:bottom w:val="single" w:sz="8" w:space="0" w:color="000000"/>
              <w:right w:val="nil"/>
            </w:tcBorders>
            <w:tcMar>
              <w:top w:w="100" w:type="dxa"/>
              <w:left w:w="100" w:type="dxa"/>
              <w:bottom w:w="100" w:type="dxa"/>
              <w:right w:w="100" w:type="dxa"/>
            </w:tcMar>
          </w:tcPr>
          <w:p w14:paraId="3AC2DD85" w14:textId="77777777" w:rsidR="00067F27" w:rsidRPr="001E7CAF" w:rsidRDefault="00D97552">
            <w:pPr>
              <w:spacing w:after="0" w:line="240" w:lineRule="auto"/>
              <w:jc w:val="both"/>
              <w:rPr>
                <w:rFonts w:ascii="Times New Roman" w:eastAsia="Times New Roman" w:hAnsi="Times New Roman" w:cs="Times New Roman"/>
                <w:b/>
                <w:highlight w:val="white"/>
              </w:rPr>
            </w:pPr>
            <w:r w:rsidRPr="001E7CAF">
              <w:rPr>
                <w:rFonts w:ascii="Times New Roman" w:eastAsia="Times New Roman" w:hAnsi="Times New Roman" w:cs="Times New Roman"/>
                <w:b/>
                <w:highlight w:val="white"/>
              </w:rPr>
              <w:t>Variáveis</w:t>
            </w:r>
          </w:p>
        </w:tc>
        <w:tc>
          <w:tcPr>
            <w:tcW w:w="4395" w:type="dxa"/>
            <w:tcBorders>
              <w:top w:val="single" w:sz="8" w:space="0" w:color="000000"/>
              <w:left w:val="nil"/>
              <w:bottom w:val="single" w:sz="8" w:space="0" w:color="000000"/>
              <w:right w:val="nil"/>
            </w:tcBorders>
            <w:tcMar>
              <w:top w:w="100" w:type="dxa"/>
              <w:left w:w="100" w:type="dxa"/>
              <w:bottom w:w="100" w:type="dxa"/>
              <w:right w:w="100" w:type="dxa"/>
            </w:tcMar>
          </w:tcPr>
          <w:p w14:paraId="60B90D68" w14:textId="77777777" w:rsidR="00067F27" w:rsidRPr="001E7CAF" w:rsidRDefault="00D97552">
            <w:pPr>
              <w:spacing w:after="0" w:line="240" w:lineRule="auto"/>
              <w:jc w:val="both"/>
              <w:rPr>
                <w:rFonts w:ascii="Times New Roman" w:eastAsia="Times New Roman" w:hAnsi="Times New Roman" w:cs="Times New Roman"/>
                <w:b/>
                <w:highlight w:val="white"/>
              </w:rPr>
            </w:pPr>
            <w:r w:rsidRPr="001E7CAF">
              <w:rPr>
                <w:rFonts w:ascii="Times New Roman" w:eastAsia="Times New Roman" w:hAnsi="Times New Roman" w:cs="Times New Roman"/>
                <w:b/>
                <w:highlight w:val="white"/>
              </w:rPr>
              <w:t>Categorias</w:t>
            </w:r>
          </w:p>
        </w:tc>
        <w:tc>
          <w:tcPr>
            <w:tcW w:w="885" w:type="dxa"/>
            <w:tcBorders>
              <w:top w:val="single" w:sz="8" w:space="0" w:color="000000"/>
              <w:left w:val="nil"/>
              <w:bottom w:val="single" w:sz="8" w:space="0" w:color="000000"/>
              <w:right w:val="nil"/>
            </w:tcBorders>
            <w:tcMar>
              <w:top w:w="100" w:type="dxa"/>
              <w:left w:w="100" w:type="dxa"/>
              <w:bottom w:w="100" w:type="dxa"/>
              <w:right w:w="100" w:type="dxa"/>
            </w:tcMar>
          </w:tcPr>
          <w:p w14:paraId="364443AC" w14:textId="77777777" w:rsidR="00067F27" w:rsidRPr="001E7CAF" w:rsidRDefault="00D97552" w:rsidP="001E7CAF">
            <w:pPr>
              <w:spacing w:after="0" w:line="240" w:lineRule="auto"/>
              <w:jc w:val="center"/>
              <w:rPr>
                <w:rFonts w:ascii="Times New Roman" w:eastAsia="Times New Roman" w:hAnsi="Times New Roman" w:cs="Times New Roman"/>
                <w:b/>
                <w:highlight w:val="white"/>
              </w:rPr>
            </w:pPr>
            <w:r w:rsidRPr="001E7CAF">
              <w:rPr>
                <w:rFonts w:ascii="Times New Roman" w:eastAsia="Times New Roman" w:hAnsi="Times New Roman" w:cs="Times New Roman"/>
                <w:b/>
                <w:highlight w:val="white"/>
              </w:rPr>
              <w:t>n</w:t>
            </w:r>
          </w:p>
        </w:tc>
        <w:tc>
          <w:tcPr>
            <w:tcW w:w="1185" w:type="dxa"/>
            <w:tcBorders>
              <w:top w:val="single" w:sz="8" w:space="0" w:color="000000"/>
              <w:left w:val="nil"/>
              <w:bottom w:val="single" w:sz="8" w:space="0" w:color="000000"/>
              <w:right w:val="nil"/>
            </w:tcBorders>
            <w:tcMar>
              <w:top w:w="100" w:type="dxa"/>
              <w:left w:w="100" w:type="dxa"/>
              <w:bottom w:w="100" w:type="dxa"/>
              <w:right w:w="100" w:type="dxa"/>
            </w:tcMar>
          </w:tcPr>
          <w:p w14:paraId="73E4DEBE" w14:textId="77777777" w:rsidR="00067F27" w:rsidRPr="001E7CAF" w:rsidRDefault="00D97552" w:rsidP="001E7CAF">
            <w:pPr>
              <w:spacing w:after="0" w:line="240" w:lineRule="auto"/>
              <w:jc w:val="center"/>
              <w:rPr>
                <w:rFonts w:ascii="Times New Roman" w:eastAsia="Times New Roman" w:hAnsi="Times New Roman" w:cs="Times New Roman"/>
                <w:b/>
                <w:highlight w:val="white"/>
              </w:rPr>
            </w:pPr>
            <w:r w:rsidRPr="001E7CAF">
              <w:rPr>
                <w:rFonts w:ascii="Times New Roman" w:eastAsia="Times New Roman" w:hAnsi="Times New Roman" w:cs="Times New Roman"/>
                <w:b/>
                <w:highlight w:val="white"/>
              </w:rPr>
              <w:t>%</w:t>
            </w:r>
          </w:p>
        </w:tc>
      </w:tr>
      <w:tr w:rsidR="00067F27" w14:paraId="439BA32A" w14:textId="77777777" w:rsidTr="001E7CAF">
        <w:trPr>
          <w:trHeight w:val="1489"/>
        </w:trPr>
        <w:tc>
          <w:tcPr>
            <w:tcW w:w="2040" w:type="dxa"/>
            <w:tcBorders>
              <w:top w:val="nil"/>
              <w:left w:val="nil"/>
              <w:bottom w:val="single" w:sz="8" w:space="0" w:color="000000"/>
              <w:right w:val="nil"/>
            </w:tcBorders>
            <w:tcMar>
              <w:top w:w="100" w:type="dxa"/>
              <w:left w:w="100" w:type="dxa"/>
              <w:bottom w:w="100" w:type="dxa"/>
              <w:right w:w="100" w:type="dxa"/>
            </w:tcMar>
          </w:tcPr>
          <w:p w14:paraId="3AE8580E"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IMC</w:t>
            </w:r>
          </w:p>
          <w:p w14:paraId="7E86E574"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(internamento)</w:t>
            </w:r>
          </w:p>
        </w:tc>
        <w:tc>
          <w:tcPr>
            <w:tcW w:w="4395" w:type="dxa"/>
            <w:tcBorders>
              <w:top w:val="nil"/>
              <w:left w:val="nil"/>
              <w:bottom w:val="single" w:sz="8" w:space="0" w:color="000000"/>
              <w:right w:val="nil"/>
            </w:tcBorders>
            <w:tcMar>
              <w:top w:w="100" w:type="dxa"/>
              <w:left w:w="100" w:type="dxa"/>
              <w:bottom w:w="100" w:type="dxa"/>
              <w:right w:w="100" w:type="dxa"/>
            </w:tcMar>
          </w:tcPr>
          <w:p w14:paraId="181D8137"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Baixo peso</w:t>
            </w:r>
          </w:p>
          <w:p w14:paraId="3EF2C803" w14:textId="77777777" w:rsidR="00067F27" w:rsidRPr="001E7CAF" w:rsidRDefault="00D97552">
            <w:pPr>
              <w:spacing w:after="0" w:line="240" w:lineRule="auto"/>
              <w:jc w:val="both"/>
              <w:rPr>
                <w:rFonts w:ascii="Times New Roman" w:eastAsia="Times New Roman" w:hAnsi="Times New Roman" w:cs="Times New Roman"/>
                <w:highlight w:val="white"/>
              </w:rPr>
            </w:pPr>
            <w:proofErr w:type="spellStart"/>
            <w:r w:rsidRPr="001E7CAF">
              <w:rPr>
                <w:rFonts w:ascii="Times New Roman" w:eastAsia="Times New Roman" w:hAnsi="Times New Roman" w:cs="Times New Roman"/>
                <w:highlight w:val="white"/>
              </w:rPr>
              <w:t>Eutrofia</w:t>
            </w:r>
            <w:proofErr w:type="spellEnd"/>
          </w:p>
          <w:p w14:paraId="02EFFB4D"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Sobrepeso</w:t>
            </w:r>
          </w:p>
          <w:p w14:paraId="4B887524"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w:t>
            </w:r>
          </w:p>
          <w:p w14:paraId="4D02BA73"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II</w:t>
            </w:r>
          </w:p>
          <w:p w14:paraId="7CB7AC7C"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III</w:t>
            </w:r>
          </w:p>
        </w:tc>
        <w:tc>
          <w:tcPr>
            <w:tcW w:w="885" w:type="dxa"/>
            <w:tcBorders>
              <w:top w:val="nil"/>
              <w:left w:val="nil"/>
              <w:bottom w:val="single" w:sz="8" w:space="0" w:color="000000"/>
              <w:right w:val="nil"/>
            </w:tcBorders>
            <w:tcMar>
              <w:top w:w="100" w:type="dxa"/>
              <w:left w:w="100" w:type="dxa"/>
              <w:bottom w:w="100" w:type="dxa"/>
              <w:right w:w="100" w:type="dxa"/>
            </w:tcMar>
          </w:tcPr>
          <w:p w14:paraId="2D6101AA"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w:t>
            </w:r>
          </w:p>
          <w:p w14:paraId="7D89B0E5"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18</w:t>
            </w:r>
          </w:p>
          <w:p w14:paraId="26542EBD"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16</w:t>
            </w:r>
          </w:p>
          <w:p w14:paraId="0691D1B8"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12</w:t>
            </w:r>
          </w:p>
          <w:p w14:paraId="23273725"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8</w:t>
            </w:r>
          </w:p>
          <w:p w14:paraId="327B3BDE"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w:t>
            </w:r>
          </w:p>
        </w:tc>
        <w:tc>
          <w:tcPr>
            <w:tcW w:w="1185" w:type="dxa"/>
            <w:tcBorders>
              <w:top w:val="nil"/>
              <w:left w:val="nil"/>
              <w:bottom w:val="single" w:sz="8" w:space="0" w:color="000000"/>
              <w:right w:val="nil"/>
            </w:tcBorders>
            <w:tcMar>
              <w:top w:w="100" w:type="dxa"/>
              <w:left w:w="100" w:type="dxa"/>
              <w:bottom w:w="100" w:type="dxa"/>
              <w:right w:w="100" w:type="dxa"/>
            </w:tcMar>
          </w:tcPr>
          <w:p w14:paraId="3CB47AAE"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3,5</w:t>
            </w:r>
          </w:p>
          <w:p w14:paraId="72D3468A"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31,6</w:t>
            </w:r>
          </w:p>
          <w:p w14:paraId="2E461A77"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28,1</w:t>
            </w:r>
          </w:p>
          <w:p w14:paraId="5272044C"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21,1</w:t>
            </w:r>
          </w:p>
          <w:p w14:paraId="7B1BB2DE"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14</w:t>
            </w:r>
          </w:p>
          <w:p w14:paraId="70A9F7FD"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1,7</w:t>
            </w:r>
          </w:p>
        </w:tc>
      </w:tr>
      <w:tr w:rsidR="00067F27" w14:paraId="3B226F24" w14:textId="77777777" w:rsidTr="001E7CAF">
        <w:trPr>
          <w:trHeight w:val="1329"/>
        </w:trPr>
        <w:tc>
          <w:tcPr>
            <w:tcW w:w="2040" w:type="dxa"/>
            <w:tcBorders>
              <w:top w:val="nil"/>
              <w:left w:val="nil"/>
              <w:bottom w:val="single" w:sz="8" w:space="0" w:color="000000"/>
              <w:right w:val="nil"/>
            </w:tcBorders>
            <w:tcMar>
              <w:top w:w="100" w:type="dxa"/>
              <w:left w:w="100" w:type="dxa"/>
              <w:bottom w:w="100" w:type="dxa"/>
              <w:right w:w="100" w:type="dxa"/>
            </w:tcMar>
          </w:tcPr>
          <w:p w14:paraId="44CF5EA5"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 xml:space="preserve">IMC </w:t>
            </w:r>
          </w:p>
          <w:p w14:paraId="626EB85B"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(anterior ao internamento)</w:t>
            </w:r>
          </w:p>
        </w:tc>
        <w:tc>
          <w:tcPr>
            <w:tcW w:w="4395" w:type="dxa"/>
            <w:tcBorders>
              <w:top w:val="nil"/>
              <w:left w:val="nil"/>
              <w:bottom w:val="single" w:sz="8" w:space="0" w:color="000000"/>
              <w:right w:val="nil"/>
            </w:tcBorders>
            <w:tcMar>
              <w:top w:w="100" w:type="dxa"/>
              <w:left w:w="100" w:type="dxa"/>
              <w:bottom w:w="100" w:type="dxa"/>
              <w:right w:w="100" w:type="dxa"/>
            </w:tcMar>
          </w:tcPr>
          <w:p w14:paraId="4CA361C9"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Baixo peso</w:t>
            </w:r>
          </w:p>
          <w:p w14:paraId="32EB36FC" w14:textId="77777777" w:rsidR="00067F27" w:rsidRPr="001E7CAF" w:rsidRDefault="00D97552">
            <w:pPr>
              <w:spacing w:after="0" w:line="240" w:lineRule="auto"/>
              <w:jc w:val="both"/>
              <w:rPr>
                <w:rFonts w:ascii="Times New Roman" w:eastAsia="Times New Roman" w:hAnsi="Times New Roman" w:cs="Times New Roman"/>
                <w:highlight w:val="white"/>
              </w:rPr>
            </w:pPr>
            <w:proofErr w:type="spellStart"/>
            <w:r w:rsidRPr="001E7CAF">
              <w:rPr>
                <w:rFonts w:ascii="Times New Roman" w:eastAsia="Times New Roman" w:hAnsi="Times New Roman" w:cs="Times New Roman"/>
                <w:highlight w:val="white"/>
              </w:rPr>
              <w:t>Eutrofia</w:t>
            </w:r>
            <w:proofErr w:type="spellEnd"/>
          </w:p>
          <w:p w14:paraId="04A928A8"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Sobrepeso</w:t>
            </w:r>
          </w:p>
          <w:p w14:paraId="688976F7"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w:t>
            </w:r>
          </w:p>
          <w:p w14:paraId="7CA5DBEF"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II</w:t>
            </w:r>
          </w:p>
          <w:p w14:paraId="01F369D9" w14:textId="77777777" w:rsidR="00067F27" w:rsidRPr="001E7CAF" w:rsidRDefault="00D97552">
            <w:pPr>
              <w:spacing w:after="0" w:line="240" w:lineRule="auto"/>
              <w:jc w:val="both"/>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Obesidade grau III</w:t>
            </w:r>
          </w:p>
        </w:tc>
        <w:tc>
          <w:tcPr>
            <w:tcW w:w="885" w:type="dxa"/>
            <w:tcBorders>
              <w:top w:val="nil"/>
              <w:left w:val="nil"/>
              <w:bottom w:val="single" w:sz="8" w:space="0" w:color="000000"/>
              <w:right w:val="nil"/>
            </w:tcBorders>
            <w:tcMar>
              <w:top w:w="100" w:type="dxa"/>
              <w:left w:w="100" w:type="dxa"/>
              <w:bottom w:w="100" w:type="dxa"/>
              <w:right w:w="100" w:type="dxa"/>
            </w:tcMar>
          </w:tcPr>
          <w:p w14:paraId="72304D6C"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w:t>
            </w:r>
          </w:p>
          <w:p w14:paraId="42170CCA"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16</w:t>
            </w:r>
          </w:p>
          <w:p w14:paraId="0952892A"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16</w:t>
            </w:r>
          </w:p>
          <w:p w14:paraId="3E64B353"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13</w:t>
            </w:r>
          </w:p>
          <w:p w14:paraId="3840514B"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9</w:t>
            </w:r>
          </w:p>
          <w:p w14:paraId="167B716E"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w:t>
            </w:r>
          </w:p>
        </w:tc>
        <w:tc>
          <w:tcPr>
            <w:tcW w:w="1185" w:type="dxa"/>
            <w:tcBorders>
              <w:top w:val="nil"/>
              <w:left w:val="nil"/>
              <w:bottom w:val="single" w:sz="8" w:space="0" w:color="000000"/>
              <w:right w:val="nil"/>
            </w:tcBorders>
            <w:tcMar>
              <w:top w:w="100" w:type="dxa"/>
              <w:left w:w="100" w:type="dxa"/>
              <w:bottom w:w="100" w:type="dxa"/>
              <w:right w:w="100" w:type="dxa"/>
            </w:tcMar>
          </w:tcPr>
          <w:p w14:paraId="18BB51DE"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1,8</w:t>
            </w:r>
          </w:p>
          <w:p w14:paraId="6540815F"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28</w:t>
            </w:r>
          </w:p>
          <w:p w14:paraId="76AFFD8A"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28</w:t>
            </w:r>
          </w:p>
          <w:p w14:paraId="589E83C7"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22,8</w:t>
            </w:r>
          </w:p>
          <w:p w14:paraId="543251D1"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15,8</w:t>
            </w:r>
          </w:p>
          <w:p w14:paraId="2979A7AD" w14:textId="77777777" w:rsidR="00067F27" w:rsidRPr="001E7CAF" w:rsidRDefault="00D97552" w:rsidP="001E7CAF">
            <w:pPr>
              <w:spacing w:after="0" w:line="240" w:lineRule="auto"/>
              <w:jc w:val="center"/>
              <w:rPr>
                <w:rFonts w:ascii="Times New Roman" w:eastAsia="Times New Roman" w:hAnsi="Times New Roman" w:cs="Times New Roman"/>
                <w:highlight w:val="white"/>
              </w:rPr>
            </w:pPr>
            <w:r w:rsidRPr="001E7CAF">
              <w:rPr>
                <w:rFonts w:ascii="Times New Roman" w:eastAsia="Times New Roman" w:hAnsi="Times New Roman" w:cs="Times New Roman"/>
                <w:highlight w:val="white"/>
              </w:rPr>
              <w:t>3,6</w:t>
            </w:r>
          </w:p>
        </w:tc>
      </w:tr>
    </w:tbl>
    <w:p w14:paraId="4EC4AFC7" w14:textId="77777777" w:rsidR="00067F27" w:rsidRDefault="00D9755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Observa-se mudança do estado nutricional em alguns pacientes em período antes e no internamento, pacientes que </w:t>
      </w:r>
      <w:r w:rsidRPr="00B24544">
        <w:rPr>
          <w:rFonts w:ascii="Times New Roman" w:eastAsia="Times New Roman" w:hAnsi="Times New Roman" w:cs="Times New Roman"/>
          <w:sz w:val="24"/>
          <w:szCs w:val="24"/>
          <w:highlight w:val="white"/>
        </w:rPr>
        <w:t xml:space="preserve">estavam em obesidade grau I, II, III passaram a enquadrar em IMC </w:t>
      </w:r>
      <w:proofErr w:type="spellStart"/>
      <w:r w:rsidRPr="00B24544">
        <w:rPr>
          <w:rFonts w:ascii="Times New Roman" w:eastAsia="Times New Roman" w:hAnsi="Times New Roman" w:cs="Times New Roman"/>
          <w:sz w:val="24"/>
          <w:szCs w:val="24"/>
          <w:highlight w:val="white"/>
        </w:rPr>
        <w:t>eutro</w:t>
      </w:r>
      <w:r w:rsidR="00B24544">
        <w:rPr>
          <w:rFonts w:ascii="Times New Roman" w:eastAsia="Times New Roman" w:hAnsi="Times New Roman" w:cs="Times New Roman"/>
          <w:sz w:val="24"/>
          <w:szCs w:val="24"/>
          <w:highlight w:val="white"/>
        </w:rPr>
        <w:t>fia</w:t>
      </w:r>
      <w:proofErr w:type="spellEnd"/>
      <w:r w:rsidR="00B24544">
        <w:rPr>
          <w:rFonts w:ascii="Times New Roman" w:eastAsia="Times New Roman" w:hAnsi="Times New Roman" w:cs="Times New Roman"/>
          <w:sz w:val="24"/>
          <w:szCs w:val="24"/>
          <w:highlight w:val="white"/>
        </w:rPr>
        <w:t xml:space="preserve"> ou baixo peso. A perda de peso é esperada considerando o </w:t>
      </w:r>
      <w:r w:rsidRPr="00B24544">
        <w:rPr>
          <w:rFonts w:ascii="Times New Roman" w:eastAsia="Times New Roman" w:hAnsi="Times New Roman" w:cs="Times New Roman"/>
          <w:sz w:val="24"/>
          <w:szCs w:val="24"/>
          <w:highlight w:val="white"/>
        </w:rPr>
        <w:t xml:space="preserve">estado </w:t>
      </w:r>
      <w:proofErr w:type="spellStart"/>
      <w:r w:rsidRPr="00B24544">
        <w:rPr>
          <w:rFonts w:ascii="Times New Roman" w:eastAsia="Times New Roman" w:hAnsi="Times New Roman" w:cs="Times New Roman"/>
          <w:sz w:val="24"/>
          <w:szCs w:val="24"/>
          <w:highlight w:val="white"/>
        </w:rPr>
        <w:t>catabólico</w:t>
      </w:r>
      <w:proofErr w:type="spellEnd"/>
      <w:r w:rsidRPr="00B24544">
        <w:rPr>
          <w:rFonts w:ascii="Times New Roman" w:eastAsia="Times New Roman" w:hAnsi="Times New Roman" w:cs="Times New Roman"/>
          <w:sz w:val="24"/>
          <w:szCs w:val="24"/>
          <w:highlight w:val="white"/>
        </w:rPr>
        <w:t xml:space="preserve"> induzido pela resposta inflamatória à infecção por SARS-CoV-2, o que pode induzir </w:t>
      </w:r>
      <w:r w:rsidR="00B24544">
        <w:rPr>
          <w:rFonts w:ascii="Times New Roman" w:eastAsia="Times New Roman" w:hAnsi="Times New Roman" w:cs="Times New Roman"/>
          <w:sz w:val="24"/>
          <w:szCs w:val="24"/>
          <w:highlight w:val="white"/>
        </w:rPr>
        <w:t xml:space="preserve">a </w:t>
      </w:r>
      <w:r w:rsidRPr="00B24544">
        <w:rPr>
          <w:rFonts w:ascii="Times New Roman" w:eastAsia="Times New Roman" w:hAnsi="Times New Roman" w:cs="Times New Roman"/>
          <w:sz w:val="24"/>
          <w:szCs w:val="24"/>
          <w:highlight w:val="white"/>
        </w:rPr>
        <w:t xml:space="preserve">perda de músculo esquelético </w:t>
      </w:r>
      <w:r w:rsidR="00B24544">
        <w:rPr>
          <w:rFonts w:ascii="Times New Roman" w:eastAsia="Times New Roman" w:hAnsi="Times New Roman" w:cs="Times New Roman"/>
          <w:sz w:val="24"/>
          <w:szCs w:val="24"/>
          <w:highlight w:val="white"/>
        </w:rPr>
        <w:t xml:space="preserve">em hospitalizados </w:t>
      </w:r>
      <w:r w:rsidRPr="00B24544">
        <w:rPr>
          <w:rFonts w:ascii="Times New Roman" w:eastAsia="Times New Roman" w:hAnsi="Times New Roman" w:cs="Times New Roman"/>
          <w:sz w:val="24"/>
          <w:szCs w:val="24"/>
          <w:highlight w:val="white"/>
        </w:rPr>
        <w:t>(SILVEIRO, 2020)</w:t>
      </w:r>
      <w:r w:rsidR="00B24544">
        <w:rPr>
          <w:rFonts w:ascii="Times New Roman" w:eastAsia="Times New Roman" w:hAnsi="Times New Roman" w:cs="Times New Roman"/>
          <w:sz w:val="24"/>
          <w:szCs w:val="24"/>
        </w:rPr>
        <w:t xml:space="preserve">. </w:t>
      </w:r>
    </w:p>
    <w:p w14:paraId="6A984D24" w14:textId="77777777" w:rsidR="00067F27" w:rsidRPr="005E260B" w:rsidRDefault="00A23335" w:rsidP="005E260B">
      <w:pPr>
        <w:pBdr>
          <w:top w:val="nil"/>
          <w:left w:val="nil"/>
          <w:bottom w:val="nil"/>
          <w:right w:val="nil"/>
          <w:between w:val="nil"/>
        </w:pBdr>
        <w:spacing w:after="0" w:line="360" w:lineRule="auto"/>
        <w:ind w:firstLine="709"/>
        <w:jc w:val="both"/>
        <w:rPr>
          <w:rFonts w:ascii="Arial" w:eastAsia="Arial" w:hAnsi="Arial" w:cs="Arial"/>
          <w:sz w:val="20"/>
          <w:szCs w:val="20"/>
          <w:shd w:val="clear" w:color="auto" w:fill="FF9900"/>
        </w:rPr>
      </w:pPr>
      <w:r>
        <w:rPr>
          <w:color w:val="000000"/>
          <w:shd w:val="clear" w:color="auto" w:fill="FFFFFF"/>
        </w:rPr>
        <w:lastRenderedPageBreak/>
        <w:t> </w:t>
      </w:r>
      <w:r w:rsidRPr="00A23335">
        <w:rPr>
          <w:rFonts w:ascii="Arial" w:hAnsi="Arial" w:cs="Arial"/>
          <w:color w:val="303030"/>
          <w:sz w:val="20"/>
          <w:szCs w:val="20"/>
          <w:shd w:val="clear" w:color="auto" w:fill="FFFFFF"/>
        </w:rPr>
        <w:t xml:space="preserve"> </w:t>
      </w:r>
    </w:p>
    <w:p w14:paraId="6FD454D6" w14:textId="77777777" w:rsidR="00067F27" w:rsidRDefault="00D97552" w:rsidP="001E7CA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CONCLUSÕES</w:t>
      </w:r>
    </w:p>
    <w:p w14:paraId="487A3EFC" w14:textId="1CB68117" w:rsidR="00067F27" w:rsidRDefault="005B1D07" w:rsidP="001E7CAF">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A avaliação do</w:t>
      </w:r>
      <w:r w:rsidR="00355AD7">
        <w:rPr>
          <w:rFonts w:ascii="Times New Roman" w:hAnsi="Times New Roman" w:cs="Times New Roman"/>
          <w:color w:val="000000"/>
          <w:sz w:val="24"/>
          <w:szCs w:val="24"/>
          <w:shd w:val="clear" w:color="auto" w:fill="FFFFFF"/>
        </w:rPr>
        <w:t xml:space="preserve"> estado nutricional </w:t>
      </w:r>
      <w:r>
        <w:rPr>
          <w:rFonts w:ascii="Times New Roman" w:hAnsi="Times New Roman" w:cs="Times New Roman"/>
          <w:color w:val="000000"/>
          <w:sz w:val="24"/>
          <w:szCs w:val="24"/>
          <w:shd w:val="clear" w:color="auto" w:fill="FFFFFF"/>
        </w:rPr>
        <w:t>é importante para</w:t>
      </w:r>
      <w:r w:rsidR="00355AD7" w:rsidRPr="00355AD7">
        <w:rPr>
          <w:rFonts w:ascii="Times New Roman" w:hAnsi="Times New Roman" w:cs="Times New Roman"/>
          <w:color w:val="000000"/>
          <w:sz w:val="24"/>
          <w:szCs w:val="24"/>
          <w:shd w:val="clear" w:color="auto" w:fill="FFFFFF"/>
        </w:rPr>
        <w:t xml:space="preserve"> identificação precoce </w:t>
      </w:r>
      <w:r>
        <w:rPr>
          <w:rFonts w:ascii="Times New Roman" w:hAnsi="Times New Roman" w:cs="Times New Roman"/>
          <w:color w:val="000000"/>
          <w:sz w:val="24"/>
          <w:szCs w:val="24"/>
          <w:shd w:val="clear" w:color="auto" w:fill="FFFFFF"/>
        </w:rPr>
        <w:t>do</w:t>
      </w:r>
      <w:r w:rsidR="00355AD7" w:rsidRPr="00355AD7">
        <w:rPr>
          <w:rFonts w:ascii="Times New Roman" w:hAnsi="Times New Roman" w:cs="Times New Roman"/>
          <w:color w:val="000000"/>
          <w:sz w:val="24"/>
          <w:szCs w:val="24"/>
          <w:shd w:val="clear" w:color="auto" w:fill="FFFFFF"/>
        </w:rPr>
        <w:t xml:space="preserve"> risco nutricional </w:t>
      </w:r>
      <w:r>
        <w:rPr>
          <w:rFonts w:ascii="Times New Roman" w:hAnsi="Times New Roman" w:cs="Times New Roman"/>
          <w:color w:val="000000"/>
          <w:sz w:val="24"/>
          <w:szCs w:val="24"/>
          <w:shd w:val="clear" w:color="auto" w:fill="FFFFFF"/>
        </w:rPr>
        <w:t>em</w:t>
      </w:r>
      <w:r w:rsidR="00355AD7" w:rsidRPr="00355AD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pacientes </w:t>
      </w:r>
      <w:r w:rsidR="00355AD7" w:rsidRPr="00355AD7">
        <w:rPr>
          <w:rFonts w:ascii="Times New Roman" w:hAnsi="Times New Roman" w:cs="Times New Roman"/>
          <w:color w:val="000000"/>
          <w:sz w:val="24"/>
          <w:szCs w:val="24"/>
          <w:shd w:val="clear" w:color="auto" w:fill="FFFFFF"/>
        </w:rPr>
        <w:t>internados com COVID-19</w:t>
      </w:r>
      <w:r>
        <w:rPr>
          <w:rFonts w:ascii="Times New Roman" w:hAnsi="Times New Roman" w:cs="Times New Roman"/>
          <w:color w:val="000000"/>
          <w:sz w:val="24"/>
          <w:szCs w:val="24"/>
          <w:shd w:val="clear" w:color="auto" w:fill="FFFFFF"/>
        </w:rPr>
        <w:t>, com intuito de</w:t>
      </w:r>
      <w:r w:rsidR="00355AD7" w:rsidRPr="00355AD7">
        <w:rPr>
          <w:rFonts w:ascii="Times New Roman" w:hAnsi="Times New Roman" w:cs="Times New Roman"/>
          <w:color w:val="000000"/>
          <w:sz w:val="24"/>
          <w:szCs w:val="24"/>
          <w:shd w:val="clear" w:color="auto" w:fill="FFFFFF"/>
        </w:rPr>
        <w:t xml:space="preserve"> prevenir déficit</w:t>
      </w:r>
      <w:r w:rsidR="00355AD7">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e maior tempo de hospitalização. Há </w:t>
      </w:r>
      <w:r w:rsidR="00D97552" w:rsidRPr="00355AD7">
        <w:rPr>
          <w:rFonts w:ascii="Times New Roman" w:eastAsia="Times New Roman" w:hAnsi="Times New Roman" w:cs="Times New Roman"/>
          <w:sz w:val="24"/>
          <w:szCs w:val="24"/>
        </w:rPr>
        <w:t xml:space="preserve">perda </w:t>
      </w:r>
      <w:r>
        <w:rPr>
          <w:rFonts w:ascii="Times New Roman" w:eastAsia="Times New Roman" w:hAnsi="Times New Roman" w:cs="Times New Roman"/>
          <w:sz w:val="24"/>
          <w:szCs w:val="24"/>
        </w:rPr>
        <w:t>do apetite com</w:t>
      </w:r>
      <w:r w:rsidR="00D97552" w:rsidRPr="00355A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diminuição da ingestão</w:t>
      </w:r>
      <w:r w:rsidR="00355AD7" w:rsidRPr="00355AD7">
        <w:rPr>
          <w:rFonts w:ascii="Times New Roman" w:eastAsia="Times New Roman" w:hAnsi="Times New Roman" w:cs="Times New Roman"/>
          <w:sz w:val="24"/>
          <w:szCs w:val="24"/>
        </w:rPr>
        <w:t xml:space="preserve"> alimentar e</w:t>
      </w:r>
      <w:r w:rsidR="00D97552" w:rsidRPr="00355AD7">
        <w:rPr>
          <w:rFonts w:ascii="Times New Roman" w:eastAsia="Times New Roman" w:hAnsi="Times New Roman" w:cs="Times New Roman"/>
          <w:sz w:val="24"/>
          <w:szCs w:val="24"/>
        </w:rPr>
        <w:t xml:space="preserve"> perda de peso não intenciona</w:t>
      </w:r>
      <w:r w:rsidR="00355AD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relatados são</w:t>
      </w:r>
      <w:r w:rsidR="00355AD7">
        <w:rPr>
          <w:rFonts w:ascii="Times New Roman" w:eastAsia="Times New Roman" w:hAnsi="Times New Roman" w:cs="Times New Roman"/>
          <w:sz w:val="24"/>
          <w:szCs w:val="24"/>
        </w:rPr>
        <w:t xml:space="preserve"> </w:t>
      </w:r>
      <w:r w:rsidR="00D97552">
        <w:rPr>
          <w:rFonts w:ascii="Times New Roman" w:eastAsia="Times New Roman" w:hAnsi="Times New Roman" w:cs="Times New Roman"/>
          <w:sz w:val="24"/>
          <w:szCs w:val="24"/>
        </w:rPr>
        <w:t>característic</w:t>
      </w:r>
      <w:r>
        <w:rPr>
          <w:rFonts w:ascii="Times New Roman" w:eastAsia="Times New Roman" w:hAnsi="Times New Roman" w:cs="Times New Roman"/>
          <w:sz w:val="24"/>
          <w:szCs w:val="24"/>
        </w:rPr>
        <w:t xml:space="preserve">as dos sintomas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e devem ser considerados para traçar o cuidado nutricional.</w:t>
      </w:r>
    </w:p>
    <w:p w14:paraId="2082FFFC" w14:textId="77777777" w:rsidR="003318D6" w:rsidRDefault="003318D6" w:rsidP="003318D6">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p>
    <w:p w14:paraId="14CF2F74" w14:textId="77777777" w:rsidR="00067F27" w:rsidRPr="004F3B54" w:rsidRDefault="00D97552">
      <w:pPr>
        <w:spacing w:after="0" w:line="360" w:lineRule="auto"/>
        <w:jc w:val="both"/>
        <w:rPr>
          <w:rFonts w:ascii="Times New Roman" w:eastAsia="Times New Roman" w:hAnsi="Times New Roman" w:cs="Times New Roman"/>
          <w:lang w:val="en-US"/>
        </w:rPr>
      </w:pPr>
      <w:r w:rsidRPr="004F3B54">
        <w:rPr>
          <w:rFonts w:ascii="Times New Roman" w:eastAsia="Times New Roman" w:hAnsi="Times New Roman" w:cs="Times New Roman"/>
          <w:b/>
          <w:sz w:val="24"/>
          <w:szCs w:val="24"/>
          <w:lang w:val="en-US"/>
        </w:rPr>
        <w:t>6. REFERÊNCIAS</w:t>
      </w:r>
    </w:p>
    <w:p w14:paraId="5D3BDF5A" w14:textId="77777777" w:rsidR="00D0212A" w:rsidRPr="004F3B54" w:rsidRDefault="00D0212A" w:rsidP="00D0212A">
      <w:pPr>
        <w:spacing w:line="240" w:lineRule="auto"/>
        <w:jc w:val="both"/>
        <w:rPr>
          <w:rFonts w:ascii="Times New Roman" w:hAnsi="Times New Roman" w:cs="Times New Roman"/>
          <w:lang w:val="en-US"/>
        </w:rPr>
      </w:pPr>
      <w:r w:rsidRPr="004F3B54">
        <w:rPr>
          <w:rFonts w:ascii="Times New Roman" w:hAnsi="Times New Roman" w:cs="Times New Roman"/>
          <w:lang w:val="en-US"/>
        </w:rPr>
        <w:t xml:space="preserve">ARKIN, N. et al. Nutrition in critically ill patients with COVID-19: Challenges and special considerations. </w:t>
      </w:r>
      <w:r w:rsidRPr="004F3B54">
        <w:rPr>
          <w:rFonts w:ascii="Times New Roman" w:hAnsi="Times New Roman" w:cs="Times New Roman"/>
          <w:b/>
          <w:lang w:val="en-US"/>
        </w:rPr>
        <w:t>Clinical Nutrition</w:t>
      </w:r>
      <w:r w:rsidRPr="004F3B54">
        <w:rPr>
          <w:rFonts w:ascii="Times New Roman" w:hAnsi="Times New Roman" w:cs="Times New Roman"/>
          <w:lang w:val="en-US"/>
        </w:rPr>
        <w:t>, v.39, n. 7, p. 2327-2328, 2020.</w:t>
      </w:r>
      <w:hyperlink r:id="rId7">
        <w:r w:rsidRPr="004F3B54">
          <w:rPr>
            <w:rStyle w:val="Hyperlink"/>
            <w:rFonts w:ascii="Times New Roman" w:hAnsi="Times New Roman" w:cs="Times New Roman"/>
            <w:color w:val="auto"/>
            <w:lang w:val="en-US"/>
          </w:rPr>
          <w:t xml:space="preserve"> </w:t>
        </w:r>
      </w:hyperlink>
      <w:r w:rsidRPr="004F3B54">
        <w:rPr>
          <w:rFonts w:ascii="Times New Roman" w:hAnsi="Times New Roman" w:cs="Times New Roman"/>
          <w:lang w:val="en-US"/>
        </w:rPr>
        <w:t xml:space="preserve"> </w:t>
      </w:r>
    </w:p>
    <w:p w14:paraId="5CF46F90" w14:textId="77777777" w:rsidR="00D0212A" w:rsidRPr="004F3B54" w:rsidRDefault="00D0212A" w:rsidP="00D0212A">
      <w:pPr>
        <w:spacing w:line="240" w:lineRule="auto"/>
        <w:jc w:val="both"/>
        <w:rPr>
          <w:rFonts w:ascii="Times New Roman" w:hAnsi="Times New Roman" w:cs="Times New Roman"/>
          <w:lang w:val="en-US"/>
        </w:rPr>
      </w:pPr>
      <w:r w:rsidRPr="004F3B54">
        <w:rPr>
          <w:rFonts w:ascii="Times New Roman" w:hAnsi="Times New Roman" w:cs="Times New Roman"/>
          <w:lang w:val="en-US"/>
        </w:rPr>
        <w:t xml:space="preserve">CHEN, G. et al. Clinical and immunological features of severe and moderate coronavirus disease 2019. </w:t>
      </w:r>
      <w:r w:rsidRPr="004F3B54">
        <w:rPr>
          <w:rFonts w:ascii="Times New Roman" w:hAnsi="Times New Roman" w:cs="Times New Roman"/>
          <w:b/>
          <w:iCs/>
          <w:shd w:val="clear" w:color="auto" w:fill="FFFFFF"/>
          <w:lang w:val="en-US"/>
        </w:rPr>
        <w:t>The Journal of clinical investigation</w:t>
      </w:r>
      <w:r w:rsidRPr="004F3B54">
        <w:rPr>
          <w:rFonts w:ascii="Times New Roman" w:hAnsi="Times New Roman" w:cs="Times New Roman"/>
          <w:lang w:val="en-US"/>
        </w:rPr>
        <w:t xml:space="preserve">, v. 130, n.5, p. 2620–29, 2020.  </w:t>
      </w:r>
    </w:p>
    <w:p w14:paraId="2868C86C" w14:textId="77777777" w:rsidR="00D0212A" w:rsidRPr="00D0212A" w:rsidRDefault="00D0212A" w:rsidP="00D0212A">
      <w:pPr>
        <w:spacing w:line="240" w:lineRule="auto"/>
        <w:jc w:val="both"/>
        <w:rPr>
          <w:rFonts w:ascii="Times New Roman" w:hAnsi="Times New Roman" w:cs="Times New Roman"/>
          <w:highlight w:val="white"/>
        </w:rPr>
      </w:pPr>
      <w:r w:rsidRPr="004F3B54">
        <w:rPr>
          <w:rFonts w:ascii="Times New Roman" w:hAnsi="Times New Roman" w:cs="Times New Roman"/>
          <w:shd w:val="clear" w:color="auto" w:fill="FFFFFF"/>
          <w:lang w:val="en-US"/>
        </w:rPr>
        <w:t>HAMER, M. et al. Lifestyle risk factors, inflammatory mechanisms, and COVID-19 hospitalization: A community-based cohort study of 387,109 adults in UK. </w:t>
      </w:r>
      <w:proofErr w:type="spellStart"/>
      <w:r w:rsidRPr="00D0212A">
        <w:rPr>
          <w:rFonts w:ascii="Times New Roman" w:hAnsi="Times New Roman" w:cs="Times New Roman"/>
          <w:b/>
          <w:iCs/>
          <w:shd w:val="clear" w:color="auto" w:fill="FFFFFF"/>
        </w:rPr>
        <w:t>Brain</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behavior</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and</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immunity</w:t>
      </w:r>
      <w:proofErr w:type="spellEnd"/>
      <w:r w:rsidRPr="00D0212A">
        <w:rPr>
          <w:rFonts w:ascii="Times New Roman" w:hAnsi="Times New Roman" w:cs="Times New Roman"/>
          <w:b/>
          <w:iCs/>
          <w:shd w:val="clear" w:color="auto" w:fill="FFFFFF"/>
        </w:rPr>
        <w:t>.</w:t>
      </w:r>
      <w:r w:rsidRPr="00D0212A">
        <w:rPr>
          <w:rFonts w:ascii="Times New Roman" w:hAnsi="Times New Roman" w:cs="Times New Roman"/>
          <w:shd w:val="clear" w:color="auto" w:fill="FFFFFF"/>
        </w:rPr>
        <w:t> v.</w:t>
      </w:r>
      <w:r w:rsidRPr="00D0212A">
        <w:rPr>
          <w:rFonts w:ascii="Times New Roman" w:hAnsi="Times New Roman" w:cs="Times New Roman"/>
          <w:iCs/>
          <w:shd w:val="clear" w:color="auto" w:fill="FFFFFF"/>
        </w:rPr>
        <w:t>87</w:t>
      </w:r>
      <w:r w:rsidRPr="00D0212A">
        <w:rPr>
          <w:rFonts w:ascii="Times New Roman" w:hAnsi="Times New Roman" w:cs="Times New Roman"/>
          <w:shd w:val="clear" w:color="auto" w:fill="FFFFFF"/>
        </w:rPr>
        <w:t xml:space="preserve">, p. 184–187, 2020. </w:t>
      </w:r>
    </w:p>
    <w:p w14:paraId="56DD9A4B" w14:textId="77777777" w:rsidR="00D0212A" w:rsidRPr="00D0212A" w:rsidRDefault="00D0212A" w:rsidP="00D0212A">
      <w:pPr>
        <w:spacing w:line="240" w:lineRule="auto"/>
        <w:jc w:val="both"/>
        <w:rPr>
          <w:rFonts w:ascii="Times New Roman" w:hAnsi="Times New Roman" w:cs="Times New Roman"/>
        </w:rPr>
      </w:pPr>
      <w:r w:rsidRPr="004F3B54">
        <w:rPr>
          <w:rFonts w:ascii="Times New Roman" w:hAnsi="Times New Roman" w:cs="Times New Roman"/>
          <w:shd w:val="clear" w:color="auto" w:fill="FFFFFF"/>
          <w:lang w:val="en-US"/>
        </w:rPr>
        <w:t>LEUNG, Y-Y. et al. Association between body mass index and risk of total knee replacement, the Singapore Chinese Health Study. </w:t>
      </w:r>
      <w:proofErr w:type="spellStart"/>
      <w:r w:rsidRPr="00D0212A">
        <w:rPr>
          <w:rFonts w:ascii="Times New Roman" w:hAnsi="Times New Roman" w:cs="Times New Roman"/>
          <w:b/>
          <w:iCs/>
          <w:shd w:val="clear" w:color="auto" w:fill="FFFFFF"/>
        </w:rPr>
        <w:t>Osteoarthritis</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and</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cartilage</w:t>
      </w:r>
      <w:proofErr w:type="spellEnd"/>
      <w:r w:rsidRPr="00D0212A">
        <w:rPr>
          <w:rFonts w:ascii="Times New Roman" w:hAnsi="Times New Roman" w:cs="Times New Roman"/>
          <w:i/>
          <w:iCs/>
          <w:shd w:val="clear" w:color="auto" w:fill="FFFFFF"/>
        </w:rPr>
        <w:t>,</w:t>
      </w:r>
      <w:r w:rsidRPr="00D0212A">
        <w:rPr>
          <w:rFonts w:ascii="Times New Roman" w:hAnsi="Times New Roman" w:cs="Times New Roman"/>
          <w:shd w:val="clear" w:color="auto" w:fill="FFFFFF"/>
        </w:rPr>
        <w:t> vol. 23, n.1, 2015.</w:t>
      </w:r>
    </w:p>
    <w:p w14:paraId="0E751EE5" w14:textId="77777777" w:rsidR="00D0212A" w:rsidRPr="004F3B54" w:rsidRDefault="00D0212A" w:rsidP="00D0212A">
      <w:pPr>
        <w:spacing w:line="240" w:lineRule="auto"/>
        <w:jc w:val="both"/>
        <w:rPr>
          <w:rFonts w:ascii="Times New Roman" w:hAnsi="Times New Roman" w:cs="Times New Roman"/>
          <w:highlight w:val="white"/>
          <w:lang w:val="en-US"/>
        </w:rPr>
      </w:pPr>
      <w:r w:rsidRPr="004F3B54">
        <w:rPr>
          <w:rFonts w:ascii="Times New Roman" w:hAnsi="Times New Roman" w:cs="Times New Roman"/>
          <w:shd w:val="clear" w:color="auto" w:fill="FFFFFF"/>
          <w:lang w:val="en-US"/>
        </w:rPr>
        <w:t>REDDY, R. K. et al. The effect of smoking on COVID-19 severity: A systematic review and meta-analysis. </w:t>
      </w:r>
      <w:r w:rsidRPr="004F3B54">
        <w:rPr>
          <w:rFonts w:ascii="Times New Roman" w:hAnsi="Times New Roman" w:cs="Times New Roman"/>
          <w:b/>
          <w:iCs/>
          <w:shd w:val="clear" w:color="auto" w:fill="FFFFFF"/>
          <w:lang w:val="en-US"/>
        </w:rPr>
        <w:t>Journal of medical virology</w:t>
      </w:r>
      <w:r w:rsidRPr="004F3B54">
        <w:rPr>
          <w:rFonts w:ascii="Times New Roman" w:hAnsi="Times New Roman" w:cs="Times New Roman"/>
          <w:b/>
          <w:shd w:val="clear" w:color="auto" w:fill="FFFFFF"/>
          <w:lang w:val="en-US"/>
        </w:rPr>
        <w:t>,</w:t>
      </w:r>
      <w:r w:rsidRPr="004F3B54">
        <w:rPr>
          <w:rFonts w:ascii="Times New Roman" w:hAnsi="Times New Roman" w:cs="Times New Roman"/>
          <w:shd w:val="clear" w:color="auto" w:fill="FFFFFF"/>
          <w:lang w:val="en-US"/>
        </w:rPr>
        <w:t xml:space="preserve"> 2020.</w:t>
      </w:r>
    </w:p>
    <w:p w14:paraId="3E2EDD08" w14:textId="77777777" w:rsidR="00D0212A" w:rsidRPr="004F3B54" w:rsidRDefault="00D0212A" w:rsidP="00D0212A">
      <w:pPr>
        <w:spacing w:line="240" w:lineRule="auto"/>
        <w:jc w:val="both"/>
        <w:rPr>
          <w:rFonts w:ascii="Times New Roman" w:hAnsi="Times New Roman" w:cs="Times New Roman"/>
          <w:lang w:val="en-US"/>
        </w:rPr>
      </w:pPr>
      <w:r w:rsidRPr="004F3B54">
        <w:rPr>
          <w:rFonts w:ascii="Times New Roman" w:hAnsi="Times New Roman" w:cs="Times New Roman"/>
          <w:highlight w:val="white"/>
          <w:lang w:val="en-US"/>
        </w:rPr>
        <w:t xml:space="preserve">SILVERIO, R. et al. Coronavirus Disease 2019 (COVID-19) and Nutritional Status: The Missing </w:t>
      </w:r>
      <w:proofErr w:type="gramStart"/>
      <w:r w:rsidRPr="004F3B54">
        <w:rPr>
          <w:rFonts w:ascii="Times New Roman" w:hAnsi="Times New Roman" w:cs="Times New Roman"/>
          <w:highlight w:val="white"/>
          <w:lang w:val="en-US"/>
        </w:rPr>
        <w:t>Link?.</w:t>
      </w:r>
      <w:proofErr w:type="gramEnd"/>
      <w:r w:rsidRPr="004F3B54">
        <w:rPr>
          <w:rFonts w:ascii="Times New Roman" w:hAnsi="Times New Roman" w:cs="Times New Roman"/>
          <w:highlight w:val="white"/>
          <w:lang w:val="en-US"/>
        </w:rPr>
        <w:t xml:space="preserve"> </w:t>
      </w:r>
      <w:r w:rsidRPr="004F3B54">
        <w:rPr>
          <w:rFonts w:ascii="Times New Roman" w:hAnsi="Times New Roman" w:cs="Times New Roman"/>
          <w:b/>
          <w:highlight w:val="white"/>
          <w:lang w:val="en-US"/>
        </w:rPr>
        <w:t>Advances in nutrition,</w:t>
      </w:r>
      <w:r w:rsidRPr="004F3B54">
        <w:rPr>
          <w:rFonts w:ascii="Times New Roman" w:hAnsi="Times New Roman" w:cs="Times New Roman"/>
          <w:highlight w:val="white"/>
          <w:lang w:val="en-US"/>
        </w:rPr>
        <w:t xml:space="preserve"> 2020.</w:t>
      </w:r>
    </w:p>
    <w:p w14:paraId="26E24B55" w14:textId="77777777" w:rsidR="00D0212A" w:rsidRPr="00D0212A" w:rsidRDefault="00D0212A" w:rsidP="00D0212A">
      <w:pPr>
        <w:spacing w:line="240" w:lineRule="auto"/>
        <w:jc w:val="both"/>
        <w:rPr>
          <w:rFonts w:ascii="Times New Roman" w:hAnsi="Times New Roman" w:cs="Times New Roman"/>
        </w:rPr>
      </w:pPr>
      <w:r w:rsidRPr="004F3B54">
        <w:rPr>
          <w:rFonts w:ascii="Times New Roman" w:hAnsi="Times New Roman" w:cs="Times New Roman"/>
          <w:shd w:val="clear" w:color="auto" w:fill="FFFFFF"/>
          <w:lang w:val="en-US"/>
        </w:rPr>
        <w:t>SINGER, P. et al. ESPEN guideline on clinical nutrition in the intensive care unit. </w:t>
      </w:r>
      <w:proofErr w:type="spellStart"/>
      <w:r w:rsidRPr="00D0212A">
        <w:rPr>
          <w:rFonts w:ascii="Times New Roman" w:hAnsi="Times New Roman" w:cs="Times New Roman"/>
          <w:b/>
          <w:iCs/>
          <w:shd w:val="clear" w:color="auto" w:fill="FFFFFF"/>
        </w:rPr>
        <w:t>Clinical</w:t>
      </w:r>
      <w:proofErr w:type="spellEnd"/>
      <w:r w:rsidRPr="00D0212A">
        <w:rPr>
          <w:rFonts w:ascii="Times New Roman" w:hAnsi="Times New Roman" w:cs="Times New Roman"/>
          <w:b/>
          <w:iCs/>
          <w:shd w:val="clear" w:color="auto" w:fill="FFFFFF"/>
        </w:rPr>
        <w:t xml:space="preserve"> </w:t>
      </w:r>
      <w:proofErr w:type="spellStart"/>
      <w:r w:rsidRPr="00D0212A">
        <w:rPr>
          <w:rFonts w:ascii="Times New Roman" w:hAnsi="Times New Roman" w:cs="Times New Roman"/>
          <w:b/>
          <w:iCs/>
          <w:shd w:val="clear" w:color="auto" w:fill="FFFFFF"/>
        </w:rPr>
        <w:t>nutrition</w:t>
      </w:r>
      <w:proofErr w:type="spellEnd"/>
      <w:r w:rsidRPr="00D0212A">
        <w:rPr>
          <w:rFonts w:ascii="Times New Roman" w:hAnsi="Times New Roman" w:cs="Times New Roman"/>
          <w:i/>
          <w:iCs/>
          <w:shd w:val="clear" w:color="auto" w:fill="FFFFFF"/>
        </w:rPr>
        <w:t xml:space="preserve">, </w:t>
      </w:r>
      <w:r w:rsidRPr="00D0212A">
        <w:rPr>
          <w:rFonts w:ascii="Times New Roman" w:hAnsi="Times New Roman" w:cs="Times New Roman"/>
          <w:shd w:val="clear" w:color="auto" w:fill="FFFFFF"/>
        </w:rPr>
        <w:t>vol. 38, n.1, 2019.</w:t>
      </w:r>
    </w:p>
    <w:p w14:paraId="5270C409" w14:textId="77777777" w:rsidR="00D0212A" w:rsidRPr="004F3B54" w:rsidRDefault="00D0212A" w:rsidP="00D0212A">
      <w:pPr>
        <w:spacing w:line="240" w:lineRule="auto"/>
        <w:jc w:val="both"/>
        <w:rPr>
          <w:rFonts w:ascii="Times New Roman" w:hAnsi="Times New Roman" w:cs="Times New Roman"/>
          <w:highlight w:val="white"/>
          <w:lang w:val="en-US"/>
        </w:rPr>
      </w:pPr>
      <w:r w:rsidRPr="004F3B54">
        <w:rPr>
          <w:rFonts w:ascii="Times New Roman" w:hAnsi="Times New Roman" w:cs="Times New Roman"/>
          <w:highlight w:val="white"/>
          <w:lang w:val="en-US"/>
        </w:rPr>
        <w:t>TESTINO, G.</w:t>
      </w:r>
      <w:r w:rsidRPr="004F3B54">
        <w:rPr>
          <w:rFonts w:ascii="Times New Roman" w:hAnsi="Times New Roman" w:cs="Times New Roman"/>
          <w:lang w:val="en-US"/>
        </w:rPr>
        <w:t xml:space="preserve"> </w:t>
      </w:r>
      <w:r w:rsidRPr="004F3B54">
        <w:rPr>
          <w:rFonts w:ascii="Times New Roman" w:hAnsi="Times New Roman" w:cs="Times New Roman"/>
          <w:shd w:val="clear" w:color="auto" w:fill="FFFFFF"/>
          <w:lang w:val="en-US"/>
        </w:rPr>
        <w:t xml:space="preserve">Are Patients With Alcohol Use Disorders at Increased Risk for Covid-19 </w:t>
      </w:r>
      <w:proofErr w:type="gramStart"/>
      <w:r w:rsidRPr="004F3B54">
        <w:rPr>
          <w:rFonts w:ascii="Times New Roman" w:hAnsi="Times New Roman" w:cs="Times New Roman"/>
          <w:shd w:val="clear" w:color="auto" w:fill="FFFFFF"/>
          <w:lang w:val="en-US"/>
        </w:rPr>
        <w:t>Infection?.</w:t>
      </w:r>
      <w:proofErr w:type="gramEnd"/>
      <w:r w:rsidRPr="004F3B54">
        <w:rPr>
          <w:rFonts w:ascii="Times New Roman" w:hAnsi="Times New Roman" w:cs="Times New Roman"/>
          <w:shd w:val="clear" w:color="auto" w:fill="FFFFFF"/>
          <w:lang w:val="en-US"/>
        </w:rPr>
        <w:t xml:space="preserve"> </w:t>
      </w:r>
      <w:r w:rsidRPr="004F3B54">
        <w:rPr>
          <w:rFonts w:ascii="Times New Roman" w:hAnsi="Times New Roman" w:cs="Times New Roman"/>
          <w:b/>
          <w:iCs/>
          <w:shd w:val="clear" w:color="auto" w:fill="FFFFFF"/>
          <w:lang w:val="en-US"/>
        </w:rPr>
        <w:t>Alcohol and alcoholism</w:t>
      </w:r>
      <w:r w:rsidRPr="004F3B54">
        <w:rPr>
          <w:rFonts w:ascii="Times New Roman" w:hAnsi="Times New Roman" w:cs="Times New Roman"/>
          <w:iCs/>
          <w:shd w:val="clear" w:color="auto" w:fill="FFFFFF"/>
          <w:lang w:val="en-US"/>
        </w:rPr>
        <w:t xml:space="preserve">. </w:t>
      </w:r>
      <w:r w:rsidRPr="004F3B54">
        <w:rPr>
          <w:rFonts w:ascii="Times New Roman" w:hAnsi="Times New Roman" w:cs="Times New Roman"/>
          <w:shd w:val="clear" w:color="auto" w:fill="FFFFFF"/>
          <w:lang w:val="en-US"/>
        </w:rPr>
        <w:t> vol. 55, n.4, p. 344-346, 2020.</w:t>
      </w:r>
    </w:p>
    <w:p w14:paraId="4B1D6409" w14:textId="77777777" w:rsidR="00D0212A" w:rsidRPr="004F3B54" w:rsidRDefault="00D0212A" w:rsidP="00D0212A">
      <w:pPr>
        <w:spacing w:line="240" w:lineRule="auto"/>
        <w:rPr>
          <w:rFonts w:ascii="Times New Roman" w:hAnsi="Times New Roman" w:cs="Times New Roman"/>
          <w:lang w:val="en-US"/>
        </w:rPr>
      </w:pPr>
      <w:r w:rsidRPr="004F3B54">
        <w:rPr>
          <w:rFonts w:ascii="Times New Roman" w:hAnsi="Times New Roman" w:cs="Times New Roman"/>
          <w:highlight w:val="white"/>
          <w:lang w:val="en-US"/>
        </w:rPr>
        <w:t xml:space="preserve">WOODS, J. A. et al. </w:t>
      </w:r>
      <w:r w:rsidRPr="004F3B54">
        <w:rPr>
          <w:rFonts w:ascii="Times New Roman" w:hAnsi="Times New Roman" w:cs="Times New Roman"/>
          <w:lang w:val="en-US"/>
        </w:rPr>
        <w:t>The COVID-19 pandemic and physical activity.</w:t>
      </w:r>
      <w:r w:rsidRPr="004F3B54">
        <w:rPr>
          <w:rFonts w:ascii="Times New Roman" w:hAnsi="Times New Roman" w:cs="Times New Roman"/>
          <w:highlight w:val="white"/>
          <w:lang w:val="en-US"/>
        </w:rPr>
        <w:t xml:space="preserve"> </w:t>
      </w:r>
      <w:r w:rsidRPr="004F3B54">
        <w:rPr>
          <w:rFonts w:ascii="Times New Roman" w:hAnsi="Times New Roman" w:cs="Times New Roman"/>
          <w:b/>
          <w:highlight w:val="white"/>
          <w:lang w:val="en-US"/>
        </w:rPr>
        <w:t>Sports Medicine and Health Science</w:t>
      </w:r>
      <w:r w:rsidRPr="004F3B54">
        <w:rPr>
          <w:rFonts w:ascii="Times New Roman" w:hAnsi="Times New Roman" w:cs="Times New Roman"/>
          <w:highlight w:val="white"/>
          <w:lang w:val="en-US"/>
        </w:rPr>
        <w:t>. vol. 2, n. 2, p. 55–64, 2020.</w:t>
      </w:r>
    </w:p>
    <w:p w14:paraId="41939425" w14:textId="77777777" w:rsidR="00D0212A" w:rsidRPr="00D0212A" w:rsidRDefault="00D0212A" w:rsidP="00D0212A">
      <w:pPr>
        <w:spacing w:line="240" w:lineRule="auto"/>
        <w:jc w:val="both"/>
        <w:rPr>
          <w:rFonts w:ascii="Times New Roman" w:hAnsi="Times New Roman" w:cs="Times New Roman"/>
        </w:rPr>
      </w:pPr>
      <w:r w:rsidRPr="004F3B54">
        <w:rPr>
          <w:rFonts w:ascii="Times New Roman" w:hAnsi="Times New Roman" w:cs="Times New Roman"/>
          <w:lang w:val="en-US"/>
        </w:rPr>
        <w:t xml:space="preserve">WORLD HEALTH ORGANIZATION. </w:t>
      </w:r>
      <w:r w:rsidRPr="00D0212A">
        <w:rPr>
          <w:rFonts w:ascii="Times New Roman" w:hAnsi="Times New Roman" w:cs="Times New Roman"/>
        </w:rPr>
        <w:t>CORONAVIRUS DISEASE (COVID-19). Disponível em: &lt;https://www.who.int/docs/default-ource/coronaviruse/situationreports/20200519-covid-19-sitrep-120.pdf?sfvrsn=515cabfb_2&gt; Acesso em: 23 out 2020.</w:t>
      </w:r>
    </w:p>
    <w:p w14:paraId="55A73857" w14:textId="77777777" w:rsidR="00D0212A" w:rsidRPr="004F3B54" w:rsidRDefault="00D0212A" w:rsidP="00D0212A">
      <w:pPr>
        <w:spacing w:line="240" w:lineRule="auto"/>
        <w:rPr>
          <w:rFonts w:ascii="Times New Roman" w:hAnsi="Times New Roman" w:cs="Times New Roman"/>
          <w:lang w:val="en-US"/>
        </w:rPr>
      </w:pPr>
      <w:r w:rsidRPr="004F3B54">
        <w:rPr>
          <w:rFonts w:ascii="Times New Roman" w:hAnsi="Times New Roman" w:cs="Times New Roman"/>
          <w:lang w:val="en-US"/>
        </w:rPr>
        <w:t xml:space="preserve">XIAOBO, Z. et al. Evaluation of Nutrition Risk and Its Association </w:t>
      </w:r>
      <w:proofErr w:type="gramStart"/>
      <w:r w:rsidRPr="004F3B54">
        <w:rPr>
          <w:rFonts w:ascii="Times New Roman" w:hAnsi="Times New Roman" w:cs="Times New Roman"/>
          <w:lang w:val="en-US"/>
        </w:rPr>
        <w:t>With</w:t>
      </w:r>
      <w:proofErr w:type="gramEnd"/>
      <w:r w:rsidRPr="004F3B54">
        <w:rPr>
          <w:rFonts w:ascii="Times New Roman" w:hAnsi="Times New Roman" w:cs="Times New Roman"/>
          <w:lang w:val="en-US"/>
        </w:rPr>
        <w:t xml:space="preserve"> Mortality Risk in Severely and Critically Ill COVID-19 Patients. </w:t>
      </w:r>
      <w:r w:rsidRPr="004F3B54">
        <w:rPr>
          <w:rFonts w:ascii="Times New Roman" w:hAnsi="Times New Roman" w:cs="Times New Roman"/>
          <w:b/>
          <w:lang w:val="en-US"/>
        </w:rPr>
        <w:t>Journal of Parenteral and Enteral Nutrition</w:t>
      </w:r>
      <w:r w:rsidRPr="004F3B54">
        <w:rPr>
          <w:rFonts w:ascii="Times New Roman" w:hAnsi="Times New Roman" w:cs="Times New Roman"/>
          <w:lang w:val="en-US"/>
        </w:rPr>
        <w:t>. 2020.</w:t>
      </w:r>
    </w:p>
    <w:p w14:paraId="155E27A6" w14:textId="4F12B685" w:rsidR="00E51572" w:rsidRPr="004F3B54" w:rsidRDefault="00D0212A" w:rsidP="00AB1E99">
      <w:pPr>
        <w:spacing w:line="240" w:lineRule="auto"/>
        <w:jc w:val="both"/>
        <w:rPr>
          <w:rFonts w:ascii="Times New Roman" w:hAnsi="Times New Roman" w:cs="Times New Roman"/>
          <w:lang w:val="en-US"/>
        </w:rPr>
      </w:pPr>
      <w:r w:rsidRPr="004F3B54">
        <w:rPr>
          <w:rFonts w:ascii="Times New Roman" w:hAnsi="Times New Roman" w:cs="Times New Roman"/>
          <w:lang w:val="en-US"/>
        </w:rPr>
        <w:t xml:space="preserve">YANG, W. et al. Clinical characteristics and imaging manifestations of the 2019 novel coronavirus disease (COVID-19): a multi-center study in Wenzhou city, Zhejiang, China. </w:t>
      </w:r>
      <w:r w:rsidRPr="004F3B54">
        <w:rPr>
          <w:rFonts w:ascii="Times New Roman" w:hAnsi="Times New Roman" w:cs="Times New Roman"/>
          <w:b/>
          <w:lang w:val="en-US"/>
        </w:rPr>
        <w:t>Journal of Infection.</w:t>
      </w:r>
      <w:r w:rsidRPr="004F3B54">
        <w:rPr>
          <w:rFonts w:ascii="Times New Roman" w:hAnsi="Times New Roman" w:cs="Times New Roman"/>
          <w:lang w:val="en-US"/>
        </w:rPr>
        <w:t xml:space="preserve"> ed. 4, v.80, p.388– 393, 2020.</w:t>
      </w:r>
    </w:p>
    <w:sectPr w:rsidR="00E51572" w:rsidRPr="004F3B54">
      <w:headerReference w:type="default" r:id="rId8"/>
      <w:footerReference w:type="default" r:id="rId9"/>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4554" w14:textId="77777777" w:rsidR="000D1547" w:rsidRDefault="000D1547">
      <w:pPr>
        <w:spacing w:after="0" w:line="240" w:lineRule="auto"/>
      </w:pPr>
      <w:r>
        <w:separator/>
      </w:r>
    </w:p>
  </w:endnote>
  <w:endnote w:type="continuationSeparator" w:id="0">
    <w:p w14:paraId="07BF622D" w14:textId="77777777" w:rsidR="000D1547" w:rsidRDefault="000D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da">
    <w:altName w:val="Calibri"/>
    <w:panose1 w:val="020B0604020202020204"/>
    <w:charset w:val="00"/>
    <w:family w:val="auto"/>
    <w:pitch w:val="default"/>
  </w:font>
  <w:font w:name="Arial Rounded">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9107" w14:textId="77777777" w:rsidR="00067F27" w:rsidRDefault="00D9755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7008">
      <w:rPr>
        <w:noProof/>
        <w:color w:val="000000"/>
      </w:rPr>
      <w:t>1</w:t>
    </w:r>
    <w:r>
      <w:rPr>
        <w:color w:val="000000"/>
      </w:rPr>
      <w:fldChar w:fldCharType="end"/>
    </w:r>
  </w:p>
  <w:p w14:paraId="4B549C13" w14:textId="77777777" w:rsidR="00067F27" w:rsidRDefault="00067F2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D105" w14:textId="77777777" w:rsidR="000D1547" w:rsidRDefault="000D1547">
      <w:pPr>
        <w:spacing w:after="0" w:line="240" w:lineRule="auto"/>
      </w:pPr>
      <w:r>
        <w:separator/>
      </w:r>
    </w:p>
  </w:footnote>
  <w:footnote w:type="continuationSeparator" w:id="0">
    <w:p w14:paraId="66BE1023" w14:textId="77777777" w:rsidR="000D1547" w:rsidRDefault="000D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CEF3" w14:textId="77777777" w:rsidR="00067F27" w:rsidRDefault="00D97552">
    <w:pPr>
      <w:spacing w:after="0"/>
      <w:rPr>
        <w:rFonts w:ascii="Monda" w:eastAsia="Monda" w:hAnsi="Monda" w:cs="Monda"/>
      </w:rPr>
    </w:pPr>
    <w:r>
      <w:rPr>
        <w:noProof/>
      </w:rPr>
      <w:drawing>
        <wp:anchor distT="0" distB="0" distL="114300" distR="114300" simplePos="0" relativeHeight="251658240" behindDoc="0" locked="0" layoutInCell="1" hidden="0" allowOverlap="1" wp14:anchorId="72530408" wp14:editId="75CEA682">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91" b="47786"/>
                  <a:stretch>
                    <a:fillRect/>
                  </a:stretch>
                </pic:blipFill>
                <pic:spPr>
                  <a:xfrm>
                    <a:off x="0" y="0"/>
                    <a:ext cx="1806575" cy="52514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3D6AFF5" wp14:editId="2E28FEAE">
              <wp:simplePos x="0" y="0"/>
              <wp:positionH relativeFrom="column">
                <wp:posOffset>-482599</wp:posOffset>
              </wp:positionH>
              <wp:positionV relativeFrom="paragraph">
                <wp:posOffset>0</wp:posOffset>
              </wp:positionV>
              <wp:extent cx="6311900" cy="835025"/>
              <wp:effectExtent l="0" t="0" r="0" b="0"/>
              <wp:wrapNone/>
              <wp:docPr id="1" name="Bisel 1"/>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14:paraId="75BF2749" w14:textId="77777777" w:rsidR="00067F27" w:rsidRDefault="00067F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 o:spid="_x0000_s1026" type="#_x0000_t84" style="position:absolute;margin-left:-38pt;margin-top:0;width:497pt;height:6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" filled="f" strokecolor="#f79646 [3209]" strokeweight="2pt">
              <v:stroke startarrowwidth="narrow" startarrowlength="short" endarrowwidth="narrow" endarrowlength="short" joinstyle="round"/>
              <v:textbox inset="2.53958mm,2.53958mm,2.53958mm,2.53958mm">
                <w:txbxContent>
                  <w:p w14:paraId="75BF2749" w14:textId="77777777" w:rsidR="00067F27" w:rsidRDefault="00067F27">
                    <w:pPr>
                      <w:spacing w:after="0" w:line="240" w:lineRule="auto"/>
                      <w:textDirection w:val="btLr"/>
                    </w:pPr>
                  </w:p>
                </w:txbxContent>
              </v:textbox>
            </v:shape>
          </w:pict>
        </mc:Fallback>
      </mc:AlternateContent>
    </w:r>
  </w:p>
  <w:p w14:paraId="16FF0DE8" w14:textId="77777777" w:rsidR="00067F27" w:rsidRDefault="00D97552">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14:paraId="51C537A6" w14:textId="77777777" w:rsidR="00067F27" w:rsidRDefault="00D97552">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14:paraId="15F4C841" w14:textId="77777777" w:rsidR="00067F27" w:rsidRDefault="00067F27">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14:paraId="6AB31D22" w14:textId="77777777" w:rsidR="00067F27" w:rsidRDefault="00067F27">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67F27"/>
    <w:rsid w:val="00067F27"/>
    <w:rsid w:val="000D1547"/>
    <w:rsid w:val="001E7CAF"/>
    <w:rsid w:val="003318D6"/>
    <w:rsid w:val="00355AD7"/>
    <w:rsid w:val="004F18CC"/>
    <w:rsid w:val="004F3B54"/>
    <w:rsid w:val="005213C9"/>
    <w:rsid w:val="005B1D07"/>
    <w:rsid w:val="005B4E1B"/>
    <w:rsid w:val="005E260B"/>
    <w:rsid w:val="006211B2"/>
    <w:rsid w:val="00687008"/>
    <w:rsid w:val="00772429"/>
    <w:rsid w:val="00857B38"/>
    <w:rsid w:val="00864BAE"/>
    <w:rsid w:val="00915F62"/>
    <w:rsid w:val="00A23335"/>
    <w:rsid w:val="00AB1E99"/>
    <w:rsid w:val="00B16339"/>
    <w:rsid w:val="00B24544"/>
    <w:rsid w:val="00C87AA7"/>
    <w:rsid w:val="00D0212A"/>
    <w:rsid w:val="00D97552"/>
    <w:rsid w:val="00DC688C"/>
    <w:rsid w:val="00E51572"/>
    <w:rsid w:val="00F250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8C45"/>
  <w15:docId w15:val="{FF6190B1-6F93-1045-9706-CBF318C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7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B38"/>
    <w:rPr>
      <w:rFonts w:ascii="Tahoma" w:hAnsi="Tahoma" w:cs="Tahoma"/>
      <w:sz w:val="16"/>
      <w:szCs w:val="16"/>
    </w:rPr>
  </w:style>
  <w:style w:type="character" w:customStyle="1" w:styleId="ref-journal">
    <w:name w:val="ref-journal"/>
    <w:basedOn w:val="Fontepargpadro"/>
    <w:rsid w:val="00A23335"/>
  </w:style>
  <w:style w:type="paragraph" w:styleId="Assuntodocomentrio">
    <w:name w:val="annotation subject"/>
    <w:basedOn w:val="Textodecomentrio"/>
    <w:next w:val="Textodecomentrio"/>
    <w:link w:val="AssuntodocomentrioChar"/>
    <w:uiPriority w:val="99"/>
    <w:semiHidden/>
    <w:unhideWhenUsed/>
    <w:rsid w:val="00C87AA7"/>
    <w:rPr>
      <w:b/>
      <w:bCs/>
    </w:rPr>
  </w:style>
  <w:style w:type="character" w:customStyle="1" w:styleId="AssuntodocomentrioChar">
    <w:name w:val="Assunto do comentário Char"/>
    <w:basedOn w:val="TextodecomentrioChar"/>
    <w:link w:val="Assuntodocomentrio"/>
    <w:uiPriority w:val="99"/>
    <w:semiHidden/>
    <w:rsid w:val="00C87AA7"/>
    <w:rPr>
      <w:b/>
      <w:bCs/>
      <w:sz w:val="20"/>
      <w:szCs w:val="20"/>
    </w:rPr>
  </w:style>
  <w:style w:type="character" w:styleId="Hyperlink">
    <w:name w:val="Hyperlink"/>
    <w:basedOn w:val="Fontepargpadro"/>
    <w:uiPriority w:val="99"/>
    <w:unhideWhenUsed/>
    <w:rsid w:val="00915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274444">
      <w:bodyDiv w:val="1"/>
      <w:marLeft w:val="0"/>
      <w:marRight w:val="0"/>
      <w:marTop w:val="0"/>
      <w:marBottom w:val="0"/>
      <w:divBdr>
        <w:top w:val="none" w:sz="0" w:space="0" w:color="auto"/>
        <w:left w:val="none" w:sz="0" w:space="0" w:color="auto"/>
        <w:bottom w:val="none" w:sz="0" w:space="0" w:color="auto"/>
        <w:right w:val="none" w:sz="0" w:space="0" w:color="auto"/>
      </w:divBdr>
    </w:div>
    <w:div w:id="133426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clnu.2020.05.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E804-8F26-5F4A-845C-D1D30019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2091</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Raphaela Costa</cp:lastModifiedBy>
  <cp:revision>2</cp:revision>
  <dcterms:created xsi:type="dcterms:W3CDTF">2020-11-07T00:42:00Z</dcterms:created>
  <dcterms:modified xsi:type="dcterms:W3CDTF">2020-11-07T00:42:00Z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http://www.zotero.org/styles/associacao-brasileira-de-normas-tecnicas-note</vt:lpwstr>
  </property>
  <property fmtid="{D5CDD505-2E9C-101B-9397-08002B2CF9AE}" pid="4" name="Mendeley Unique User Id_1">
    <vt:lpwstr>23bd9db3-bdf7-324d-a8bd-331e88c44cf0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http://www.zotero.org/styles/associacao-brasileira-de-normas-tecnicas-note</vt:lpwstr>
  </property>
  <property fmtid="{D5CDD505-2E9C-101B-9397-08002B2CF9AE}" pid="14" name="Mendeley Recent Style Name 4_1">
    <vt:lpwstr>Associação Brasileira de Normas Técnicas (note,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