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2A0AB" w14:textId="77777777" w:rsidR="00374078" w:rsidRDefault="00D32500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temática: </w:t>
      </w:r>
      <w:r>
        <w:rPr>
          <w:rFonts w:ascii="Arial" w:eastAsia="Arial" w:hAnsi="Arial" w:cs="Arial"/>
        </w:rPr>
        <w:t>Agrárias</w:t>
      </w:r>
    </w:p>
    <w:p w14:paraId="764A69A1" w14:textId="77777777" w:rsidR="00374078" w:rsidRDefault="00374078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1FC33775" w14:textId="77777777" w:rsidR="00374078" w:rsidRDefault="00D32500">
      <w:pPr>
        <w:spacing w:before="80" w:after="8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Desempenho agronômico do coentro em função de misturas de biomassa de jitirana e flor-de-seda</w:t>
      </w:r>
    </w:p>
    <w:p w14:paraId="1F33419F" w14:textId="77777777" w:rsidR="00374078" w:rsidRDefault="00374078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0C693A7F" w14:textId="77777777" w:rsidR="00374078" w:rsidRDefault="00D32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Antonio Gideilson Correia da Silva, Jailma Suerda Silva de Lima,</w:t>
      </w:r>
    </w:p>
    <w:p w14:paraId="3BF5C36C" w14:textId="77777777" w:rsidR="00374078" w:rsidRDefault="00D32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Rayanna Campos Ferreira, Francisco Bezerra Neto, Elias Gomes Alves</w:t>
      </w:r>
    </w:p>
    <w:p w14:paraId="5E56E34B" w14:textId="77777777" w:rsidR="00374078" w:rsidRDefault="00374078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465AA503" w14:textId="77777777" w:rsidR="00374078" w:rsidRPr="006241B6" w:rsidRDefault="00374078">
      <w:pPr>
        <w:spacing w:before="80" w:after="80" w:line="240" w:lineRule="auto"/>
        <w:jc w:val="both"/>
        <w:rPr>
          <w:rFonts w:ascii="Arial" w:eastAsia="Arial" w:hAnsi="Arial" w:cs="Arial"/>
        </w:rPr>
      </w:pPr>
    </w:p>
    <w:p w14:paraId="1E794C18" w14:textId="3AB391BB" w:rsidR="00374078" w:rsidRDefault="006241B6">
      <w:pPr>
        <w:spacing w:before="80" w:after="80" w:line="240" w:lineRule="auto"/>
        <w:jc w:val="both"/>
        <w:rPr>
          <w:rFonts w:ascii="Arial" w:eastAsia="Arial" w:hAnsi="Arial" w:cs="Arial"/>
        </w:rPr>
      </w:pPr>
      <w:r w:rsidRPr="006241B6">
        <w:rPr>
          <w:rFonts w:ascii="Arial" w:hAnsi="Arial" w:cs="Arial"/>
          <w:sz w:val="21"/>
          <w:szCs w:val="21"/>
          <w:shd w:val="clear" w:color="auto" w:fill="FFFFFF"/>
        </w:rPr>
        <w:t>Adubos verdes são plantas utilizadas para melhoria das condições físicas, químicas e biológicas do solo, uma vez que fornecem uma maior quantidade de matéria orgânica no solo</w:t>
      </w:r>
      <w:r w:rsidR="00D32500">
        <w:rPr>
          <w:rFonts w:ascii="Arial" w:eastAsia="Arial" w:hAnsi="Arial" w:cs="Arial"/>
        </w:rPr>
        <w:t>. Diante disso o objetivo deste trabalho foi avaliar diferentes misturas equitativas de biomassa de jitirana e flor-de-seda, provenientes do bioma Caatinga, em quantidades adequadas para incorporação ao solo, visando a obtenção de alta produtividade de coentro. O experimento foi conduzido na Fazenda experimental Rafael Fernandes, da Universidade Federal Rural do Semi-Árido (UFERSA), Mossoró - RN, em 2019. O delineamento utilizado foi o de blocos completos casualizados, com cinco tratamentos e seis repetições. Os tratamentos consistiram de misturas equitativas de biomassa de jitirana e de flor-de-seda nas seguintes quantidades:</w:t>
      </w:r>
      <w:r w:rsidR="00825299">
        <w:rPr>
          <w:rFonts w:ascii="Arial" w:eastAsia="Arial" w:hAnsi="Arial" w:cs="Arial"/>
        </w:rPr>
        <w:t xml:space="preserve"> </w:t>
      </w:r>
      <w:r w:rsidR="00D32500">
        <w:rPr>
          <w:rFonts w:ascii="Arial" w:eastAsia="Arial" w:hAnsi="Arial" w:cs="Arial"/>
        </w:rPr>
        <w:t xml:space="preserve">16, 26, 36, 46 e 56 t ha-¹. </w:t>
      </w:r>
      <w:r w:rsidR="00D32500">
        <w:rPr>
          <w:rFonts w:ascii="Arial" w:eastAsia="Arial" w:hAnsi="Arial" w:cs="Arial"/>
          <w:color w:val="000000"/>
        </w:rPr>
        <w:t xml:space="preserve">A cultivar de coentro utilizada foi a cv. Verdão. A área total da parcela em campo para o coentro foi de 1,44 m², com área útil de 0,80 m², plantada no espaçamento de 0,20 m x 0,05 m. Os tratos culturais realizados foram desbaste, capinas manuais, quando necessário, e a irrigação pelo sistema de microaspersão. </w:t>
      </w:r>
      <w:r w:rsidR="00D32500">
        <w:rPr>
          <w:rFonts w:ascii="Arial" w:eastAsia="Arial" w:hAnsi="Arial" w:cs="Arial"/>
        </w:rPr>
        <w:t xml:space="preserve">As características agronômicas </w:t>
      </w:r>
      <w:r w:rsidR="00D32500" w:rsidRPr="00070044">
        <w:rPr>
          <w:rFonts w:ascii="Arial" w:eastAsia="Arial" w:hAnsi="Arial" w:cs="Arial"/>
        </w:rPr>
        <w:t xml:space="preserve">avaliadas no coentro foram: altura e número de folhas por planta, massa seca da parte aérea, </w:t>
      </w:r>
      <w:r w:rsidR="00070044" w:rsidRPr="00070044">
        <w:rPr>
          <w:rFonts w:ascii="Arial" w:hAnsi="Arial" w:cs="Arial"/>
          <w:color w:val="000000"/>
          <w:shd w:val="clear" w:color="auto" w:fill="FFFFFF"/>
        </w:rPr>
        <w:t>número de molhos de 100 g por unidade de área cultivada (m</w:t>
      </w:r>
      <w:r w:rsidR="00070044" w:rsidRPr="00070044"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="00070044" w:rsidRPr="00070044">
        <w:rPr>
          <w:rFonts w:ascii="Arial" w:hAnsi="Arial" w:cs="Arial"/>
          <w:color w:val="000000"/>
          <w:shd w:val="clear" w:color="auto" w:fill="FFFFFF"/>
        </w:rPr>
        <w:t>) </w:t>
      </w:r>
      <w:r w:rsidR="00D32500" w:rsidRPr="00070044">
        <w:rPr>
          <w:rFonts w:ascii="Arial" w:eastAsia="Arial" w:hAnsi="Arial" w:cs="Arial"/>
        </w:rPr>
        <w:t>e rendimento de massa verde. Foi realizado uma análise univariada de variância para o delineamento de blocos completos casualizados</w:t>
      </w:r>
      <w:r w:rsidR="00D32500">
        <w:rPr>
          <w:rFonts w:ascii="Arial" w:eastAsia="Arial" w:hAnsi="Arial" w:cs="Arial"/>
        </w:rPr>
        <w:t xml:space="preserve"> e </w:t>
      </w:r>
      <w:bookmarkStart w:id="0" w:name="_Hlk55549746"/>
      <w:r w:rsidR="00D32500">
        <w:rPr>
          <w:rFonts w:ascii="Arial" w:eastAsia="Arial" w:hAnsi="Arial" w:cs="Arial"/>
        </w:rPr>
        <w:t xml:space="preserve">foi realizado um ajustamento de curva de resposta em cada variável avaliada em função </w:t>
      </w:r>
      <w:bookmarkEnd w:id="0"/>
      <w:r w:rsidR="00D32500">
        <w:rPr>
          <w:rFonts w:ascii="Arial" w:eastAsia="Arial" w:hAnsi="Arial" w:cs="Arial"/>
        </w:rPr>
        <w:t xml:space="preserve">das quantidades de misturas de biomassa de jitirana e flor-de-seda. </w:t>
      </w:r>
      <w:r w:rsidR="009E356D">
        <w:rPr>
          <w:rFonts w:ascii="Arial" w:eastAsia="Arial" w:hAnsi="Arial" w:cs="Arial"/>
        </w:rPr>
        <w:t>Observando-se o comportamento da característica altura de plantas e o número de folhas em função das quantidades de misturas dos adubos verdes, v</w:t>
      </w:r>
      <w:r w:rsidR="007C7E4E">
        <w:rPr>
          <w:rFonts w:ascii="Arial" w:eastAsia="Arial" w:hAnsi="Arial" w:cs="Arial"/>
        </w:rPr>
        <w:t>e</w:t>
      </w:r>
      <w:r w:rsidR="009E356D">
        <w:rPr>
          <w:rFonts w:ascii="Arial" w:eastAsia="Arial" w:hAnsi="Arial" w:cs="Arial"/>
        </w:rPr>
        <w:t>rifica-se um aumento dessas características até o valor máximo</w:t>
      </w:r>
      <w:r w:rsidR="007C7E4E">
        <w:rPr>
          <w:rFonts w:ascii="Arial" w:eastAsia="Arial" w:hAnsi="Arial" w:cs="Arial"/>
        </w:rPr>
        <w:t xml:space="preserve"> </w:t>
      </w:r>
      <w:r w:rsidR="009E356D">
        <w:rPr>
          <w:rFonts w:ascii="Arial" w:eastAsia="Arial" w:hAnsi="Arial" w:cs="Arial"/>
        </w:rPr>
        <w:t>de 13,82 cm e 8,13 folhas na quantidade de 38,51 e 27,13 t ha-¹, decrescendo em seguida até a quantidade máxima avaliada. Comportamento semelhante foi observado pa</w:t>
      </w:r>
      <w:r w:rsidR="00D32500">
        <w:rPr>
          <w:rFonts w:ascii="Arial" w:eastAsia="Arial" w:hAnsi="Arial" w:cs="Arial"/>
        </w:rPr>
        <w:t xml:space="preserve">ra as variáveis número de molhos por m² e rendimento de massa verde de coentro, </w:t>
      </w:r>
      <w:r w:rsidR="009E356D">
        <w:rPr>
          <w:rFonts w:ascii="Arial" w:eastAsia="Arial" w:hAnsi="Arial" w:cs="Arial"/>
        </w:rPr>
        <w:t>onde</w:t>
      </w:r>
      <w:r w:rsidR="00D32500">
        <w:rPr>
          <w:rFonts w:ascii="Arial" w:eastAsia="Arial" w:hAnsi="Arial" w:cs="Arial"/>
        </w:rPr>
        <w:t xml:space="preserve"> ocorre</w:t>
      </w:r>
      <w:r w:rsidR="009E356D">
        <w:rPr>
          <w:rFonts w:ascii="Arial" w:eastAsia="Arial" w:hAnsi="Arial" w:cs="Arial"/>
        </w:rPr>
        <w:t>u</w:t>
      </w:r>
      <w:r w:rsidR="00D32500">
        <w:rPr>
          <w:rFonts w:ascii="Arial" w:eastAsia="Arial" w:hAnsi="Arial" w:cs="Arial"/>
        </w:rPr>
        <w:t xml:space="preserve"> um aumento dessas características em função das quantidades de misturas dos adubos verdes, até as quantidades </w:t>
      </w:r>
      <w:r w:rsidR="009E356D">
        <w:rPr>
          <w:rFonts w:ascii="Arial" w:eastAsia="Arial" w:hAnsi="Arial" w:cs="Arial"/>
        </w:rPr>
        <w:t xml:space="preserve">máximas </w:t>
      </w:r>
      <w:r w:rsidR="00D32500">
        <w:rPr>
          <w:rFonts w:ascii="Arial" w:eastAsia="Arial" w:hAnsi="Arial" w:cs="Arial"/>
        </w:rPr>
        <w:t>de 39,97 e 40,27 t ha</w:t>
      </w:r>
      <w:r w:rsidR="00D32500">
        <w:rPr>
          <w:rFonts w:ascii="Arial" w:eastAsia="Arial" w:hAnsi="Arial" w:cs="Arial"/>
          <w:vertAlign w:val="superscript"/>
        </w:rPr>
        <w:t>-1</w:t>
      </w:r>
      <w:r w:rsidR="00D32500">
        <w:rPr>
          <w:rFonts w:ascii="Arial" w:eastAsia="Arial" w:hAnsi="Arial" w:cs="Arial"/>
        </w:rPr>
        <w:t xml:space="preserve">, onde foram registrados os valores máximos </w:t>
      </w:r>
      <w:r w:rsidR="009E356D">
        <w:rPr>
          <w:rFonts w:ascii="Arial" w:eastAsia="Arial" w:hAnsi="Arial" w:cs="Arial"/>
        </w:rPr>
        <w:t xml:space="preserve"> de </w:t>
      </w:r>
      <w:r w:rsidR="00D32500">
        <w:rPr>
          <w:rFonts w:ascii="Arial" w:eastAsia="Arial" w:hAnsi="Arial" w:cs="Arial"/>
        </w:rPr>
        <w:t>3,64 molhos/m² e 2,54 t ha</w:t>
      </w:r>
      <w:r w:rsidR="00D32500">
        <w:rPr>
          <w:rFonts w:ascii="Arial" w:eastAsia="Arial" w:hAnsi="Arial" w:cs="Arial"/>
          <w:vertAlign w:val="superscript"/>
        </w:rPr>
        <w:t>-1</w:t>
      </w:r>
      <w:r w:rsidR="00D32500">
        <w:rPr>
          <w:rFonts w:ascii="Arial" w:eastAsia="Arial" w:hAnsi="Arial" w:cs="Arial"/>
        </w:rPr>
        <w:t>,</w:t>
      </w:r>
      <w:r w:rsidR="009E356D">
        <w:rPr>
          <w:rFonts w:ascii="Arial" w:eastAsia="Arial" w:hAnsi="Arial" w:cs="Arial"/>
        </w:rPr>
        <w:t xml:space="preserve"> </w:t>
      </w:r>
      <w:r w:rsidR="009E356D">
        <w:rPr>
          <w:rFonts w:ascii="Arial" w:hAnsi="Arial" w:cs="Arial"/>
        </w:rPr>
        <w:t>respectivamente,</w:t>
      </w:r>
      <w:r w:rsidR="00D32500">
        <w:rPr>
          <w:rFonts w:ascii="Arial" w:eastAsia="Arial" w:hAnsi="Arial" w:cs="Arial"/>
        </w:rPr>
        <w:t xml:space="preserve"> decrescendo, em seguida, até a maior quantidade </w:t>
      </w:r>
      <w:r w:rsidR="009E356D">
        <w:rPr>
          <w:rFonts w:ascii="Arial" w:eastAsia="Arial" w:hAnsi="Arial" w:cs="Arial"/>
        </w:rPr>
        <w:t>da mistura incorpora</w:t>
      </w:r>
      <w:r w:rsidR="00D32500">
        <w:rPr>
          <w:rFonts w:ascii="Arial" w:eastAsia="Arial" w:hAnsi="Arial" w:cs="Arial"/>
        </w:rPr>
        <w:t>da ao solo. A quantidade equitativa da mistura de jitirana e flor-de-seda que proporcionou maior rendimento na cultura do coentro foi de 41 t ha-¹.</w:t>
      </w:r>
    </w:p>
    <w:p w14:paraId="2E68ECB1" w14:textId="77777777" w:rsidR="00374078" w:rsidRDefault="00374078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</w:p>
    <w:p w14:paraId="0A4D1014" w14:textId="77777777" w:rsidR="00374078" w:rsidRDefault="00D32500">
      <w:pPr>
        <w:rPr>
          <w:rFonts w:ascii="Arial" w:eastAsia="Arial" w:hAnsi="Arial" w:cs="Arial"/>
          <w:color w:val="000000"/>
          <w:shd w:val="clear" w:color="auto" w:fill="F9FBFD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Merremia aegyptia, Calotropis procera, Coriandrum sativum</w:t>
      </w:r>
      <w:r>
        <w:rPr>
          <w:rFonts w:ascii="Arial" w:eastAsia="Arial" w:hAnsi="Arial" w:cs="Arial"/>
        </w:rPr>
        <w:t>, adubação verde, eficiência agronômica.</w:t>
      </w:r>
    </w:p>
    <w:p w14:paraId="496E9792" w14:textId="77777777" w:rsidR="00374078" w:rsidRDefault="00374078">
      <w:pPr>
        <w:rPr>
          <w:rFonts w:ascii="Arial" w:eastAsia="Arial" w:hAnsi="Arial" w:cs="Arial"/>
          <w:color w:val="000000"/>
          <w:shd w:val="clear" w:color="auto" w:fill="F9FBFD"/>
        </w:rPr>
      </w:pPr>
    </w:p>
    <w:p w14:paraId="32B9A0BE" w14:textId="77777777" w:rsidR="00374078" w:rsidRDefault="00D32500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Agência financiadora:</w:t>
      </w:r>
      <w:r>
        <w:rPr>
          <w:rFonts w:ascii="Arial" w:eastAsia="Arial" w:hAnsi="Arial" w:cs="Arial"/>
        </w:rPr>
        <w:t xml:space="preserve"> Bolsista IC PIVIC-UFERSA.</w:t>
      </w:r>
    </w:p>
    <w:p w14:paraId="165877A9" w14:textId="77777777" w:rsidR="00374078" w:rsidRDefault="00374078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</w:p>
    <w:sectPr w:rsidR="0037407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FC5F2" w14:textId="77777777" w:rsidR="00D529F6" w:rsidRDefault="00D529F6">
      <w:pPr>
        <w:spacing w:after="0" w:line="240" w:lineRule="auto"/>
      </w:pPr>
      <w:r>
        <w:separator/>
      </w:r>
    </w:p>
  </w:endnote>
  <w:endnote w:type="continuationSeparator" w:id="0">
    <w:p w14:paraId="5714BED9" w14:textId="77777777" w:rsidR="00D529F6" w:rsidRDefault="00D5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A80B8" w14:textId="77777777" w:rsidR="00374078" w:rsidRDefault="00D32500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2E64D0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14:paraId="7308FD9D" w14:textId="77777777" w:rsidR="00374078" w:rsidRDefault="003740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4DBA7" w14:textId="77777777" w:rsidR="00D529F6" w:rsidRDefault="00D529F6">
      <w:pPr>
        <w:spacing w:after="0" w:line="240" w:lineRule="auto"/>
      </w:pPr>
      <w:r>
        <w:separator/>
      </w:r>
    </w:p>
  </w:footnote>
  <w:footnote w:type="continuationSeparator" w:id="0">
    <w:p w14:paraId="1CE6354C" w14:textId="77777777" w:rsidR="00D529F6" w:rsidRDefault="00D5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5BB87" w14:textId="77777777" w:rsidR="00374078" w:rsidRDefault="003740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"/>
      <w:tblW w:w="9257" w:type="dxa"/>
      <w:tblInd w:w="0" w:type="dxa"/>
      <w:tblBorders>
        <w:top w:val="nil"/>
        <w:left w:val="nil"/>
        <w:bottom w:val="single" w:sz="8" w:space="0" w:color="C45911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958"/>
      <w:gridCol w:w="2299"/>
    </w:tblGrid>
    <w:tr w:rsidR="00374078" w14:paraId="32E27F28" w14:textId="77777777">
      <w:tc>
        <w:tcPr>
          <w:tcW w:w="6958" w:type="dxa"/>
          <w:vAlign w:val="center"/>
        </w:tcPr>
        <w:p w14:paraId="4CC7EAA1" w14:textId="77777777" w:rsidR="00374078" w:rsidRDefault="00D325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114300" distR="114300" wp14:anchorId="3FDE60D8" wp14:editId="513613F6">
                <wp:extent cx="3400425" cy="89154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14:paraId="2C81125C" w14:textId="77777777" w:rsidR="00374078" w:rsidRDefault="003740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6EAA0E2A" w14:textId="77777777" w:rsidR="00374078" w:rsidRDefault="003740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0CEE4AAF" w14:textId="77777777" w:rsidR="00374078" w:rsidRDefault="003740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2CB3E4EE" w14:textId="77777777" w:rsidR="00374078" w:rsidRDefault="00D325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14:paraId="0C6251A3" w14:textId="77777777" w:rsidR="00374078" w:rsidRDefault="00D325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3634EA10" w14:textId="77777777" w:rsidR="00374078" w:rsidRDefault="003740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78"/>
    <w:rsid w:val="00070044"/>
    <w:rsid w:val="000934D4"/>
    <w:rsid w:val="002E64D0"/>
    <w:rsid w:val="00374078"/>
    <w:rsid w:val="00553480"/>
    <w:rsid w:val="006241B6"/>
    <w:rsid w:val="007C7E4E"/>
    <w:rsid w:val="00825299"/>
    <w:rsid w:val="009E356D"/>
    <w:rsid w:val="00A17514"/>
    <w:rsid w:val="00C40A19"/>
    <w:rsid w:val="00D32500"/>
    <w:rsid w:val="00D5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F83E"/>
  <w15:docId w15:val="{26548D91-69EA-4E18-9A71-A78607A9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5289-1CEF-494A-A523-AA5F2413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Jailma</dc:creator>
  <cp:lastModifiedBy>Antonio Gideilson Correia da Silva</cp:lastModifiedBy>
  <cp:revision>2</cp:revision>
  <dcterms:created xsi:type="dcterms:W3CDTF">2020-11-06T18:33:00Z</dcterms:created>
  <dcterms:modified xsi:type="dcterms:W3CDTF">2020-11-06T18:33:00Z</dcterms:modified>
</cp:coreProperties>
</file>