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EAC8" w14:textId="77777777" w:rsidR="00B81070" w:rsidRDefault="00C43C15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 temática: </w:t>
      </w:r>
      <w:r>
        <w:rPr>
          <w:rFonts w:ascii="Arial" w:eastAsia="Arial" w:hAnsi="Arial" w:cs="Arial"/>
        </w:rPr>
        <w:t>Ciências Biológicas</w:t>
      </w:r>
    </w:p>
    <w:p w14:paraId="3B4DC3DD" w14:textId="77777777" w:rsidR="00B81070" w:rsidRDefault="00B81070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</w:p>
    <w:p w14:paraId="315FBA85" w14:textId="77777777" w:rsidR="00B81070" w:rsidRDefault="00C43C15">
      <w:pPr>
        <w:spacing w:before="80" w:after="80"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Dieta da coruja suindara </w:t>
      </w:r>
      <w:r>
        <w:rPr>
          <w:rFonts w:ascii="Arial" w:eastAsia="Arial" w:hAnsi="Arial" w:cs="Arial"/>
          <w:b/>
          <w:i/>
          <w:sz w:val="26"/>
          <w:szCs w:val="26"/>
        </w:rPr>
        <w:t>Tyto furcata</w:t>
      </w:r>
      <w:r>
        <w:rPr>
          <w:rFonts w:ascii="Arial" w:eastAsia="Arial" w:hAnsi="Arial" w:cs="Arial"/>
          <w:b/>
          <w:sz w:val="26"/>
          <w:szCs w:val="26"/>
        </w:rPr>
        <w:t xml:space="preserve"> (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Temminck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, 1827) (Aves,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Strigiformes</w:t>
      </w:r>
      <w:proofErr w:type="spellEnd"/>
      <w:r>
        <w:rPr>
          <w:rFonts w:ascii="Arial" w:eastAsia="Arial" w:hAnsi="Arial" w:cs="Arial"/>
          <w:b/>
          <w:sz w:val="26"/>
          <w:szCs w:val="26"/>
        </w:rPr>
        <w:t>) no Parque Nacional da Furna Feia</w:t>
      </w:r>
    </w:p>
    <w:p w14:paraId="408353DD" w14:textId="77777777" w:rsidR="00B81070" w:rsidRDefault="00B81070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</w:p>
    <w:p w14:paraId="09350D12" w14:textId="77777777" w:rsidR="00B81070" w:rsidRDefault="00C43C15">
      <w:pPr>
        <w:spacing w:before="80" w:after="8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Batista Pinheiro Filho, Vitor de Oliveira Lunardi, Diana Gonçalves Lunardi</w:t>
      </w:r>
    </w:p>
    <w:p w14:paraId="53431F77" w14:textId="77777777" w:rsidR="00B81070" w:rsidRDefault="00B81070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</w:p>
    <w:p w14:paraId="511AED59" w14:textId="77777777" w:rsidR="00B81070" w:rsidRDefault="00C43C15">
      <w:pPr>
        <w:spacing w:before="80" w:after="8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Corujas regurgitam massas compactas de alimentos não digeríveis, especialmente exoesqueletos de insetos, ossos, </w:t>
      </w:r>
      <w:proofErr w:type="spellStart"/>
      <w:r>
        <w:rPr>
          <w:rFonts w:ascii="Arial" w:eastAsia="Arial" w:hAnsi="Arial" w:cs="Arial"/>
        </w:rPr>
        <w:t>pêlos</w:t>
      </w:r>
      <w:proofErr w:type="spellEnd"/>
      <w:r>
        <w:rPr>
          <w:rFonts w:ascii="Arial" w:eastAsia="Arial" w:hAnsi="Arial" w:cs="Arial"/>
        </w:rPr>
        <w:t xml:space="preserve"> e penas, e a análise desses regurgitos possibilita a determinação da dieta dessas aves e de relações tróficas nos ecossistemas que ocupam. O objetivo deste estudo foi descrever as espécies de presas consumidas pela coruja suindara </w:t>
      </w:r>
      <w:r w:rsidRPr="00A739F7">
        <w:rPr>
          <w:rFonts w:ascii="Arial" w:eastAsia="Arial" w:hAnsi="Arial" w:cs="Arial"/>
          <w:i/>
        </w:rPr>
        <w:t>Tyto</w:t>
      </w:r>
      <w:r>
        <w:rPr>
          <w:rFonts w:ascii="Arial" w:eastAsia="Arial" w:hAnsi="Arial" w:cs="Arial"/>
        </w:rPr>
        <w:t xml:space="preserve"> </w:t>
      </w:r>
      <w:r w:rsidRPr="00A739F7">
        <w:rPr>
          <w:rFonts w:ascii="Arial" w:eastAsia="Arial" w:hAnsi="Arial" w:cs="Arial"/>
          <w:i/>
        </w:rPr>
        <w:t>furcata</w:t>
      </w:r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Temminck</w:t>
      </w:r>
      <w:proofErr w:type="spellEnd"/>
      <w:r>
        <w:rPr>
          <w:rFonts w:ascii="Arial" w:eastAsia="Arial" w:hAnsi="Arial" w:cs="Arial"/>
        </w:rPr>
        <w:t>, 1827) no Parque Nacional da Furna Feia, semiárido brasileiro, por meio da análise de regurgitos. Foram analisadas 156 amostras de regurgitos de suindaras, as quais foram coletadas em expediçõe</w:t>
      </w:r>
      <w:bookmarkStart w:id="0" w:name="_GoBack"/>
      <w:bookmarkEnd w:id="0"/>
      <w:r>
        <w:rPr>
          <w:rFonts w:ascii="Arial" w:eastAsia="Arial" w:hAnsi="Arial" w:cs="Arial"/>
        </w:rPr>
        <w:t xml:space="preserve">s mensais na área de estudo, entre 2016 e 2019. A triagem dessas amostras possibilitou a identificação de 12.638 partes ósseas, incluindo 206 crânios e suas mandíbulas. Nenhum invertebrado foi registrado nessas amostras. Crânios e mandíbulas encontrados nessas amostras foram mensurados, e suas principais medidas foram comparadas com as de espécies de mamíferos e aves da Caatinga, disponíveis na literatura científica. Essa análise comparativa </w:t>
      </w:r>
      <w:proofErr w:type="spellStart"/>
      <w:r>
        <w:rPr>
          <w:rFonts w:ascii="Arial" w:eastAsia="Arial" w:hAnsi="Arial" w:cs="Arial"/>
        </w:rPr>
        <w:t>morfométrica</w:t>
      </w:r>
      <w:proofErr w:type="spellEnd"/>
      <w:r>
        <w:rPr>
          <w:rFonts w:ascii="Arial" w:eastAsia="Arial" w:hAnsi="Arial" w:cs="Arial"/>
        </w:rPr>
        <w:t xml:space="preserve"> proporcionou a identificação taxonômica, em nível de espécie, de 174 presas consumidas por suindara, especificamente do grupo dos mamíferos, a saber, </w:t>
      </w:r>
      <w:proofErr w:type="spellStart"/>
      <w:r>
        <w:rPr>
          <w:rFonts w:ascii="Arial" w:eastAsia="Arial" w:hAnsi="Arial" w:cs="Arial"/>
        </w:rPr>
        <w:t>Rodentia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  <w:i/>
        </w:rPr>
        <w:t>Bolomys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lasiurus</w:t>
      </w:r>
      <w:proofErr w:type="spellEnd"/>
      <w:r>
        <w:rPr>
          <w:rFonts w:ascii="Arial" w:eastAsia="Arial" w:hAnsi="Arial" w:cs="Arial"/>
        </w:rPr>
        <w:t xml:space="preserve"> (n = 1 crânio), </w:t>
      </w:r>
      <w:proofErr w:type="spellStart"/>
      <w:r>
        <w:rPr>
          <w:rFonts w:ascii="Arial" w:eastAsia="Arial" w:hAnsi="Arial" w:cs="Arial"/>
          <w:i/>
        </w:rPr>
        <w:t>Calomys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mattevii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(n = 2 crânios), </w:t>
      </w:r>
      <w:proofErr w:type="spellStart"/>
      <w:r>
        <w:rPr>
          <w:rFonts w:ascii="Arial" w:eastAsia="Arial" w:hAnsi="Arial" w:cs="Arial"/>
          <w:i/>
        </w:rPr>
        <w:t>Wiedomys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cerradensis</w:t>
      </w:r>
      <w:proofErr w:type="spellEnd"/>
      <w:r>
        <w:rPr>
          <w:rFonts w:ascii="Arial" w:eastAsia="Arial" w:hAnsi="Arial" w:cs="Arial"/>
        </w:rPr>
        <w:t xml:space="preserve"> (n = 93 crânios), </w:t>
      </w:r>
      <w:proofErr w:type="spellStart"/>
      <w:r>
        <w:rPr>
          <w:rFonts w:ascii="Arial" w:eastAsia="Arial" w:hAnsi="Arial" w:cs="Arial"/>
          <w:i/>
        </w:rPr>
        <w:t>Galea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spixii</w:t>
      </w:r>
      <w:proofErr w:type="spellEnd"/>
      <w:r>
        <w:rPr>
          <w:rFonts w:ascii="Arial" w:eastAsia="Arial" w:hAnsi="Arial" w:cs="Arial"/>
        </w:rPr>
        <w:t xml:space="preserve"> (n = 2 crânios); </w:t>
      </w:r>
      <w:proofErr w:type="spellStart"/>
      <w:r>
        <w:rPr>
          <w:rFonts w:ascii="Arial" w:eastAsia="Arial" w:hAnsi="Arial" w:cs="Arial"/>
        </w:rPr>
        <w:t>Didelphimorphia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  <w:i/>
        </w:rPr>
        <w:t>Gracilinanus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agilis</w:t>
      </w:r>
      <w:proofErr w:type="spellEnd"/>
      <w:r>
        <w:rPr>
          <w:rFonts w:ascii="Arial" w:eastAsia="Arial" w:hAnsi="Arial" w:cs="Arial"/>
        </w:rPr>
        <w:t xml:space="preserve"> (n = 1 crânio), </w:t>
      </w:r>
      <w:proofErr w:type="spellStart"/>
      <w:r>
        <w:rPr>
          <w:rFonts w:ascii="Arial" w:eastAsia="Arial" w:hAnsi="Arial" w:cs="Arial"/>
          <w:i/>
        </w:rPr>
        <w:t>Monodelphis</w:t>
      </w:r>
      <w:proofErr w:type="spellEnd"/>
      <w:r>
        <w:rPr>
          <w:rFonts w:ascii="Arial" w:eastAsia="Arial" w:hAnsi="Arial" w:cs="Arial"/>
          <w:i/>
        </w:rPr>
        <w:t xml:space="preserve"> domestica</w:t>
      </w:r>
      <w:r>
        <w:rPr>
          <w:rFonts w:ascii="Arial" w:eastAsia="Arial" w:hAnsi="Arial" w:cs="Arial"/>
        </w:rPr>
        <w:t xml:space="preserve"> (n = 3 crânios) e </w:t>
      </w:r>
      <w:proofErr w:type="spellStart"/>
      <w:r>
        <w:rPr>
          <w:rFonts w:ascii="Arial" w:eastAsia="Arial" w:hAnsi="Arial" w:cs="Arial"/>
        </w:rPr>
        <w:t>Chiroptera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  <w:i/>
        </w:rPr>
        <w:t>Phyllostomus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discolor</w:t>
      </w:r>
      <w:proofErr w:type="spellEnd"/>
      <w:r>
        <w:rPr>
          <w:rFonts w:ascii="Arial" w:eastAsia="Arial" w:hAnsi="Arial" w:cs="Arial"/>
        </w:rPr>
        <w:t xml:space="preserve"> (n = 82 crânios). Adicionalmente, foram registrados 10 crânios de Passeriformes. No Parque Nacional da Furna Feia, suindaras possuem uma dieta baseada em pequenos vertebrados, exercendo pressão de predação sobre alguns grupos animais, especialmente </w:t>
      </w:r>
      <w:proofErr w:type="spellStart"/>
      <w:r>
        <w:rPr>
          <w:rFonts w:ascii="Arial" w:eastAsia="Arial" w:hAnsi="Arial" w:cs="Arial"/>
        </w:rPr>
        <w:t>Rodentia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Chiroptera</w:t>
      </w:r>
      <w:proofErr w:type="spellEnd"/>
      <w:r>
        <w:rPr>
          <w:rFonts w:ascii="Arial" w:eastAsia="Arial" w:hAnsi="Arial" w:cs="Arial"/>
        </w:rPr>
        <w:t>. Para garantir o controle populacional natural de pequenos vertebrados na Caatinga, especialmente pequenos roedores e morcegos, estratégias de conservação nesse bioma devem incluir a proteção de áreas de descanso e reprodução de suindaras.</w:t>
      </w:r>
    </w:p>
    <w:p w14:paraId="1110565D" w14:textId="77777777" w:rsidR="00B81070" w:rsidRDefault="00B81070">
      <w:pPr>
        <w:spacing w:before="60" w:after="60" w:line="240" w:lineRule="auto"/>
        <w:ind w:left="0" w:right="142" w:hanging="2"/>
        <w:jc w:val="both"/>
        <w:rPr>
          <w:rFonts w:ascii="Arial" w:eastAsia="Arial" w:hAnsi="Arial" w:cs="Arial"/>
        </w:rPr>
      </w:pPr>
    </w:p>
    <w:p w14:paraId="3ACDD7E5" w14:textId="77777777" w:rsidR="00B81070" w:rsidRDefault="00C43C15">
      <w:pPr>
        <w:spacing w:before="60" w:after="60" w:line="240" w:lineRule="auto"/>
        <w:ind w:left="0" w:right="14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Caatinga, Ecologia trófica, Interações ecológicas, Aves de rapina, Conservação da biodiversidade.</w:t>
      </w:r>
    </w:p>
    <w:p w14:paraId="05E0492E" w14:textId="77777777" w:rsidR="00B81070" w:rsidRDefault="00C43C15">
      <w:pPr>
        <w:spacing w:before="60" w:after="60" w:line="240" w:lineRule="auto"/>
        <w:ind w:left="0" w:right="14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Agência financiadora:</w:t>
      </w:r>
      <w:r>
        <w:rPr>
          <w:rFonts w:ascii="Arial" w:eastAsia="Arial" w:hAnsi="Arial" w:cs="Arial"/>
        </w:rPr>
        <w:t xml:space="preserve"> Bolsista IC PICI – UFERSA.</w:t>
      </w:r>
    </w:p>
    <w:sectPr w:rsidR="00B81070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1A47C" w14:textId="77777777" w:rsidR="00C43C15" w:rsidRDefault="00C43C1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84C2D6" w14:textId="77777777" w:rsidR="00C43C15" w:rsidRDefault="00C43C1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222F0" w14:textId="77777777" w:rsidR="00B81070" w:rsidRDefault="00C43C15">
    <w:pPr>
      <w:pBdr>
        <w:top w:val="single" w:sz="12" w:space="1" w:color="C4591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Arial" w:eastAsia="Arial" w:hAnsi="Arial" w:cs="Arial"/>
        <w:color w:val="1F4E79"/>
        <w:sz w:val="20"/>
        <w:szCs w:val="20"/>
      </w:rPr>
    </w:pPr>
    <w:r>
      <w:rPr>
        <w:rFonts w:ascii="Arial" w:eastAsia="Arial" w:hAnsi="Arial" w:cs="Arial"/>
        <w:b/>
        <w:color w:val="1F4E79"/>
        <w:sz w:val="20"/>
        <w:szCs w:val="20"/>
      </w:rPr>
      <w:fldChar w:fldCharType="begin"/>
    </w:r>
    <w:r>
      <w:rPr>
        <w:rFonts w:ascii="Arial" w:eastAsia="Arial" w:hAnsi="Arial" w:cs="Arial"/>
        <w:b/>
        <w:color w:val="1F4E79"/>
        <w:sz w:val="20"/>
        <w:szCs w:val="20"/>
      </w:rPr>
      <w:instrText>PAGE</w:instrText>
    </w:r>
    <w:r>
      <w:rPr>
        <w:rFonts w:ascii="Arial" w:eastAsia="Arial" w:hAnsi="Arial" w:cs="Arial"/>
        <w:b/>
        <w:color w:val="1F4E79"/>
        <w:sz w:val="20"/>
        <w:szCs w:val="20"/>
      </w:rPr>
      <w:fldChar w:fldCharType="separate"/>
    </w:r>
    <w:r w:rsidR="00A739F7">
      <w:rPr>
        <w:rFonts w:ascii="Arial" w:eastAsia="Arial" w:hAnsi="Arial" w:cs="Arial"/>
        <w:b/>
        <w:noProof/>
        <w:color w:val="1F4E79"/>
        <w:sz w:val="20"/>
        <w:szCs w:val="20"/>
      </w:rPr>
      <w:t>1</w:t>
    </w:r>
    <w:r>
      <w:rPr>
        <w:rFonts w:ascii="Arial" w:eastAsia="Arial" w:hAnsi="Arial" w:cs="Arial"/>
        <w:b/>
        <w:color w:val="1F4E79"/>
        <w:sz w:val="20"/>
        <w:szCs w:val="20"/>
      </w:rPr>
      <w:fldChar w:fldCharType="end"/>
    </w:r>
  </w:p>
  <w:p w14:paraId="76535AFA" w14:textId="77777777" w:rsidR="00B81070" w:rsidRDefault="00B81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42D26" w14:textId="77777777" w:rsidR="00C43C15" w:rsidRDefault="00C43C1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620246" w14:textId="77777777" w:rsidR="00C43C15" w:rsidRDefault="00C43C1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2924A" w14:textId="77777777" w:rsidR="00B81070" w:rsidRDefault="00B8107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Arial" w:eastAsia="Arial" w:hAnsi="Arial" w:cs="Arial"/>
      </w:rPr>
    </w:pPr>
  </w:p>
  <w:tbl>
    <w:tblPr>
      <w:tblStyle w:val="a"/>
      <w:tblW w:w="9257" w:type="dxa"/>
      <w:tblInd w:w="0" w:type="dxa"/>
      <w:tblBorders>
        <w:top w:val="nil"/>
        <w:left w:val="nil"/>
        <w:bottom w:val="single" w:sz="8" w:space="0" w:color="C45911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958"/>
      <w:gridCol w:w="2299"/>
    </w:tblGrid>
    <w:tr w:rsidR="00B81070" w14:paraId="0BF37422" w14:textId="77777777">
      <w:tc>
        <w:tcPr>
          <w:tcW w:w="6958" w:type="dxa"/>
          <w:vAlign w:val="center"/>
        </w:tcPr>
        <w:p w14:paraId="3FD30A28" w14:textId="77777777" w:rsidR="00B81070" w:rsidRDefault="00C43C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ED7D31"/>
              <w:sz w:val="20"/>
              <w:szCs w:val="20"/>
              <w:lang w:val="en-US"/>
            </w:rPr>
            <w:drawing>
              <wp:inline distT="0" distB="0" distL="114300" distR="114300" wp14:anchorId="17415659" wp14:editId="409A4689">
                <wp:extent cx="3400425" cy="891540"/>
                <wp:effectExtent l="0" t="0" r="0" b="0"/>
                <wp:docPr id="102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vAlign w:val="center"/>
        </w:tcPr>
        <w:p w14:paraId="1E39823D" w14:textId="77777777" w:rsidR="00B81070" w:rsidRDefault="00B810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1F46329B" w14:textId="77777777" w:rsidR="00B81070" w:rsidRDefault="00B810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631032FB" w14:textId="77777777" w:rsidR="00B81070" w:rsidRDefault="00B810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7F80BCBE" w14:textId="77777777" w:rsidR="00B81070" w:rsidRDefault="00C43C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Anais 2020</w:t>
          </w:r>
        </w:p>
        <w:p w14:paraId="08D5C501" w14:textId="77777777" w:rsidR="00B81070" w:rsidRDefault="00C43C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15BAFBBE" w14:textId="77777777" w:rsidR="00B81070" w:rsidRDefault="00B81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after="60" w:line="240" w:lineRule="auto"/>
      <w:ind w:left="0" w:hanging="2"/>
      <w:rPr>
        <w:rFonts w:ascii="Times New Roman" w:eastAsia="Times New Roman" w:hAnsi="Times New Roman" w:cs="Times New Roman"/>
        <w:color w:val="ED7D31"/>
        <w:sz w:val="20"/>
        <w:szCs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 nome">
    <w15:presenceInfo w15:providerId="None" w15:userId="sem n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wMDYwNrAwMDGyNDBQ0lEKTi0uzszPAykwrAUALZ5t6ywAAAA="/>
  </w:docVars>
  <w:rsids>
    <w:rsidRoot w:val="00B81070"/>
    <w:rsid w:val="00A739F7"/>
    <w:rsid w:val="00B81070"/>
    <w:rsid w:val="00C43C15"/>
    <w:rsid w:val="00EA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BEB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qFormat/>
    <w:pPr>
      <w:outlineLvl w:val="9"/>
    </w:pPr>
    <w:rPr>
      <w:lang w:eastAsia="pt-BR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qFormat/>
    <w:pPr>
      <w:outlineLvl w:val="9"/>
    </w:pPr>
    <w:rPr>
      <w:lang w:eastAsia="pt-BR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qlPNAng7xHHdHpN0/yB0nrqR3A==">AMUW2mUdH8O6SBt7Vq3+nsPrzuX27RgdPREkeB9CNj0WYGGbUtogZJUlKQapxBqkFS96JVgECLLlAMx2v6D8bmo+OxJZSZlwtASN0EzhGSjI9t7lPQsb5H0=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1999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VITOR DE OLIVEIRA LUNARDI</cp:lastModifiedBy>
  <cp:revision>3</cp:revision>
  <dcterms:created xsi:type="dcterms:W3CDTF">2020-11-03T13:19:00Z</dcterms:created>
  <dcterms:modified xsi:type="dcterms:W3CDTF">2020-11-06T00:43:00Z</dcterms:modified>
</cp:coreProperties>
</file>