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79" w:rsidRDefault="00802913" w:rsidP="00802913">
      <w:pPr>
        <w:pStyle w:val="Ttulo"/>
      </w:pPr>
      <w:bookmarkStart w:id="0" w:name="_Toc3626291"/>
      <w:bookmarkStart w:id="1" w:name="_GoBack"/>
      <w:bookmarkEnd w:id="1"/>
      <w:r w:rsidRPr="00802913">
        <w:t>O ENSINO SUPERIOR VOLTADO À ÁREA DE AVIAÇÃO: ANÁLISE DOS CURSOS DE CIÊNCIAS AERONÁUTICAS E ENGENHARIA AERONÁUTICA</w:t>
      </w:r>
    </w:p>
    <w:p w:rsidR="00686B79" w:rsidRPr="00696317" w:rsidRDefault="00686B79" w:rsidP="00686B79"/>
    <w:p w:rsidR="00686B79" w:rsidRPr="007C401F" w:rsidRDefault="00686B79" w:rsidP="00686B79">
      <w:pPr>
        <w:pStyle w:val="FPCNomedoAutor"/>
        <w:spacing w:before="0" w:after="0"/>
        <w:jc w:val="left"/>
        <w:rPr>
          <w:rFonts w:ascii="Times New Roman" w:hAnsi="Times New Roman"/>
          <w:spacing w:val="-2"/>
          <w:sz w:val="22"/>
          <w:lang w:val="pt-PT"/>
        </w:rPr>
      </w:pPr>
    </w:p>
    <w:p w:rsidR="00686B79" w:rsidRDefault="00802913" w:rsidP="00686B79">
      <w:pPr>
        <w:rPr>
          <w:rStyle w:val="Textoennegrita"/>
        </w:rPr>
      </w:pPr>
      <w:r>
        <w:rPr>
          <w:rStyle w:val="Textoennegrita"/>
        </w:rPr>
        <w:t>Resumo</w:t>
      </w:r>
    </w:p>
    <w:p w:rsidR="00686B79" w:rsidRPr="00802913" w:rsidRDefault="00802913" w:rsidP="00686B79">
      <w:pPr>
        <w:rPr>
          <w:rStyle w:val="Textoennegrita"/>
          <w:b w:val="0"/>
        </w:rPr>
      </w:pPr>
      <w:r w:rsidRPr="00802913">
        <w:rPr>
          <w:rStyle w:val="Textoennegrita"/>
          <w:b w:val="0"/>
        </w:rPr>
        <w:t xml:space="preserve">Voar e fazer voar são a motivação que os cursos superiores da área aeronáutica levam a seus alunos. Assim, este estudo </w:t>
      </w:r>
      <w:r>
        <w:rPr>
          <w:rStyle w:val="Textoennegrita"/>
          <w:b w:val="0"/>
        </w:rPr>
        <w:t>objetivou</w:t>
      </w:r>
      <w:r w:rsidRPr="00802913">
        <w:rPr>
          <w:rStyle w:val="Textoennegrita"/>
          <w:b w:val="0"/>
        </w:rPr>
        <w:t xml:space="preserve"> identificar a organização do Curso de Ciências Aeronáuticas (CCA) e do Curso de Engenharia Aeronáutica (CEA) no Brasil, realiz</w:t>
      </w:r>
      <w:r>
        <w:rPr>
          <w:rStyle w:val="Textoennegrita"/>
          <w:b w:val="0"/>
        </w:rPr>
        <w:t>ando</w:t>
      </w:r>
      <w:r w:rsidRPr="00802913">
        <w:rPr>
          <w:rStyle w:val="Textoennegrita"/>
          <w:b w:val="0"/>
        </w:rPr>
        <w:t xml:space="preserve"> uma pesquisa documental nos sites do </w:t>
      </w:r>
      <w:proofErr w:type="spellStart"/>
      <w:r w:rsidRPr="00802913">
        <w:rPr>
          <w:rStyle w:val="Textoennegrita"/>
          <w:b w:val="0"/>
        </w:rPr>
        <w:t>e-MEC</w:t>
      </w:r>
      <w:proofErr w:type="spellEnd"/>
      <w:r w:rsidRPr="00802913">
        <w:rPr>
          <w:rStyle w:val="Textoennegrita"/>
          <w:b w:val="0"/>
        </w:rPr>
        <w:t xml:space="preserve"> e das IES selecionadas. </w:t>
      </w:r>
      <w:r>
        <w:rPr>
          <w:rStyle w:val="Textoennegrita"/>
          <w:b w:val="0"/>
        </w:rPr>
        <w:t>Como</w:t>
      </w:r>
      <w:r w:rsidRPr="00802913">
        <w:rPr>
          <w:rStyle w:val="Textoennegrita"/>
          <w:b w:val="0"/>
        </w:rPr>
        <w:t xml:space="preserve"> resultados, </w:t>
      </w:r>
      <w:r>
        <w:rPr>
          <w:rStyle w:val="Textoennegrita"/>
          <w:b w:val="0"/>
        </w:rPr>
        <w:t>notou-se n</w:t>
      </w:r>
      <w:r w:rsidRPr="00802913">
        <w:rPr>
          <w:rStyle w:val="Textoennegrita"/>
          <w:b w:val="0"/>
        </w:rPr>
        <w:t>os 14 CCA selecionados, somente IES privadas, concentradas no centro-sul do Brasil, oferecendo 910 vagas para matrícula</w:t>
      </w:r>
      <w:r w:rsidR="00C73370">
        <w:rPr>
          <w:rStyle w:val="Textoennegrita"/>
          <w:b w:val="0"/>
        </w:rPr>
        <w:t>s</w:t>
      </w:r>
      <w:r w:rsidRPr="00802913">
        <w:rPr>
          <w:rStyle w:val="Textoennegrita"/>
          <w:b w:val="0"/>
        </w:rPr>
        <w:t xml:space="preserve"> em cursos com avaliação muito boa e não integrais. Acerca dos 12 CEA escolhidos, verificou-se uma distribuição somente em MG e SP e o oferecimento de 958 vagas em cursos com índices igualmente bons, sendo 1/3 IES pública</w:t>
      </w:r>
      <w:r w:rsidR="00C73370">
        <w:rPr>
          <w:rStyle w:val="Textoennegrita"/>
          <w:b w:val="0"/>
        </w:rPr>
        <w:t>s</w:t>
      </w:r>
      <w:r w:rsidRPr="00802913">
        <w:rPr>
          <w:rStyle w:val="Textoennegrita"/>
          <w:b w:val="0"/>
        </w:rPr>
        <w:t xml:space="preserve"> de período integral. Conclui-se que os resultados apresentaram o CCA e o CEA como opções de graduação bacharelada presencial aos simpatizantes da área aeronáutica.</w:t>
      </w:r>
    </w:p>
    <w:p w:rsidR="00686B79" w:rsidRPr="00277A49" w:rsidRDefault="00686B79" w:rsidP="00686B79">
      <w:pPr>
        <w:pStyle w:val="FPCTextonormal"/>
        <w:spacing w:before="0" w:after="0"/>
        <w:rPr>
          <w:rFonts w:ascii="Times New Roman" w:hAnsi="Times New Roman"/>
          <w:sz w:val="20"/>
          <w:szCs w:val="20"/>
        </w:rPr>
      </w:pPr>
    </w:p>
    <w:p w:rsidR="00686B79" w:rsidRPr="002C426D" w:rsidRDefault="00686B79" w:rsidP="00686B79">
      <w:pPr>
        <w:rPr>
          <w:lang w:val="en-US" w:eastAsia="ja-JP"/>
        </w:rPr>
      </w:pPr>
      <w:r w:rsidRPr="00277A49">
        <w:rPr>
          <w:b/>
          <w:lang w:val="pt-PT" w:eastAsia="ja-JP"/>
        </w:rPr>
        <w:t xml:space="preserve">Palavras-chave: </w:t>
      </w:r>
      <w:r w:rsidR="00C62CEE" w:rsidRPr="00C62CEE">
        <w:rPr>
          <w:lang w:val="pt-PT" w:eastAsia="ja-JP"/>
        </w:rPr>
        <w:t xml:space="preserve">Ciências Aeronáuticas. Engenharia Aeronáutica. </w:t>
      </w:r>
      <w:r w:rsidR="00C62CEE" w:rsidRPr="002C426D">
        <w:rPr>
          <w:lang w:val="en-US" w:eastAsia="ja-JP"/>
        </w:rPr>
        <w:t>Ensino Superior</w:t>
      </w:r>
      <w:r w:rsidRPr="002C426D">
        <w:rPr>
          <w:lang w:val="en-US" w:eastAsia="ja-JP"/>
        </w:rPr>
        <w:t>.</w:t>
      </w:r>
    </w:p>
    <w:p w:rsidR="00686B79" w:rsidRPr="002C426D" w:rsidRDefault="00686B79" w:rsidP="00686B79">
      <w:pPr>
        <w:pStyle w:val="FPCTextonormal"/>
        <w:spacing w:before="0" w:after="0"/>
        <w:rPr>
          <w:rFonts w:ascii="Times New Roman" w:hAnsi="Times New Roman"/>
          <w:sz w:val="20"/>
          <w:szCs w:val="20"/>
          <w:lang w:val="en-US" w:eastAsia="ja-JP"/>
        </w:rPr>
      </w:pPr>
    </w:p>
    <w:p w:rsidR="00686B79" w:rsidRPr="002C426D" w:rsidRDefault="00686B79" w:rsidP="00686B79">
      <w:pPr>
        <w:pStyle w:val="FPCTextonormal"/>
        <w:spacing w:before="0" w:after="0"/>
        <w:rPr>
          <w:rFonts w:ascii="Times New Roman" w:hAnsi="Times New Roman"/>
          <w:sz w:val="20"/>
          <w:szCs w:val="20"/>
          <w:lang w:val="en-US" w:eastAsia="ja-JP"/>
        </w:rPr>
      </w:pPr>
    </w:p>
    <w:p w:rsidR="00686B79" w:rsidRPr="002C426D" w:rsidRDefault="00686B79" w:rsidP="00686B79">
      <w:pPr>
        <w:rPr>
          <w:b/>
          <w:lang w:val="en-US"/>
        </w:rPr>
      </w:pPr>
      <w:bookmarkStart w:id="2" w:name="_Toc519335634"/>
      <w:bookmarkEnd w:id="0"/>
      <w:r w:rsidRPr="002C426D">
        <w:rPr>
          <w:b/>
          <w:lang w:val="en-US"/>
        </w:rPr>
        <w:t>ABSTRACT</w:t>
      </w:r>
    </w:p>
    <w:p w:rsidR="00686B79" w:rsidRPr="002C426D" w:rsidRDefault="002C426D" w:rsidP="00686B79">
      <w:pPr>
        <w:rPr>
          <w:b/>
          <w:bCs/>
          <w:lang w:val="en-US"/>
        </w:rPr>
      </w:pPr>
      <w:r w:rsidRPr="002C426D">
        <w:rPr>
          <w:rStyle w:val="Textoennegrita"/>
          <w:b w:val="0"/>
          <w:lang w:val="en-US"/>
        </w:rPr>
        <w:t xml:space="preserve">Flying and making flying are the motivation that higher education courses bring to their students. Thus, </w:t>
      </w:r>
      <w:r w:rsidR="007624B3">
        <w:rPr>
          <w:rStyle w:val="Textoennegrita"/>
          <w:b w:val="0"/>
          <w:lang w:val="en-US"/>
        </w:rPr>
        <w:t xml:space="preserve">this </w:t>
      </w:r>
      <w:r w:rsidRPr="002C426D">
        <w:rPr>
          <w:rStyle w:val="Textoennegrita"/>
          <w:b w:val="0"/>
          <w:lang w:val="en-US"/>
        </w:rPr>
        <w:t xml:space="preserve">study </w:t>
      </w:r>
      <w:r>
        <w:rPr>
          <w:rStyle w:val="Textoennegrita"/>
          <w:b w:val="0"/>
          <w:lang w:val="en-US"/>
        </w:rPr>
        <w:t xml:space="preserve">aimed </w:t>
      </w:r>
      <w:r w:rsidRPr="002C426D">
        <w:rPr>
          <w:rStyle w:val="Textoennegrita"/>
          <w:b w:val="0"/>
          <w:lang w:val="en-US"/>
        </w:rPr>
        <w:t xml:space="preserve">to identify the organization of the Aeronautical Sciences Course (CCA) and the Aeronautical Engineering Course (CEA) in Brazil, </w:t>
      </w:r>
      <w:r>
        <w:rPr>
          <w:rStyle w:val="Textoennegrita"/>
          <w:b w:val="0"/>
          <w:lang w:val="en-US"/>
        </w:rPr>
        <w:t xml:space="preserve">conducting </w:t>
      </w:r>
      <w:r w:rsidRPr="002C426D">
        <w:rPr>
          <w:rStyle w:val="Textoennegrita"/>
          <w:b w:val="0"/>
          <w:lang w:val="en-US"/>
        </w:rPr>
        <w:t>a documentary research was carried out on the websites of the e-MEC and the selected HEIs</w:t>
      </w:r>
      <w:r>
        <w:rPr>
          <w:rStyle w:val="Textoennegrita"/>
          <w:b w:val="0"/>
          <w:lang w:val="en-US"/>
        </w:rPr>
        <w:t xml:space="preserve">. </w:t>
      </w:r>
      <w:r w:rsidRPr="002C426D">
        <w:rPr>
          <w:rStyle w:val="Textoennegrita"/>
          <w:b w:val="0"/>
          <w:lang w:val="en-US"/>
        </w:rPr>
        <w:t>As a result, it was noted in the 14 CCA selected, only private HEIs, concentrated in the center-south of Brazil, offering 910 places for enrollment in courses with very good evaluation and not full.</w:t>
      </w:r>
      <w:r>
        <w:rPr>
          <w:rStyle w:val="Textoennegrita"/>
          <w:b w:val="0"/>
          <w:lang w:val="en-US"/>
        </w:rPr>
        <w:t xml:space="preserve"> </w:t>
      </w:r>
      <w:r>
        <w:rPr>
          <w:rStyle w:val="tlid-translation"/>
          <w:lang w:val="en"/>
        </w:rPr>
        <w:t xml:space="preserve">About the 12 CEA chosen, there was a distribution only in MG and SP and the offer of 958 places in courses with equally good levels, </w:t>
      </w:r>
      <w:r>
        <w:rPr>
          <w:rStyle w:val="alt-edited"/>
          <w:lang w:val="en"/>
        </w:rPr>
        <w:t xml:space="preserve">with 1/3 full time public HEI. </w:t>
      </w:r>
      <w:r w:rsidR="001F059A">
        <w:rPr>
          <w:rStyle w:val="tlid-translation"/>
          <w:lang w:val="en"/>
        </w:rPr>
        <w:t>It is concluded that the results presented CCA and CEA as on-campus bachelor's degree options to aeronautical sympathizers.</w:t>
      </w:r>
    </w:p>
    <w:p w:rsidR="00686B79" w:rsidRPr="002C426D" w:rsidRDefault="00686B79" w:rsidP="00686B79">
      <w:pPr>
        <w:rPr>
          <w:lang w:val="en-US"/>
        </w:rPr>
      </w:pPr>
    </w:p>
    <w:p w:rsidR="00686B79" w:rsidRPr="007669DE" w:rsidRDefault="00686B79" w:rsidP="00686B79">
      <w:pPr>
        <w:jc w:val="left"/>
        <w:rPr>
          <w:b/>
          <w:sz w:val="24"/>
          <w:szCs w:val="24"/>
        </w:rPr>
      </w:pPr>
      <w:r w:rsidRPr="00F824E1">
        <w:rPr>
          <w:b/>
          <w:lang w:val="en-US"/>
        </w:rPr>
        <w:t>Keywords</w:t>
      </w:r>
      <w:r w:rsidRPr="00F824E1">
        <w:rPr>
          <w:lang w:val="en-US"/>
        </w:rPr>
        <w:t xml:space="preserve">: </w:t>
      </w:r>
      <w:r w:rsidR="00F824E1" w:rsidRPr="00F824E1">
        <w:rPr>
          <w:lang w:val="en-US" w:eastAsia="ja-JP"/>
        </w:rPr>
        <w:t xml:space="preserve">Aeronautical Sciences. </w:t>
      </w:r>
      <w:proofErr w:type="gramStart"/>
      <w:r w:rsidR="00F824E1" w:rsidRPr="00F824E1">
        <w:rPr>
          <w:lang w:val="en-US" w:eastAsia="ja-JP"/>
        </w:rPr>
        <w:t>Aeronautical Engineering.</w:t>
      </w:r>
      <w:proofErr w:type="gramEnd"/>
      <w:r w:rsidR="00F824E1" w:rsidRPr="00F824E1">
        <w:rPr>
          <w:lang w:val="en-US" w:eastAsia="ja-JP"/>
        </w:rPr>
        <w:t xml:space="preserve"> </w:t>
      </w:r>
      <w:r w:rsidR="00F824E1" w:rsidRPr="00F824E1">
        <w:rPr>
          <w:lang w:val="pt-PT" w:eastAsia="ja-JP"/>
        </w:rPr>
        <w:t>Higher Education</w:t>
      </w:r>
      <w:r w:rsidRPr="00277A49">
        <w:rPr>
          <w:lang w:val="pt-PT" w:eastAsia="ja-JP"/>
        </w:rPr>
        <w:t>.</w:t>
      </w:r>
    </w:p>
    <w:p w:rsidR="00686B79" w:rsidRPr="007669DE" w:rsidRDefault="00686B79" w:rsidP="00686B79">
      <w:pPr>
        <w:rPr>
          <w:b/>
          <w:sz w:val="24"/>
          <w:szCs w:val="24"/>
        </w:rPr>
      </w:pPr>
    </w:p>
    <w:p w:rsidR="00686B79" w:rsidRPr="007669DE" w:rsidRDefault="00686B79" w:rsidP="00686B79">
      <w:pPr>
        <w:rPr>
          <w:b/>
          <w:sz w:val="24"/>
          <w:szCs w:val="24"/>
        </w:rPr>
      </w:pPr>
    </w:p>
    <w:p w:rsidR="00686B79" w:rsidRPr="00F345FD" w:rsidRDefault="00686B79" w:rsidP="00686B79">
      <w:pPr>
        <w:numPr>
          <w:ilvl w:val="0"/>
          <w:numId w:val="1"/>
        </w:numPr>
        <w:rPr>
          <w:b/>
          <w:sz w:val="24"/>
          <w:szCs w:val="24"/>
        </w:rPr>
      </w:pPr>
      <w:r w:rsidRPr="007669DE">
        <w:rPr>
          <w:rStyle w:val="SeoChar"/>
        </w:rPr>
        <w:t>INTRODUÇÃO</w:t>
      </w:r>
    </w:p>
    <w:p w:rsidR="00686B79" w:rsidRPr="00F345FD" w:rsidRDefault="00686B79" w:rsidP="00686B79">
      <w:pPr>
        <w:rPr>
          <w:b/>
          <w:sz w:val="24"/>
          <w:szCs w:val="24"/>
        </w:rPr>
      </w:pPr>
    </w:p>
    <w:p w:rsidR="00F824E1" w:rsidRDefault="00F824E1" w:rsidP="00F824E1">
      <w:pPr>
        <w:pStyle w:val="Sinespaciado"/>
      </w:pPr>
      <w:r>
        <w:t>O ensino superior voltado à arte de voar tem, cada vez mais, levado pessoas a dedicarem-se aos estudos aeronáuticos tanto nas Ciências quanto na Engenharia, pois, conforme afirma Rezende (2006), há muito tempo “voar e controlar o voo foram grandes desafios que mobilizaram cientistas, engenheiros, inventores, visionários e aficionados por mais de dois séculos”. Ribeiro (2008) confirma esse ímpeto das pessoas direcionado ao v</w:t>
      </w:r>
      <w:r w:rsidR="0043176F">
        <w:t>oo, alertando, contudo, que essa</w:t>
      </w:r>
      <w:r>
        <w:t xml:space="preserve"> </w:t>
      </w:r>
      <w:r w:rsidR="0043176F">
        <w:t>prática deve ser executada</w:t>
      </w:r>
      <w:r>
        <w:t xml:space="preserve"> com proficiência gerencial, pois somente assim será evidenciado o tão almejado, necessário e útil conhecimento.</w:t>
      </w:r>
    </w:p>
    <w:p w:rsidR="00F824E1" w:rsidRDefault="00F824E1" w:rsidP="00F824E1">
      <w:pPr>
        <w:pStyle w:val="Sinespaciado"/>
      </w:pPr>
      <w:r>
        <w:t xml:space="preserve">Ribeiro (2008, p. 25) alerta para a inovação surgida constantemente no setor dizendo que “os profissionais do setor aeronáutico, incontestavelmente, sofrem os efeitos da introdução de novas tecnologias e da adoção de nova forma de </w:t>
      </w:r>
      <w:r>
        <w:lastRenderedPageBreak/>
        <w:t>organização do trabalho”. E este é o grande desafio que as Instituições de Ensino Superior (IES) devem enfrentar, realizando um entrelaçamento entre um moderno ensino aeronáutico, novos métodos e tecnologias e novas práticas, sendo que “nos processos tecnológicos de alto nível, como a aeronáutica pode ser considerada, as ferramentas da pesquisa científica são fundamentais para o desenvolvimento da atividade-fim” (VIEIRA, 2010, p. 18).</w:t>
      </w:r>
    </w:p>
    <w:p w:rsidR="00F824E1" w:rsidRDefault="00F824E1" w:rsidP="00F824E1">
      <w:pPr>
        <w:pStyle w:val="Sinespaciado"/>
      </w:pPr>
      <w:r>
        <w:t xml:space="preserve">Na mesma direção, </w:t>
      </w:r>
      <w:proofErr w:type="spellStart"/>
      <w:r>
        <w:t>Basilio</w:t>
      </w:r>
      <w:proofErr w:type="spellEnd"/>
      <w:r>
        <w:t xml:space="preserve"> (2012, p. 14) afirma que devido às novas tecnologias embarcadas nas aeronaves o piloto “deve possuir formação acadêmica e profissional em consonância com a responsabilidade e complexidade de conduzir uma aeronave de milhões de dólares, com uma dezena de tripulantes e centenas de passageiros a bordo”. Não obstante, </w:t>
      </w:r>
      <w:proofErr w:type="gramStart"/>
      <w:r>
        <w:t>essa mesma preocupação universitária e técnica deve guiar</w:t>
      </w:r>
      <w:proofErr w:type="gramEnd"/>
      <w:r>
        <w:t xml:space="preserve"> os profissionais que projetam e dimensionam esses equipamentos que voam.</w:t>
      </w:r>
    </w:p>
    <w:p w:rsidR="00F824E1" w:rsidRDefault="00F824E1" w:rsidP="00F824E1">
      <w:pPr>
        <w:pStyle w:val="Sinespaciado"/>
      </w:pPr>
      <w:proofErr w:type="spellStart"/>
      <w:r>
        <w:t>Kukulska-Hulme</w:t>
      </w:r>
      <w:proofErr w:type="spellEnd"/>
      <w:r>
        <w:t xml:space="preserve"> (2012) traz, ainda, sobre a temática dos avanços tecnológicos, que as tecnologias e os serviços baseados em tecnologia mudarão as experiências e as expectativas dos alunos ao acessar e compartilhar conhecimento, sendo a questão da evolução tecnológica no ensino superior um ponto essencial a ser observada, em especial nos cursos voltados à área aeronáutica.</w:t>
      </w:r>
    </w:p>
    <w:p w:rsidR="00F824E1" w:rsidRDefault="00F824E1" w:rsidP="00F824E1">
      <w:pPr>
        <w:pStyle w:val="Sinespaciado"/>
      </w:pPr>
      <w:r>
        <w:t>Desses apontamentos iniciais, depreende-se a relevância do estudo dos Cursos Superiores de Ciências Aeronáuticas e de Engenharia Aeronáutica que formam os responsáveis pelo mercado de aviação civil no Brasil, tendo em vista que “o aprendizado contínuo, através da informação técnica, prepara seus acadêmicos com uma ampla formação em áreas do conhecimento tão diversificadas, buscando solidificar a execução das atividades que envolvem os afazeres do aviador” (RIBEIRO, 2008, p. 250).</w:t>
      </w:r>
    </w:p>
    <w:p w:rsidR="00F824E1" w:rsidRDefault="00F824E1" w:rsidP="00F824E1">
      <w:pPr>
        <w:pStyle w:val="Sinespaciado"/>
      </w:pPr>
      <w:r>
        <w:t>Diante da importância do tema, o presente artigo tem o objetivo de identificar como estão organizados o Curso de Ciências Aeronáuticas (CCA) e o Curso de Engenharia Aeronáutica (CEA) no Brasil</w:t>
      </w:r>
      <w:r w:rsidR="00AD2110">
        <w:t>, verificando</w:t>
      </w:r>
      <w:r>
        <w:t xml:space="preserve"> a legislação reguladora, as características gerais e a relação de IES </w:t>
      </w:r>
      <w:r w:rsidR="00AD2110">
        <w:t>com cursos presenciais; levantando</w:t>
      </w:r>
      <w:r>
        <w:t xml:space="preserve"> a distribuição espacial dos cursos n</w:t>
      </w:r>
      <w:r w:rsidR="00AD2110">
        <w:t>o território nacional; averiguando</w:t>
      </w:r>
      <w:r>
        <w:t xml:space="preserve"> os dados gerais (vagas, períodos, duração e ca</w:t>
      </w:r>
      <w:r w:rsidR="00AD2110">
        <w:t>rga horária) por curso; e apurando</w:t>
      </w:r>
      <w:r>
        <w:t xml:space="preserve"> os índices de avaliação de cada curso.</w:t>
      </w:r>
    </w:p>
    <w:p w:rsidR="00F824E1" w:rsidRDefault="00F824E1" w:rsidP="00F824E1">
      <w:pPr>
        <w:pStyle w:val="Sinespaciado"/>
      </w:pPr>
    </w:p>
    <w:p w:rsidR="00F824E1" w:rsidRPr="00F345FD" w:rsidRDefault="00F824E1" w:rsidP="00F824E1">
      <w:pPr>
        <w:numPr>
          <w:ilvl w:val="0"/>
          <w:numId w:val="1"/>
        </w:numPr>
        <w:rPr>
          <w:b/>
          <w:sz w:val="24"/>
          <w:szCs w:val="24"/>
        </w:rPr>
      </w:pPr>
      <w:r>
        <w:rPr>
          <w:rStyle w:val="SeoChar"/>
        </w:rPr>
        <w:t>METODOLOGIA</w:t>
      </w:r>
    </w:p>
    <w:p w:rsidR="00F824E1" w:rsidRDefault="00F824E1" w:rsidP="00F824E1">
      <w:pPr>
        <w:pStyle w:val="Sinespaciado"/>
      </w:pPr>
    </w:p>
    <w:p w:rsidR="00F824E1" w:rsidRDefault="00F824E1" w:rsidP="00F824E1">
      <w:pPr>
        <w:pStyle w:val="Sinespaciado"/>
      </w:pPr>
      <w:r>
        <w:t>Para atingir o objetivo deste trabalho utilizou-se de uma pesquisa, no que se refere aos procedimentos técnicos, do tipo documental, pois foram consultados os dados dos dois cursos superiores (CCA e CEA) no site do Ministério</w:t>
      </w:r>
      <w:r w:rsidR="006A7008">
        <w:t xml:space="preserve"> da Educação, no sistema </w:t>
      </w:r>
      <w:proofErr w:type="spellStart"/>
      <w:r w:rsidR="006A7008">
        <w:t>e-MEC</w:t>
      </w:r>
      <w:proofErr w:type="spellEnd"/>
      <w:r>
        <w:t xml:space="preserve">, e nos sites das IES dos cursos que foram selecionados para a análise – cursos presenciais, em atividade e cadastrados no </w:t>
      </w:r>
      <w:proofErr w:type="spellStart"/>
      <w:r>
        <w:t>e-MEC</w:t>
      </w:r>
      <w:proofErr w:type="spellEnd"/>
      <w:r>
        <w:t xml:space="preserve"> (SILVA; MENEZES, 2005).</w:t>
      </w:r>
    </w:p>
    <w:p w:rsidR="00F824E1" w:rsidRDefault="00F824E1" w:rsidP="00F824E1">
      <w:pPr>
        <w:pStyle w:val="Sinespaciado"/>
      </w:pPr>
      <w:r>
        <w:t xml:space="preserve">A pesquisa foi ainda exploratória e descritiva, sendo exploratória porque é útil quando o pesquisador não conhece as variáveis importantes a examinar (CRESWELL, 2007) e descritiva, pois visa detalhar os dados levantados, por meio </w:t>
      </w:r>
      <w:r>
        <w:lastRenderedPageBreak/>
        <w:t xml:space="preserve">de análise e interpretação das informações que </w:t>
      </w:r>
      <w:r w:rsidR="006A7008">
        <w:t>foram</w:t>
      </w:r>
      <w:r>
        <w:t xml:space="preserve"> coletadas (SILVA; MENEZES, 2005). Além disso, o trabalho, quanto à abordagem do problema, foi qualitativo, tendo se debruçado na análise dos dados coletados e na seleção das informações a apresentar em relação aos diversos sites das IES pesquisadas (CRESWELL, 2007).</w:t>
      </w:r>
    </w:p>
    <w:p w:rsidR="00F824E1" w:rsidRDefault="00F824E1" w:rsidP="00F824E1">
      <w:pPr>
        <w:pStyle w:val="Sinespaciado"/>
      </w:pPr>
      <w:r>
        <w:t xml:space="preserve">No que tange aos resultados, espera-se </w:t>
      </w:r>
      <w:r w:rsidR="006A7008">
        <w:t>uma</w:t>
      </w:r>
      <w:r>
        <w:t xml:space="preserve"> pesquisa do tipo aplicada, </w:t>
      </w:r>
      <w:r w:rsidR="006A7008">
        <w:t xml:space="preserve">com a </w:t>
      </w:r>
      <w:r>
        <w:t>utiliza</w:t>
      </w:r>
      <w:r w:rsidR="006A7008">
        <w:t>ção</w:t>
      </w:r>
      <w:r>
        <w:t xml:space="preserve"> </w:t>
      </w:r>
      <w:r w:rsidR="006A7008">
        <w:t>d</w:t>
      </w:r>
      <w:r>
        <w:t xml:space="preserve">os conhecimentos </w:t>
      </w:r>
      <w:r w:rsidR="006A7008">
        <w:t xml:space="preserve">nela </w:t>
      </w:r>
      <w:r>
        <w:t xml:space="preserve">gerados e </w:t>
      </w:r>
      <w:r w:rsidR="006A7008">
        <w:t xml:space="preserve">um </w:t>
      </w:r>
      <w:r>
        <w:t>direciona</w:t>
      </w:r>
      <w:r w:rsidR="006A7008">
        <w:t>mento futuro</w:t>
      </w:r>
      <w:r>
        <w:t xml:space="preserve"> </w:t>
      </w:r>
      <w:r w:rsidR="006A7008">
        <w:t xml:space="preserve">a </w:t>
      </w:r>
      <w:r>
        <w:t xml:space="preserve">estudos </w:t>
      </w:r>
      <w:r w:rsidR="006A7008">
        <w:t>d</w:t>
      </w:r>
      <w:r>
        <w:t>os dados relevantes apresentados (MARCONI; LAKATOS, 2003). Contudo, cabe ressaltar que esta pesquisa não buscará comparar a qualidade das IES dentro de cada curso</w:t>
      </w:r>
      <w:r w:rsidR="00EB4D84">
        <w:t>,</w:t>
      </w:r>
      <w:r>
        <w:t xml:space="preserve"> nem mesmo comparar os dois cursos entre si, mas delimitar-se a trazer dados que mostrem como esses cursos estão organizados no território brasileiro. Outra delimitação do estudo </w:t>
      </w:r>
      <w:r w:rsidR="00EB4D84">
        <w:t xml:space="preserve">diz respeito à </w:t>
      </w:r>
      <w:r>
        <w:t xml:space="preserve">pesquisa </w:t>
      </w:r>
      <w:r w:rsidR="00EB4D84">
        <w:t xml:space="preserve">de </w:t>
      </w:r>
      <w:r>
        <w:t>somente cursos presenciais, não entrando no mérito os cursos CCA e CEA à distância.</w:t>
      </w:r>
    </w:p>
    <w:p w:rsidR="00F824E1" w:rsidRDefault="00F824E1" w:rsidP="00F824E1">
      <w:pPr>
        <w:pStyle w:val="Sinespaciado"/>
      </w:pPr>
    </w:p>
    <w:p w:rsidR="0020648D" w:rsidRPr="00F345FD" w:rsidRDefault="0020648D" w:rsidP="0020648D">
      <w:pPr>
        <w:numPr>
          <w:ilvl w:val="0"/>
          <w:numId w:val="1"/>
        </w:numPr>
        <w:rPr>
          <w:b/>
          <w:sz w:val="24"/>
          <w:szCs w:val="24"/>
        </w:rPr>
      </w:pPr>
      <w:r>
        <w:rPr>
          <w:rStyle w:val="SeoChar"/>
        </w:rPr>
        <w:t>RESULTADOS E DISCUSSÕES</w:t>
      </w:r>
    </w:p>
    <w:p w:rsidR="0020648D" w:rsidRDefault="0020648D" w:rsidP="00F824E1">
      <w:pPr>
        <w:pStyle w:val="Sinespaciado"/>
      </w:pPr>
    </w:p>
    <w:p w:rsidR="00195511" w:rsidRDefault="007624B3" w:rsidP="00195511">
      <w:pPr>
        <w:pStyle w:val="Sinespaciado"/>
      </w:pPr>
      <w:r>
        <w:t>N</w:t>
      </w:r>
      <w:r w:rsidR="00195511">
        <w:t>o Brasil tem-se o Ensino Superior Aeronáutico com dois cursos de graduação, bacharelados: o Curso de Ciências Aeronáuticas (CCA) e o Curso de Engenharia Aeronáutica (CEA).</w:t>
      </w:r>
      <w:r>
        <w:t xml:space="preserve"> </w:t>
      </w:r>
      <w:r w:rsidR="00195511">
        <w:t>Em relação às ciências aeronáuticas, Ribeiro (2008, p. 172) afirma que “o ensino aeronáutico trata da descoberta de novas tecnologias e conhecimentos, procurando disseminar estes conteúdos através da relação interativa entre o instrutor de voo e o aluno”. Além deste foco do voo em si, o ensino aeronáutico, por meio da engenharia aeronáutica, também se debruça “no projeto e na manutenção de aeronaves, no gerenciamento de atividades aeroespaciais e na construção de aeronaves” (MEC, 2010).</w:t>
      </w:r>
    </w:p>
    <w:p w:rsidR="0020648D" w:rsidRDefault="00195511" w:rsidP="00195511">
      <w:pPr>
        <w:pStyle w:val="Sinespaciado"/>
      </w:pPr>
      <w:r>
        <w:t>Desta maneira, passa-se, a seguir, à abordagem principal deste estudo.</w:t>
      </w:r>
    </w:p>
    <w:p w:rsidR="00464505" w:rsidRDefault="00464505" w:rsidP="00464505">
      <w:pPr>
        <w:pStyle w:val="FPCTextonormal"/>
        <w:spacing w:before="0" w:after="0"/>
        <w:rPr>
          <w:rFonts w:ascii="Times New Roman" w:hAnsi="Times New Roman"/>
        </w:rPr>
      </w:pPr>
    </w:p>
    <w:p w:rsidR="00464505" w:rsidRDefault="00464505" w:rsidP="00464505">
      <w:pPr>
        <w:numPr>
          <w:ilvl w:val="1"/>
          <w:numId w:val="1"/>
        </w:numPr>
        <w:jc w:val="left"/>
        <w:rPr>
          <w:b/>
          <w:sz w:val="24"/>
          <w:szCs w:val="24"/>
        </w:rPr>
      </w:pPr>
      <w:r w:rsidRPr="00464505">
        <w:rPr>
          <w:b/>
          <w:sz w:val="24"/>
          <w:szCs w:val="24"/>
        </w:rPr>
        <w:t>O Curso de Ciências Aeronáuticas (CCA) no Brasil</w:t>
      </w:r>
    </w:p>
    <w:p w:rsidR="00464505" w:rsidRPr="00074EB6" w:rsidRDefault="00464505" w:rsidP="00464505">
      <w:pPr>
        <w:pStyle w:val="FPCTextonormal"/>
        <w:spacing w:before="0" w:after="0"/>
        <w:rPr>
          <w:rFonts w:ascii="Times New Roman" w:hAnsi="Times New Roman"/>
        </w:rPr>
      </w:pPr>
    </w:p>
    <w:p w:rsidR="00464505" w:rsidRDefault="00464505" w:rsidP="00464505">
      <w:pPr>
        <w:pStyle w:val="Sinespaciado"/>
      </w:pPr>
      <w:r>
        <w:t xml:space="preserve">Instituídos desde a década de 1990 no Brasil, os cursos universitários de Ciências Aeronáuticas deram um novo ar ao profissional de aviação no país, fruto das novas tecnologias </w:t>
      </w:r>
      <w:proofErr w:type="gramStart"/>
      <w:r>
        <w:t>implementadas</w:t>
      </w:r>
      <w:proofErr w:type="gramEnd"/>
      <w:r>
        <w:t xml:space="preserve"> nas modernas aeronaves. Desta maneira, levou-se o ensino de pilotagem dos aeroclubes e das escolas técnicas para as universidades (RIBEIRO, 2008).</w:t>
      </w:r>
    </w:p>
    <w:p w:rsidR="00464505" w:rsidRDefault="00464505" w:rsidP="00464505">
      <w:pPr>
        <w:pStyle w:val="Sinespaciado"/>
      </w:pPr>
      <w:r>
        <w:t>O CCA é regulado pela Resolução CNE/CES nº 3, de 12 de julho de 2018, do Ministério da Educação (MEC, 2018), a qual institui as Diretrizes Curriculares Nacionais do referido curso e que devem ser observadas pelas IES de todo o país. Tendo em vista ser relativamente recente, observa-se que a maioria dos CCA ainda não se adequou a ela em seus sites e outros dados. O CCA deve possuir um Projeto Pedagógico (PP) que contemple o perfil do formado, as competências e habilidades, os componentes curriculares, o estágio curricular supervisionado, as atividades complementares, o sistema de avaliação, dentre outros aspectos. Esta Resolução institui, também, duas Linhas de Formação Específicas, com uma carga horária mínima de 2.500 horas para cada habilitação abaixo:</w:t>
      </w:r>
    </w:p>
    <w:p w:rsidR="00464505" w:rsidRDefault="00464505" w:rsidP="007624B3">
      <w:pPr>
        <w:pStyle w:val="Sinespaciado"/>
        <w:ind w:firstLine="0"/>
      </w:pPr>
      <w:r>
        <w:lastRenderedPageBreak/>
        <w:t xml:space="preserve">1ª - Habilitação Piloto de Linha Aérea, com foco em três eixos de formação: aeronáutica; gerencial e humana; e prática de voo; </w:t>
      </w:r>
      <w:proofErr w:type="gramStart"/>
      <w:r>
        <w:t>e</w:t>
      </w:r>
      <w:proofErr w:type="gramEnd"/>
    </w:p>
    <w:p w:rsidR="00464505" w:rsidRDefault="00464505" w:rsidP="007624B3">
      <w:pPr>
        <w:pStyle w:val="Sinespaciado"/>
        <w:ind w:firstLine="0"/>
      </w:pPr>
      <w:r>
        <w:t xml:space="preserve">2ª - Habilitação em Gestão de Aviação Civil, com formação focada em </w:t>
      </w:r>
      <w:r w:rsidR="00E535CB">
        <w:t>quatro</w:t>
      </w:r>
      <w:r>
        <w:t xml:space="preserve"> áreas: básica; profissional; estudos quantitativos e suas tecnologias; e complementar (MEC, 2018).</w:t>
      </w:r>
    </w:p>
    <w:p w:rsidR="0071066D" w:rsidRDefault="00464505" w:rsidP="00464505">
      <w:pPr>
        <w:pStyle w:val="Sinespaciado"/>
      </w:pPr>
      <w:r>
        <w:t xml:space="preserve">No tocante à quantidade de CCA no Brasil, dados do MEC (2019), disponíveis no Cadastro Nacional de Cursos e Instituições de Educação Superior - Cadastro </w:t>
      </w:r>
      <w:proofErr w:type="spellStart"/>
      <w:r>
        <w:t>e-MEC</w:t>
      </w:r>
      <w:proofErr w:type="spellEnd"/>
      <w:proofErr w:type="gramStart"/>
      <w:r>
        <w:t>, trouxeram</w:t>
      </w:r>
      <w:proofErr w:type="gramEnd"/>
      <w:r>
        <w:t xml:space="preserve"> a informação de um total de 28 registros. Contudo, analisando-se melhor, percebeu-se que havia registros de cursos à distância (8), de tecnólogo (1), outros que estavam em processo de extinção (2) ou extintos (2) e ainda um que nem havia iniciado (1), somando-se ao todo 14 CCA que não foram alvo da pesquisa. Sendo assim, após uma filtragem nestes registros iniciais, retirando-se esses 14 registros, restaram outros 14 cursos bacharelados, presenciais e em atividade, distribuídos no Brasil conforme a Figura 1.</w:t>
      </w:r>
    </w:p>
    <w:p w:rsidR="00464505" w:rsidRPr="00464505" w:rsidRDefault="00464505" w:rsidP="00464505">
      <w:pPr>
        <w:pStyle w:val="Sinespaciado"/>
        <w:ind w:firstLine="0"/>
        <w:jc w:val="center"/>
        <w:rPr>
          <w:sz w:val="20"/>
        </w:rPr>
      </w:pPr>
    </w:p>
    <w:p w:rsidR="00464505" w:rsidRPr="00E218E7" w:rsidRDefault="00464505" w:rsidP="00464505">
      <w:pPr>
        <w:pStyle w:val="Sinespaciado"/>
        <w:ind w:firstLine="0"/>
        <w:jc w:val="center"/>
        <w:rPr>
          <w:sz w:val="20"/>
        </w:rPr>
      </w:pPr>
      <w:r w:rsidRPr="00E218E7">
        <w:rPr>
          <w:b/>
          <w:sz w:val="20"/>
        </w:rPr>
        <w:t xml:space="preserve">Figura 1 – </w:t>
      </w:r>
      <w:r w:rsidRPr="00586709">
        <w:rPr>
          <w:rFonts w:cs="Arial"/>
          <w:sz w:val="20"/>
        </w:rPr>
        <w:t>Distribuição Espacial das IES com CCA no Brasil</w:t>
      </w:r>
    </w:p>
    <w:p w:rsidR="00464505" w:rsidRDefault="00464505" w:rsidP="00464505">
      <w:pPr>
        <w:pStyle w:val="Sinespaciado"/>
        <w:ind w:firstLine="0"/>
        <w:jc w:val="center"/>
      </w:pPr>
      <w:r w:rsidRPr="004D7A38">
        <w:rPr>
          <w:rFonts w:ascii="Times New Roman" w:hAnsi="Times New Roman"/>
        </w:rPr>
        <w:object w:dxaOrig="6570" w:dyaOrig="6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8pt;height:217.9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PBrush" ShapeID="_x0000_i1025" DrawAspect="Content" ObjectID="_1666077381" r:id="rId9"/>
        </w:object>
      </w:r>
    </w:p>
    <w:p w:rsidR="00464505" w:rsidRDefault="00464505" w:rsidP="00464505">
      <w:pPr>
        <w:pStyle w:val="Sinespaciado"/>
        <w:ind w:firstLine="0"/>
        <w:jc w:val="center"/>
      </w:pPr>
      <w:r w:rsidRPr="00E218E7">
        <w:rPr>
          <w:b/>
          <w:sz w:val="20"/>
        </w:rPr>
        <w:t xml:space="preserve">Fonte: </w:t>
      </w:r>
      <w:r>
        <w:rPr>
          <w:sz w:val="20"/>
        </w:rPr>
        <w:t>O autor (20</w:t>
      </w:r>
      <w:r w:rsidR="007624B3">
        <w:rPr>
          <w:sz w:val="20"/>
        </w:rPr>
        <w:t>19</w:t>
      </w:r>
      <w:r w:rsidRPr="00E218E7">
        <w:rPr>
          <w:sz w:val="20"/>
        </w:rPr>
        <w:t>)</w:t>
      </w:r>
    </w:p>
    <w:p w:rsidR="00464505" w:rsidRPr="006F2D8D" w:rsidRDefault="00464505" w:rsidP="00F824E1">
      <w:pPr>
        <w:pStyle w:val="Sinespaciado"/>
        <w:rPr>
          <w:sz w:val="20"/>
        </w:rPr>
      </w:pPr>
    </w:p>
    <w:p w:rsidR="006F2D8D" w:rsidRDefault="006F2D8D" w:rsidP="006F2D8D">
      <w:pPr>
        <w:pStyle w:val="Sinespaciado"/>
      </w:pPr>
      <w:r>
        <w:t xml:space="preserve">Da Figura 1, verifica-se uma concentração das IES com CCA no centro-sul do Brasil; nenhuma IES na região Norte e apenas </w:t>
      </w:r>
      <w:r w:rsidR="00E535CB">
        <w:t>três</w:t>
      </w:r>
      <w:r>
        <w:t xml:space="preserve"> IES na região Nordeste inteira e concentrados na faixa litorânea, o que dificulta a opção por essa especialização nas referidas regiões; que o estado do Rio Grande do Sul é o que mais possui os CCA (3), seguido dos estados de São Paulo e Minas Gerais com </w:t>
      </w:r>
      <w:r w:rsidR="00E535CB">
        <w:t>dois</w:t>
      </w:r>
      <w:r>
        <w:t xml:space="preserve"> cursos cada.</w:t>
      </w:r>
    </w:p>
    <w:p w:rsidR="006F2D8D" w:rsidRDefault="006F2D8D" w:rsidP="006F2D8D">
      <w:pPr>
        <w:pStyle w:val="Sinespaciado"/>
      </w:pPr>
      <w:r>
        <w:t xml:space="preserve">Torna-se importante destacar o surgimento do primeiro CCA do Brasil, o curso da PUC-RS, em Porto Alegre. Conforme Ribeiro (2008, p. 173), “no início dos anos 90, a VARIG, visando aprimorar cada vez mais o perfil de seus pilotos, propôs parceria para a PUC-RS, com vistas à criação de um curso universitário inédito no Brasil”. E assim aconteceu, no dia 7 de outubro de 1993, em reunião do Conselho </w:t>
      </w:r>
      <w:r>
        <w:lastRenderedPageBreak/>
        <w:t>Universitário da PUC-RS, foi criado o então Instituto de Ciências Aeronáuticas. O curso foi homologado desde sua origem pelo Ministério da Aeronáutica/DAC, hoje ANAC, e reconhecido pelo MEC desde maio de 1997 (PUC-RS, 2019).</w:t>
      </w:r>
    </w:p>
    <w:p w:rsidR="003B0693" w:rsidRDefault="003B0693" w:rsidP="003B0693">
      <w:pPr>
        <w:pStyle w:val="FPCTextonormal"/>
        <w:spacing w:before="0" w:after="0"/>
        <w:rPr>
          <w:rFonts w:ascii="Times New Roman" w:hAnsi="Times New Roman"/>
        </w:rPr>
      </w:pPr>
    </w:p>
    <w:p w:rsidR="003B0693" w:rsidRPr="00DF3767" w:rsidRDefault="00752988" w:rsidP="00DF3767">
      <w:pPr>
        <w:pStyle w:val="Prrafodelista"/>
        <w:numPr>
          <w:ilvl w:val="2"/>
          <w:numId w:val="1"/>
        </w:numPr>
        <w:jc w:val="left"/>
        <w:rPr>
          <w:b/>
          <w:sz w:val="24"/>
          <w:szCs w:val="24"/>
        </w:rPr>
      </w:pPr>
      <w:r w:rsidRPr="00DF3767">
        <w:rPr>
          <w:b/>
          <w:sz w:val="24"/>
          <w:szCs w:val="24"/>
        </w:rPr>
        <w:t>Dados gerais dos CCA no Brasil</w:t>
      </w:r>
    </w:p>
    <w:p w:rsidR="003B0693" w:rsidRPr="00074EB6" w:rsidRDefault="003B0693" w:rsidP="003B0693">
      <w:pPr>
        <w:pStyle w:val="FPCTextonormal"/>
        <w:spacing w:before="0" w:after="0"/>
        <w:rPr>
          <w:rFonts w:ascii="Times New Roman" w:hAnsi="Times New Roman"/>
        </w:rPr>
      </w:pPr>
    </w:p>
    <w:p w:rsidR="006F2D8D" w:rsidRDefault="00752988" w:rsidP="00F824E1">
      <w:pPr>
        <w:pStyle w:val="Sinespaciado"/>
      </w:pPr>
      <w:r w:rsidRPr="00752988">
        <w:t xml:space="preserve">Levando-se em conta os 14 cursos selecionados para a pesquisa, </w:t>
      </w:r>
      <w:r w:rsidR="00831C1A" w:rsidRPr="00752988">
        <w:t>têm-se</w:t>
      </w:r>
      <w:r w:rsidRPr="00752988">
        <w:t xml:space="preserve"> na Tabela 1 alguns dados gerais e importantes dos CCA.</w:t>
      </w:r>
    </w:p>
    <w:p w:rsidR="003B0693" w:rsidRPr="00752988" w:rsidRDefault="003B0693" w:rsidP="00F824E1">
      <w:pPr>
        <w:pStyle w:val="Sinespaciado"/>
        <w:rPr>
          <w:sz w:val="20"/>
        </w:rPr>
      </w:pPr>
    </w:p>
    <w:p w:rsidR="00752988" w:rsidRPr="00752988" w:rsidRDefault="00752988" w:rsidP="00752988">
      <w:pPr>
        <w:rPr>
          <w:rFonts w:cs="Arial"/>
        </w:rPr>
      </w:pPr>
      <w:proofErr w:type="gramStart"/>
      <w:r w:rsidRPr="006F6A84">
        <w:rPr>
          <w:rFonts w:cs="Arial"/>
          <w:b/>
        </w:rPr>
        <w:t>Tabela 1</w:t>
      </w:r>
      <w:r w:rsidRPr="00752988">
        <w:rPr>
          <w:rFonts w:cs="Arial"/>
        </w:rPr>
        <w:t xml:space="preserve"> – Dados gerais dos CCA</w:t>
      </w:r>
      <w:proofErr w:type="gramEnd"/>
      <w:r w:rsidRPr="00752988">
        <w:rPr>
          <w:rFonts w:cs="Arial"/>
        </w:rPr>
        <w:t xml:space="preserve"> por IES</w:t>
      </w:r>
    </w:p>
    <w:tbl>
      <w:tblPr>
        <w:tblW w:w="9001" w:type="dxa"/>
        <w:jc w:val="center"/>
        <w:tblInd w:w="75" w:type="dxa"/>
        <w:tblLayout w:type="fixed"/>
        <w:tblCellMar>
          <w:left w:w="0" w:type="dxa"/>
          <w:right w:w="0" w:type="dxa"/>
        </w:tblCellMar>
        <w:tblLook w:val="04A0" w:firstRow="1" w:lastRow="0" w:firstColumn="1" w:lastColumn="0" w:noHBand="0" w:noVBand="1"/>
      </w:tblPr>
      <w:tblGrid>
        <w:gridCol w:w="2092"/>
        <w:gridCol w:w="2409"/>
        <w:gridCol w:w="1843"/>
        <w:gridCol w:w="1276"/>
        <w:gridCol w:w="1381"/>
      </w:tblGrid>
      <w:tr w:rsidR="00752988" w:rsidRPr="00752988" w:rsidTr="00752988">
        <w:trPr>
          <w:jc w:val="center"/>
        </w:trPr>
        <w:tc>
          <w:tcPr>
            <w:tcW w:w="2092" w:type="dxa"/>
            <w:tcBorders>
              <w:top w:val="single" w:sz="4" w:space="0" w:color="auto"/>
              <w:bottom w:val="single" w:sz="4" w:space="0" w:color="auto"/>
              <w:right w:val="single" w:sz="4" w:space="0" w:color="auto"/>
            </w:tcBorders>
            <w:shd w:val="clear" w:color="auto" w:fill="auto"/>
            <w:vAlign w:val="center"/>
          </w:tcPr>
          <w:p w:rsidR="00752988" w:rsidRPr="00752988" w:rsidRDefault="00752988" w:rsidP="002C426D">
            <w:pPr>
              <w:jc w:val="center"/>
              <w:rPr>
                <w:rFonts w:eastAsia="Calibri" w:cs="Arial"/>
                <w:b/>
              </w:rPr>
            </w:pPr>
            <w:r w:rsidRPr="00752988">
              <w:rPr>
                <w:rFonts w:eastAsia="Calibri" w:cs="Arial"/>
                <w:b/>
              </w:rPr>
              <w:t>Instituição (IES)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52988" w:rsidRPr="00752988" w:rsidRDefault="00752988" w:rsidP="002C426D">
            <w:pPr>
              <w:jc w:val="center"/>
              <w:rPr>
                <w:rFonts w:eastAsia="Calibri" w:cs="Arial"/>
                <w:b/>
              </w:rPr>
            </w:pPr>
            <w:r w:rsidRPr="00752988">
              <w:rPr>
                <w:rFonts w:eastAsia="Calibri" w:cs="Arial"/>
                <w:b/>
              </w:rPr>
              <w:t>Quantidade de Vagas</w:t>
            </w:r>
          </w:p>
        </w:tc>
        <w:tc>
          <w:tcPr>
            <w:tcW w:w="1843" w:type="dxa"/>
            <w:tcBorders>
              <w:top w:val="single" w:sz="4" w:space="0" w:color="auto"/>
              <w:left w:val="single" w:sz="4" w:space="0" w:color="auto"/>
              <w:bottom w:val="single" w:sz="4" w:space="0" w:color="auto"/>
              <w:right w:val="single" w:sz="4" w:space="0" w:color="auto"/>
            </w:tcBorders>
            <w:vAlign w:val="center"/>
          </w:tcPr>
          <w:p w:rsidR="00752988" w:rsidRPr="00752988" w:rsidRDefault="00752988" w:rsidP="002C426D">
            <w:pPr>
              <w:jc w:val="center"/>
              <w:rPr>
                <w:rFonts w:eastAsia="Calibri" w:cs="Arial"/>
                <w:b/>
              </w:rPr>
            </w:pPr>
            <w:r w:rsidRPr="00752988">
              <w:rPr>
                <w:rFonts w:eastAsia="Calibri" w:cs="Arial"/>
                <w:b/>
              </w:rPr>
              <w:t>Período</w:t>
            </w:r>
          </w:p>
        </w:tc>
        <w:tc>
          <w:tcPr>
            <w:tcW w:w="1276" w:type="dxa"/>
            <w:tcBorders>
              <w:top w:val="single" w:sz="4" w:space="0" w:color="auto"/>
              <w:left w:val="single" w:sz="4" w:space="0" w:color="auto"/>
              <w:bottom w:val="single" w:sz="4" w:space="0" w:color="auto"/>
              <w:right w:val="single" w:sz="4" w:space="0" w:color="auto"/>
            </w:tcBorders>
            <w:vAlign w:val="center"/>
          </w:tcPr>
          <w:p w:rsidR="00752988" w:rsidRPr="00752988" w:rsidRDefault="00752988" w:rsidP="002C426D">
            <w:pPr>
              <w:jc w:val="center"/>
              <w:rPr>
                <w:rFonts w:eastAsia="Calibri" w:cs="Arial"/>
                <w:b/>
              </w:rPr>
            </w:pPr>
            <w:r w:rsidRPr="00752988">
              <w:rPr>
                <w:rFonts w:eastAsia="Calibri" w:cs="Arial"/>
                <w:b/>
              </w:rPr>
              <w:t>Duração</w:t>
            </w:r>
          </w:p>
        </w:tc>
        <w:tc>
          <w:tcPr>
            <w:tcW w:w="1381" w:type="dxa"/>
            <w:tcBorders>
              <w:top w:val="single" w:sz="4" w:space="0" w:color="auto"/>
              <w:left w:val="single" w:sz="4" w:space="0" w:color="auto"/>
              <w:bottom w:val="single" w:sz="4" w:space="0" w:color="auto"/>
            </w:tcBorders>
            <w:vAlign w:val="center"/>
          </w:tcPr>
          <w:p w:rsidR="00752988" w:rsidRPr="00752988" w:rsidRDefault="00752988" w:rsidP="002C426D">
            <w:pPr>
              <w:jc w:val="center"/>
              <w:rPr>
                <w:rFonts w:eastAsia="Calibri" w:cs="Arial"/>
                <w:b/>
              </w:rPr>
            </w:pPr>
            <w:r w:rsidRPr="00752988">
              <w:rPr>
                <w:rFonts w:eastAsia="Calibri" w:cs="Arial"/>
                <w:b/>
              </w:rPr>
              <w:t>Carga Horária</w:t>
            </w:r>
          </w:p>
        </w:tc>
      </w:tr>
      <w:tr w:rsidR="00752988" w:rsidRPr="00752988" w:rsidTr="00752988">
        <w:trPr>
          <w:jc w:val="center"/>
        </w:trPr>
        <w:tc>
          <w:tcPr>
            <w:tcW w:w="2092" w:type="dxa"/>
            <w:tcBorders>
              <w:top w:val="single" w:sz="4" w:space="0" w:color="auto"/>
            </w:tcBorders>
            <w:shd w:val="clear" w:color="auto" w:fill="auto"/>
            <w:vAlign w:val="center"/>
          </w:tcPr>
          <w:p w:rsidR="00752988" w:rsidRPr="00752988" w:rsidRDefault="00752988" w:rsidP="002C426D">
            <w:pPr>
              <w:jc w:val="center"/>
              <w:rPr>
                <w:rFonts w:cs="Arial"/>
              </w:rPr>
            </w:pPr>
            <w:r w:rsidRPr="00752988">
              <w:rPr>
                <w:rFonts w:cs="Arial"/>
              </w:rPr>
              <w:t>Campina Grande – PB</w:t>
            </w:r>
          </w:p>
        </w:tc>
        <w:tc>
          <w:tcPr>
            <w:tcW w:w="2409" w:type="dxa"/>
            <w:tcBorders>
              <w:top w:val="single" w:sz="4" w:space="0" w:color="auto"/>
            </w:tcBorders>
            <w:shd w:val="clear" w:color="auto" w:fill="auto"/>
            <w:vAlign w:val="center"/>
          </w:tcPr>
          <w:p w:rsidR="00752988" w:rsidRPr="00752988" w:rsidRDefault="00752988" w:rsidP="002C426D">
            <w:pPr>
              <w:jc w:val="center"/>
              <w:rPr>
                <w:rFonts w:eastAsia="Calibri" w:cs="Arial"/>
              </w:rPr>
            </w:pPr>
            <w:r w:rsidRPr="00752988">
              <w:rPr>
                <w:rFonts w:eastAsia="Calibri" w:cs="Arial"/>
              </w:rPr>
              <w:t>Não informa</w:t>
            </w:r>
          </w:p>
        </w:tc>
        <w:tc>
          <w:tcPr>
            <w:tcW w:w="1843" w:type="dxa"/>
            <w:tcBorders>
              <w:top w:val="single" w:sz="4" w:space="0" w:color="auto"/>
            </w:tcBorders>
            <w:vAlign w:val="center"/>
          </w:tcPr>
          <w:p w:rsidR="00752988" w:rsidRPr="00752988" w:rsidRDefault="00752988" w:rsidP="002C426D">
            <w:pPr>
              <w:jc w:val="center"/>
              <w:rPr>
                <w:rFonts w:eastAsia="Calibri" w:cs="Arial"/>
              </w:rPr>
            </w:pPr>
            <w:r w:rsidRPr="00752988">
              <w:rPr>
                <w:rFonts w:eastAsia="Calibri" w:cs="Arial"/>
              </w:rPr>
              <w:t>Noturno</w:t>
            </w:r>
          </w:p>
        </w:tc>
        <w:tc>
          <w:tcPr>
            <w:tcW w:w="1276" w:type="dxa"/>
            <w:tcBorders>
              <w:top w:val="single" w:sz="4" w:space="0" w:color="auto"/>
            </w:tcBorders>
            <w:vAlign w:val="center"/>
          </w:tcPr>
          <w:p w:rsidR="00752988" w:rsidRPr="00752988" w:rsidRDefault="00752988" w:rsidP="002C426D">
            <w:pPr>
              <w:jc w:val="center"/>
              <w:rPr>
                <w:rFonts w:eastAsia="Calibri" w:cs="Arial"/>
              </w:rPr>
            </w:pPr>
            <w:proofErr w:type="gramStart"/>
            <w:r w:rsidRPr="00752988">
              <w:rPr>
                <w:rFonts w:eastAsia="Calibri" w:cs="Arial"/>
              </w:rPr>
              <w:t>3</w:t>
            </w:r>
            <w:proofErr w:type="gramEnd"/>
            <w:r w:rsidRPr="00752988">
              <w:rPr>
                <w:rFonts w:eastAsia="Calibri" w:cs="Arial"/>
              </w:rPr>
              <w:t xml:space="preserve"> anos</w:t>
            </w:r>
          </w:p>
        </w:tc>
        <w:tc>
          <w:tcPr>
            <w:tcW w:w="1381" w:type="dxa"/>
            <w:tcBorders>
              <w:top w:val="single" w:sz="4" w:space="0" w:color="auto"/>
            </w:tcBorders>
            <w:vAlign w:val="center"/>
          </w:tcPr>
          <w:p w:rsidR="00752988" w:rsidRPr="00752988" w:rsidRDefault="00752988" w:rsidP="002C426D">
            <w:pPr>
              <w:jc w:val="center"/>
              <w:rPr>
                <w:rFonts w:eastAsia="Calibri" w:cs="Arial"/>
              </w:rPr>
            </w:pPr>
            <w:r w:rsidRPr="00752988">
              <w:rPr>
                <w:rFonts w:eastAsia="Calibri" w:cs="Arial"/>
              </w:rPr>
              <w:t>2.560 h</w:t>
            </w:r>
          </w:p>
        </w:tc>
      </w:tr>
      <w:tr w:rsidR="00752988" w:rsidRPr="00752988" w:rsidTr="00752988">
        <w:trPr>
          <w:jc w:val="center"/>
        </w:trPr>
        <w:tc>
          <w:tcPr>
            <w:tcW w:w="2092" w:type="dxa"/>
            <w:shd w:val="clear" w:color="auto" w:fill="auto"/>
            <w:vAlign w:val="center"/>
          </w:tcPr>
          <w:p w:rsidR="00752988" w:rsidRPr="00752988" w:rsidRDefault="00752988" w:rsidP="002C426D">
            <w:pPr>
              <w:jc w:val="center"/>
              <w:rPr>
                <w:rFonts w:cs="Arial"/>
              </w:rPr>
            </w:pPr>
            <w:r w:rsidRPr="00752988">
              <w:rPr>
                <w:rFonts w:cs="Arial"/>
              </w:rPr>
              <w:t>Recife – PE</w:t>
            </w:r>
          </w:p>
        </w:tc>
        <w:tc>
          <w:tcPr>
            <w:tcW w:w="2409" w:type="dxa"/>
            <w:shd w:val="clear" w:color="auto" w:fill="auto"/>
            <w:vAlign w:val="center"/>
          </w:tcPr>
          <w:p w:rsidR="00752988" w:rsidRPr="00752988" w:rsidRDefault="00752988" w:rsidP="002C426D">
            <w:pPr>
              <w:jc w:val="center"/>
              <w:rPr>
                <w:rFonts w:eastAsia="Calibri" w:cs="Arial"/>
              </w:rPr>
            </w:pPr>
            <w:r w:rsidRPr="00752988">
              <w:rPr>
                <w:rFonts w:eastAsia="Calibri" w:cs="Arial"/>
              </w:rPr>
              <w:t>240</w:t>
            </w:r>
          </w:p>
        </w:tc>
        <w:tc>
          <w:tcPr>
            <w:tcW w:w="1843" w:type="dxa"/>
            <w:vAlign w:val="center"/>
          </w:tcPr>
          <w:p w:rsidR="00752988" w:rsidRPr="00752988" w:rsidRDefault="00752988" w:rsidP="002C426D">
            <w:pPr>
              <w:jc w:val="center"/>
              <w:rPr>
                <w:rFonts w:eastAsia="Calibri" w:cs="Arial"/>
              </w:rPr>
            </w:pPr>
            <w:r w:rsidRPr="00752988">
              <w:rPr>
                <w:rFonts w:eastAsia="Calibri" w:cs="Arial"/>
              </w:rPr>
              <w:t>Não informa</w:t>
            </w:r>
          </w:p>
        </w:tc>
        <w:tc>
          <w:tcPr>
            <w:tcW w:w="1276" w:type="dxa"/>
            <w:vAlign w:val="center"/>
          </w:tcPr>
          <w:p w:rsidR="00752988" w:rsidRPr="00752988" w:rsidRDefault="00752988" w:rsidP="002C426D">
            <w:pPr>
              <w:jc w:val="center"/>
              <w:rPr>
                <w:rFonts w:eastAsia="Calibri" w:cs="Arial"/>
              </w:rPr>
            </w:pPr>
            <w:proofErr w:type="gramStart"/>
            <w:r w:rsidRPr="00752988">
              <w:rPr>
                <w:rFonts w:eastAsia="Calibri" w:cs="Arial"/>
              </w:rPr>
              <w:t>3</w:t>
            </w:r>
            <w:proofErr w:type="gramEnd"/>
            <w:r w:rsidRPr="00752988">
              <w:rPr>
                <w:rFonts w:eastAsia="Calibri" w:cs="Arial"/>
              </w:rPr>
              <w:t xml:space="preserve"> anos</w:t>
            </w:r>
          </w:p>
        </w:tc>
        <w:tc>
          <w:tcPr>
            <w:tcW w:w="1381" w:type="dxa"/>
            <w:vAlign w:val="center"/>
          </w:tcPr>
          <w:p w:rsidR="00752988" w:rsidRPr="00752988" w:rsidRDefault="00752988" w:rsidP="002C426D">
            <w:pPr>
              <w:jc w:val="center"/>
              <w:rPr>
                <w:rFonts w:eastAsia="Calibri" w:cs="Arial"/>
              </w:rPr>
            </w:pPr>
            <w:r w:rsidRPr="00752988">
              <w:rPr>
                <w:rFonts w:eastAsia="Calibri" w:cs="Arial"/>
              </w:rPr>
              <w:t>2.400 h</w:t>
            </w:r>
          </w:p>
        </w:tc>
      </w:tr>
      <w:tr w:rsidR="00752988" w:rsidRPr="00752988" w:rsidTr="00752988">
        <w:trPr>
          <w:jc w:val="center"/>
        </w:trPr>
        <w:tc>
          <w:tcPr>
            <w:tcW w:w="2092" w:type="dxa"/>
            <w:shd w:val="clear" w:color="auto" w:fill="auto"/>
            <w:vAlign w:val="center"/>
          </w:tcPr>
          <w:p w:rsidR="00752988" w:rsidRPr="00752988" w:rsidRDefault="00752988" w:rsidP="002C426D">
            <w:pPr>
              <w:jc w:val="center"/>
              <w:rPr>
                <w:rFonts w:cs="Arial"/>
              </w:rPr>
            </w:pPr>
            <w:r w:rsidRPr="00752988">
              <w:rPr>
                <w:rFonts w:cs="Arial"/>
              </w:rPr>
              <w:t>Salvador – BA</w:t>
            </w:r>
          </w:p>
        </w:tc>
        <w:tc>
          <w:tcPr>
            <w:tcW w:w="2409" w:type="dxa"/>
            <w:shd w:val="clear" w:color="auto" w:fill="auto"/>
            <w:vAlign w:val="center"/>
          </w:tcPr>
          <w:p w:rsidR="00752988" w:rsidRPr="00752988" w:rsidRDefault="00752988" w:rsidP="002C426D">
            <w:pPr>
              <w:jc w:val="center"/>
              <w:rPr>
                <w:rFonts w:eastAsia="Calibri" w:cs="Arial"/>
              </w:rPr>
            </w:pPr>
            <w:r w:rsidRPr="00752988">
              <w:rPr>
                <w:rFonts w:eastAsia="Calibri" w:cs="Arial"/>
              </w:rPr>
              <w:t>Não informa</w:t>
            </w:r>
          </w:p>
        </w:tc>
        <w:tc>
          <w:tcPr>
            <w:tcW w:w="1843" w:type="dxa"/>
            <w:vAlign w:val="center"/>
          </w:tcPr>
          <w:p w:rsidR="00752988" w:rsidRPr="00752988" w:rsidRDefault="00752988" w:rsidP="002C426D">
            <w:pPr>
              <w:jc w:val="center"/>
              <w:rPr>
                <w:rFonts w:eastAsia="Calibri" w:cs="Arial"/>
              </w:rPr>
            </w:pPr>
            <w:r w:rsidRPr="00752988">
              <w:rPr>
                <w:rFonts w:eastAsia="Calibri" w:cs="Arial"/>
              </w:rPr>
              <w:t>Matutino</w:t>
            </w:r>
          </w:p>
        </w:tc>
        <w:tc>
          <w:tcPr>
            <w:tcW w:w="1276" w:type="dxa"/>
            <w:vAlign w:val="center"/>
          </w:tcPr>
          <w:p w:rsidR="00752988" w:rsidRPr="00752988" w:rsidRDefault="00752988" w:rsidP="002C426D">
            <w:pPr>
              <w:jc w:val="center"/>
              <w:rPr>
                <w:rFonts w:eastAsia="Calibri" w:cs="Arial"/>
              </w:rPr>
            </w:pPr>
            <w:proofErr w:type="gramStart"/>
            <w:r w:rsidRPr="00752988">
              <w:rPr>
                <w:rFonts w:eastAsia="Calibri" w:cs="Arial"/>
              </w:rPr>
              <w:t>3</w:t>
            </w:r>
            <w:proofErr w:type="gramEnd"/>
            <w:r w:rsidRPr="00752988">
              <w:rPr>
                <w:rFonts w:eastAsia="Calibri" w:cs="Arial"/>
              </w:rPr>
              <w:t xml:space="preserve"> anos</w:t>
            </w:r>
          </w:p>
        </w:tc>
        <w:tc>
          <w:tcPr>
            <w:tcW w:w="1381" w:type="dxa"/>
            <w:vAlign w:val="center"/>
          </w:tcPr>
          <w:p w:rsidR="00752988" w:rsidRPr="00752988" w:rsidRDefault="00752988" w:rsidP="002C426D">
            <w:pPr>
              <w:jc w:val="center"/>
              <w:rPr>
                <w:rFonts w:eastAsia="Calibri" w:cs="Arial"/>
              </w:rPr>
            </w:pPr>
            <w:r w:rsidRPr="00752988">
              <w:rPr>
                <w:rFonts w:eastAsia="Calibri" w:cs="Arial"/>
              </w:rPr>
              <w:t>2.670 h</w:t>
            </w:r>
          </w:p>
        </w:tc>
      </w:tr>
      <w:tr w:rsidR="00752988" w:rsidRPr="00752988" w:rsidTr="00752988">
        <w:trPr>
          <w:jc w:val="center"/>
        </w:trPr>
        <w:tc>
          <w:tcPr>
            <w:tcW w:w="2092" w:type="dxa"/>
            <w:shd w:val="clear" w:color="auto" w:fill="auto"/>
            <w:vAlign w:val="center"/>
          </w:tcPr>
          <w:p w:rsidR="00752988" w:rsidRPr="00752988" w:rsidRDefault="00752988" w:rsidP="002C426D">
            <w:pPr>
              <w:jc w:val="center"/>
              <w:rPr>
                <w:rFonts w:cs="Arial"/>
              </w:rPr>
            </w:pPr>
            <w:r w:rsidRPr="00752988">
              <w:rPr>
                <w:rFonts w:cs="Arial"/>
              </w:rPr>
              <w:t>Cuiabá – MT</w:t>
            </w:r>
          </w:p>
        </w:tc>
        <w:tc>
          <w:tcPr>
            <w:tcW w:w="2409" w:type="dxa"/>
            <w:shd w:val="clear" w:color="auto" w:fill="auto"/>
            <w:vAlign w:val="center"/>
          </w:tcPr>
          <w:p w:rsidR="00752988" w:rsidRPr="00752988" w:rsidRDefault="00752988" w:rsidP="002C426D">
            <w:pPr>
              <w:jc w:val="center"/>
              <w:rPr>
                <w:rFonts w:eastAsia="Calibri" w:cs="Arial"/>
              </w:rPr>
            </w:pPr>
            <w:r w:rsidRPr="00752988">
              <w:rPr>
                <w:rFonts w:eastAsia="Calibri" w:cs="Arial"/>
              </w:rPr>
              <w:t>(**)</w:t>
            </w:r>
          </w:p>
        </w:tc>
        <w:tc>
          <w:tcPr>
            <w:tcW w:w="1843" w:type="dxa"/>
            <w:vAlign w:val="center"/>
          </w:tcPr>
          <w:p w:rsidR="00752988" w:rsidRPr="00752988" w:rsidRDefault="00752988" w:rsidP="002C426D">
            <w:pPr>
              <w:jc w:val="center"/>
              <w:rPr>
                <w:rFonts w:eastAsia="Calibri" w:cs="Arial"/>
              </w:rPr>
            </w:pPr>
            <w:r w:rsidRPr="00752988">
              <w:rPr>
                <w:rFonts w:eastAsia="Calibri" w:cs="Arial"/>
              </w:rPr>
              <w:t>(**)</w:t>
            </w:r>
          </w:p>
        </w:tc>
        <w:tc>
          <w:tcPr>
            <w:tcW w:w="1276" w:type="dxa"/>
            <w:vAlign w:val="center"/>
          </w:tcPr>
          <w:p w:rsidR="00752988" w:rsidRPr="00752988" w:rsidRDefault="00752988" w:rsidP="002C426D">
            <w:pPr>
              <w:jc w:val="center"/>
              <w:rPr>
                <w:rFonts w:eastAsia="Calibri" w:cs="Arial"/>
              </w:rPr>
            </w:pPr>
            <w:r w:rsidRPr="00752988">
              <w:rPr>
                <w:rFonts w:eastAsia="Calibri" w:cs="Arial"/>
              </w:rPr>
              <w:t>(**)</w:t>
            </w:r>
          </w:p>
        </w:tc>
        <w:tc>
          <w:tcPr>
            <w:tcW w:w="1381" w:type="dxa"/>
            <w:vAlign w:val="center"/>
          </w:tcPr>
          <w:p w:rsidR="00752988" w:rsidRPr="00752988" w:rsidRDefault="00752988" w:rsidP="002C426D">
            <w:pPr>
              <w:jc w:val="center"/>
              <w:rPr>
                <w:rFonts w:eastAsia="Calibri" w:cs="Arial"/>
              </w:rPr>
            </w:pPr>
            <w:r w:rsidRPr="00752988">
              <w:rPr>
                <w:rFonts w:eastAsia="Calibri" w:cs="Arial"/>
              </w:rPr>
              <w:t>(**)</w:t>
            </w:r>
          </w:p>
        </w:tc>
      </w:tr>
      <w:tr w:rsidR="00752988" w:rsidRPr="00752988" w:rsidTr="00752988">
        <w:trPr>
          <w:jc w:val="center"/>
        </w:trPr>
        <w:tc>
          <w:tcPr>
            <w:tcW w:w="2092" w:type="dxa"/>
            <w:shd w:val="clear" w:color="auto" w:fill="auto"/>
            <w:vAlign w:val="center"/>
          </w:tcPr>
          <w:p w:rsidR="00752988" w:rsidRPr="00752988" w:rsidRDefault="00752988" w:rsidP="002C426D">
            <w:pPr>
              <w:jc w:val="center"/>
              <w:rPr>
                <w:rFonts w:cs="Arial"/>
              </w:rPr>
            </w:pPr>
            <w:r w:rsidRPr="00752988">
              <w:rPr>
                <w:rFonts w:cs="Arial"/>
              </w:rPr>
              <w:t>Goiânia – GO</w:t>
            </w:r>
          </w:p>
        </w:tc>
        <w:tc>
          <w:tcPr>
            <w:tcW w:w="2409" w:type="dxa"/>
            <w:shd w:val="clear" w:color="auto" w:fill="auto"/>
            <w:vAlign w:val="center"/>
          </w:tcPr>
          <w:p w:rsidR="00752988" w:rsidRPr="00752988" w:rsidRDefault="00752988" w:rsidP="002C426D">
            <w:pPr>
              <w:jc w:val="center"/>
              <w:rPr>
                <w:rFonts w:eastAsia="Calibri" w:cs="Arial"/>
              </w:rPr>
            </w:pPr>
            <w:r w:rsidRPr="00752988">
              <w:rPr>
                <w:rFonts w:eastAsia="Calibri" w:cs="Arial"/>
              </w:rPr>
              <w:t>180</w:t>
            </w:r>
          </w:p>
        </w:tc>
        <w:tc>
          <w:tcPr>
            <w:tcW w:w="1843" w:type="dxa"/>
            <w:vAlign w:val="center"/>
          </w:tcPr>
          <w:p w:rsidR="00752988" w:rsidRPr="00752988" w:rsidRDefault="00752988" w:rsidP="002C426D">
            <w:pPr>
              <w:jc w:val="center"/>
              <w:rPr>
                <w:rFonts w:eastAsia="Calibri" w:cs="Arial"/>
              </w:rPr>
            </w:pPr>
            <w:r w:rsidRPr="00752988">
              <w:rPr>
                <w:rFonts w:eastAsia="Calibri" w:cs="Arial"/>
              </w:rPr>
              <w:t>Vespertino</w:t>
            </w:r>
          </w:p>
        </w:tc>
        <w:tc>
          <w:tcPr>
            <w:tcW w:w="1276" w:type="dxa"/>
            <w:vAlign w:val="center"/>
          </w:tcPr>
          <w:p w:rsidR="00752988" w:rsidRPr="00752988" w:rsidRDefault="00752988" w:rsidP="002C426D">
            <w:pPr>
              <w:jc w:val="center"/>
              <w:rPr>
                <w:rFonts w:eastAsia="Calibri" w:cs="Arial"/>
              </w:rPr>
            </w:pPr>
            <w:proofErr w:type="gramStart"/>
            <w:r w:rsidRPr="00752988">
              <w:rPr>
                <w:rFonts w:eastAsia="Calibri" w:cs="Arial"/>
              </w:rPr>
              <w:t>4</w:t>
            </w:r>
            <w:proofErr w:type="gramEnd"/>
            <w:r w:rsidRPr="00752988">
              <w:rPr>
                <w:rFonts w:eastAsia="Calibri" w:cs="Arial"/>
              </w:rPr>
              <w:t xml:space="preserve"> anos</w:t>
            </w:r>
          </w:p>
        </w:tc>
        <w:tc>
          <w:tcPr>
            <w:tcW w:w="1381" w:type="dxa"/>
            <w:vAlign w:val="center"/>
          </w:tcPr>
          <w:p w:rsidR="00752988" w:rsidRPr="00752988" w:rsidRDefault="00752988" w:rsidP="002C426D">
            <w:pPr>
              <w:jc w:val="center"/>
              <w:rPr>
                <w:rFonts w:eastAsia="Calibri" w:cs="Arial"/>
              </w:rPr>
            </w:pPr>
            <w:r w:rsidRPr="00752988">
              <w:rPr>
                <w:rFonts w:eastAsia="Calibri" w:cs="Arial"/>
              </w:rPr>
              <w:t>3.130 h</w:t>
            </w:r>
          </w:p>
        </w:tc>
      </w:tr>
      <w:tr w:rsidR="00752988" w:rsidRPr="00752988" w:rsidTr="00752988">
        <w:trPr>
          <w:jc w:val="center"/>
        </w:trPr>
        <w:tc>
          <w:tcPr>
            <w:tcW w:w="2092" w:type="dxa"/>
            <w:shd w:val="clear" w:color="auto" w:fill="auto"/>
            <w:vAlign w:val="center"/>
          </w:tcPr>
          <w:p w:rsidR="00752988" w:rsidRPr="00752988" w:rsidRDefault="00752988" w:rsidP="002C426D">
            <w:pPr>
              <w:jc w:val="center"/>
              <w:rPr>
                <w:rFonts w:cs="Arial"/>
              </w:rPr>
            </w:pPr>
            <w:r w:rsidRPr="00752988">
              <w:rPr>
                <w:rFonts w:cs="Arial"/>
              </w:rPr>
              <w:t>Uberlândia – MG</w:t>
            </w:r>
          </w:p>
        </w:tc>
        <w:tc>
          <w:tcPr>
            <w:tcW w:w="2409" w:type="dxa"/>
            <w:shd w:val="clear" w:color="auto" w:fill="auto"/>
            <w:vAlign w:val="center"/>
          </w:tcPr>
          <w:p w:rsidR="00752988" w:rsidRPr="00752988" w:rsidRDefault="00752988" w:rsidP="002C426D">
            <w:pPr>
              <w:jc w:val="center"/>
              <w:rPr>
                <w:rFonts w:eastAsia="Calibri" w:cs="Arial"/>
              </w:rPr>
            </w:pPr>
            <w:r w:rsidRPr="00752988">
              <w:rPr>
                <w:rFonts w:eastAsia="Calibri" w:cs="Arial"/>
              </w:rPr>
              <w:t>(**)</w:t>
            </w:r>
          </w:p>
        </w:tc>
        <w:tc>
          <w:tcPr>
            <w:tcW w:w="1843" w:type="dxa"/>
            <w:vAlign w:val="center"/>
          </w:tcPr>
          <w:p w:rsidR="00752988" w:rsidRPr="00752988" w:rsidRDefault="00752988" w:rsidP="002C426D">
            <w:pPr>
              <w:jc w:val="center"/>
              <w:rPr>
                <w:rFonts w:eastAsia="Calibri" w:cs="Arial"/>
              </w:rPr>
            </w:pPr>
            <w:r w:rsidRPr="00752988">
              <w:rPr>
                <w:rFonts w:eastAsia="Calibri" w:cs="Arial"/>
              </w:rPr>
              <w:t>(**)</w:t>
            </w:r>
          </w:p>
        </w:tc>
        <w:tc>
          <w:tcPr>
            <w:tcW w:w="1276" w:type="dxa"/>
            <w:vAlign w:val="center"/>
          </w:tcPr>
          <w:p w:rsidR="00752988" w:rsidRPr="00752988" w:rsidRDefault="00752988" w:rsidP="002C426D">
            <w:pPr>
              <w:jc w:val="center"/>
              <w:rPr>
                <w:rFonts w:eastAsia="Calibri" w:cs="Arial"/>
              </w:rPr>
            </w:pPr>
            <w:r w:rsidRPr="00752988">
              <w:rPr>
                <w:rFonts w:eastAsia="Calibri" w:cs="Arial"/>
              </w:rPr>
              <w:t>(**)</w:t>
            </w:r>
          </w:p>
        </w:tc>
        <w:tc>
          <w:tcPr>
            <w:tcW w:w="1381" w:type="dxa"/>
            <w:vAlign w:val="center"/>
          </w:tcPr>
          <w:p w:rsidR="00752988" w:rsidRPr="00752988" w:rsidRDefault="00752988" w:rsidP="002C426D">
            <w:pPr>
              <w:jc w:val="center"/>
              <w:rPr>
                <w:rFonts w:eastAsia="Calibri" w:cs="Arial"/>
              </w:rPr>
            </w:pPr>
            <w:r w:rsidRPr="00752988">
              <w:rPr>
                <w:rFonts w:eastAsia="Calibri" w:cs="Arial"/>
              </w:rPr>
              <w:t>(**)</w:t>
            </w:r>
          </w:p>
        </w:tc>
      </w:tr>
      <w:tr w:rsidR="00752988" w:rsidRPr="00752988" w:rsidTr="00752988">
        <w:trPr>
          <w:jc w:val="center"/>
        </w:trPr>
        <w:tc>
          <w:tcPr>
            <w:tcW w:w="2092" w:type="dxa"/>
            <w:shd w:val="clear" w:color="auto" w:fill="auto"/>
            <w:vAlign w:val="center"/>
          </w:tcPr>
          <w:p w:rsidR="00752988" w:rsidRPr="00752988" w:rsidRDefault="00752988" w:rsidP="002C426D">
            <w:pPr>
              <w:jc w:val="center"/>
              <w:rPr>
                <w:rFonts w:cs="Arial"/>
              </w:rPr>
            </w:pPr>
            <w:r w:rsidRPr="00752988">
              <w:rPr>
                <w:rFonts w:cs="Arial"/>
              </w:rPr>
              <w:t>Belo Horizonte - MG</w:t>
            </w:r>
          </w:p>
        </w:tc>
        <w:tc>
          <w:tcPr>
            <w:tcW w:w="2409" w:type="dxa"/>
            <w:shd w:val="clear" w:color="auto" w:fill="auto"/>
            <w:vAlign w:val="center"/>
          </w:tcPr>
          <w:p w:rsidR="00752988" w:rsidRPr="00752988" w:rsidRDefault="00752988" w:rsidP="002C426D">
            <w:pPr>
              <w:jc w:val="center"/>
              <w:rPr>
                <w:rFonts w:eastAsia="Calibri" w:cs="Arial"/>
              </w:rPr>
            </w:pPr>
            <w:r w:rsidRPr="00752988">
              <w:rPr>
                <w:rFonts w:eastAsia="Calibri" w:cs="Arial"/>
              </w:rPr>
              <w:t>Não informa</w:t>
            </w:r>
          </w:p>
        </w:tc>
        <w:tc>
          <w:tcPr>
            <w:tcW w:w="1843" w:type="dxa"/>
            <w:vAlign w:val="center"/>
          </w:tcPr>
          <w:p w:rsidR="00752988" w:rsidRPr="00752988" w:rsidRDefault="00752988" w:rsidP="002C426D">
            <w:pPr>
              <w:jc w:val="center"/>
              <w:rPr>
                <w:rFonts w:eastAsia="Calibri" w:cs="Arial"/>
              </w:rPr>
            </w:pPr>
            <w:r w:rsidRPr="00752988">
              <w:rPr>
                <w:rFonts w:eastAsia="Calibri" w:cs="Arial"/>
              </w:rPr>
              <w:t>Matutino e Noturno</w:t>
            </w:r>
          </w:p>
        </w:tc>
        <w:tc>
          <w:tcPr>
            <w:tcW w:w="1276" w:type="dxa"/>
            <w:vAlign w:val="center"/>
          </w:tcPr>
          <w:p w:rsidR="00752988" w:rsidRPr="00752988" w:rsidRDefault="00752988" w:rsidP="002C426D">
            <w:pPr>
              <w:jc w:val="center"/>
              <w:rPr>
                <w:rFonts w:eastAsia="Calibri" w:cs="Arial"/>
              </w:rPr>
            </w:pPr>
            <w:r w:rsidRPr="00752988">
              <w:rPr>
                <w:rFonts w:eastAsia="Calibri" w:cs="Arial"/>
              </w:rPr>
              <w:t>3,5 anos</w:t>
            </w:r>
          </w:p>
        </w:tc>
        <w:tc>
          <w:tcPr>
            <w:tcW w:w="1381" w:type="dxa"/>
            <w:vAlign w:val="center"/>
          </w:tcPr>
          <w:p w:rsidR="00752988" w:rsidRPr="00752988" w:rsidRDefault="00752988" w:rsidP="002C426D">
            <w:pPr>
              <w:jc w:val="center"/>
              <w:rPr>
                <w:rFonts w:eastAsia="Calibri" w:cs="Arial"/>
              </w:rPr>
            </w:pPr>
            <w:r w:rsidRPr="00752988">
              <w:rPr>
                <w:rFonts w:eastAsia="Calibri" w:cs="Arial"/>
              </w:rPr>
              <w:t>2.790 h</w:t>
            </w:r>
          </w:p>
        </w:tc>
      </w:tr>
      <w:tr w:rsidR="00752988" w:rsidRPr="00752988" w:rsidTr="00752988">
        <w:trPr>
          <w:jc w:val="center"/>
        </w:trPr>
        <w:tc>
          <w:tcPr>
            <w:tcW w:w="2092" w:type="dxa"/>
            <w:shd w:val="clear" w:color="auto" w:fill="auto"/>
            <w:vAlign w:val="center"/>
          </w:tcPr>
          <w:p w:rsidR="00752988" w:rsidRPr="00752988" w:rsidRDefault="00752988" w:rsidP="002C426D">
            <w:pPr>
              <w:jc w:val="center"/>
              <w:rPr>
                <w:rFonts w:cs="Arial"/>
              </w:rPr>
            </w:pPr>
            <w:r w:rsidRPr="00752988">
              <w:rPr>
                <w:rFonts w:cs="Arial"/>
              </w:rPr>
              <w:t>Rio de Janeiro - RJ</w:t>
            </w:r>
          </w:p>
        </w:tc>
        <w:tc>
          <w:tcPr>
            <w:tcW w:w="2409" w:type="dxa"/>
            <w:shd w:val="clear" w:color="auto" w:fill="auto"/>
            <w:vAlign w:val="center"/>
          </w:tcPr>
          <w:p w:rsidR="00752988" w:rsidRPr="00752988" w:rsidRDefault="00752988" w:rsidP="002C426D">
            <w:pPr>
              <w:jc w:val="center"/>
              <w:rPr>
                <w:rFonts w:eastAsia="Calibri" w:cs="Arial"/>
              </w:rPr>
            </w:pPr>
            <w:r w:rsidRPr="00752988">
              <w:rPr>
                <w:rFonts w:eastAsia="Calibri" w:cs="Arial"/>
              </w:rPr>
              <w:t>Não informa</w:t>
            </w:r>
          </w:p>
        </w:tc>
        <w:tc>
          <w:tcPr>
            <w:tcW w:w="1843" w:type="dxa"/>
            <w:vAlign w:val="center"/>
          </w:tcPr>
          <w:p w:rsidR="00752988" w:rsidRPr="00752988" w:rsidRDefault="00752988" w:rsidP="002C426D">
            <w:pPr>
              <w:jc w:val="center"/>
              <w:rPr>
                <w:rFonts w:eastAsia="Calibri" w:cs="Arial"/>
              </w:rPr>
            </w:pPr>
            <w:r w:rsidRPr="00752988">
              <w:rPr>
                <w:rFonts w:eastAsia="Calibri" w:cs="Arial"/>
              </w:rPr>
              <w:t>Matutino</w:t>
            </w:r>
          </w:p>
        </w:tc>
        <w:tc>
          <w:tcPr>
            <w:tcW w:w="1276" w:type="dxa"/>
            <w:vAlign w:val="center"/>
          </w:tcPr>
          <w:p w:rsidR="00752988" w:rsidRPr="00752988" w:rsidRDefault="00752988" w:rsidP="002C426D">
            <w:pPr>
              <w:jc w:val="center"/>
              <w:rPr>
                <w:rFonts w:eastAsia="Calibri" w:cs="Arial"/>
              </w:rPr>
            </w:pPr>
            <w:proofErr w:type="gramStart"/>
            <w:r w:rsidRPr="00752988">
              <w:rPr>
                <w:rFonts w:eastAsia="Calibri" w:cs="Arial"/>
              </w:rPr>
              <w:t>4</w:t>
            </w:r>
            <w:proofErr w:type="gramEnd"/>
            <w:r w:rsidRPr="00752988">
              <w:rPr>
                <w:rFonts w:eastAsia="Calibri" w:cs="Arial"/>
              </w:rPr>
              <w:t xml:space="preserve"> anos</w:t>
            </w:r>
          </w:p>
        </w:tc>
        <w:tc>
          <w:tcPr>
            <w:tcW w:w="1381" w:type="dxa"/>
            <w:vAlign w:val="center"/>
          </w:tcPr>
          <w:p w:rsidR="00752988" w:rsidRPr="00752988" w:rsidRDefault="00752988" w:rsidP="002C426D">
            <w:pPr>
              <w:jc w:val="center"/>
              <w:rPr>
                <w:rFonts w:eastAsia="Calibri" w:cs="Arial"/>
              </w:rPr>
            </w:pPr>
            <w:r w:rsidRPr="00752988">
              <w:rPr>
                <w:rFonts w:eastAsia="Calibri" w:cs="Arial"/>
              </w:rPr>
              <w:t>Não informa</w:t>
            </w:r>
          </w:p>
        </w:tc>
      </w:tr>
      <w:tr w:rsidR="00752988" w:rsidRPr="00752988" w:rsidTr="00752988">
        <w:trPr>
          <w:jc w:val="center"/>
        </w:trPr>
        <w:tc>
          <w:tcPr>
            <w:tcW w:w="2092" w:type="dxa"/>
            <w:shd w:val="clear" w:color="auto" w:fill="auto"/>
            <w:vAlign w:val="center"/>
          </w:tcPr>
          <w:p w:rsidR="00752988" w:rsidRPr="00752988" w:rsidRDefault="00752988" w:rsidP="002C426D">
            <w:pPr>
              <w:jc w:val="center"/>
              <w:rPr>
                <w:rFonts w:cs="Arial"/>
              </w:rPr>
            </w:pPr>
            <w:r w:rsidRPr="00752988">
              <w:rPr>
                <w:rFonts w:cs="Arial"/>
              </w:rPr>
              <w:t>Campinas – SP</w:t>
            </w:r>
          </w:p>
        </w:tc>
        <w:tc>
          <w:tcPr>
            <w:tcW w:w="2409" w:type="dxa"/>
            <w:shd w:val="clear" w:color="auto" w:fill="auto"/>
            <w:vAlign w:val="center"/>
          </w:tcPr>
          <w:p w:rsidR="00752988" w:rsidRPr="00752988" w:rsidRDefault="00752988" w:rsidP="002C426D">
            <w:pPr>
              <w:jc w:val="center"/>
              <w:rPr>
                <w:rFonts w:eastAsia="Calibri" w:cs="Arial"/>
              </w:rPr>
            </w:pPr>
            <w:r w:rsidRPr="00752988">
              <w:rPr>
                <w:rFonts w:eastAsia="Calibri" w:cs="Arial"/>
              </w:rPr>
              <w:t>Não informa</w:t>
            </w:r>
          </w:p>
        </w:tc>
        <w:tc>
          <w:tcPr>
            <w:tcW w:w="1843" w:type="dxa"/>
            <w:vAlign w:val="center"/>
          </w:tcPr>
          <w:p w:rsidR="00752988" w:rsidRPr="00752988" w:rsidRDefault="00752988" w:rsidP="002C426D">
            <w:pPr>
              <w:jc w:val="center"/>
              <w:rPr>
                <w:rFonts w:eastAsia="Calibri" w:cs="Arial"/>
              </w:rPr>
            </w:pPr>
            <w:r w:rsidRPr="00752988">
              <w:rPr>
                <w:rFonts w:eastAsia="Calibri" w:cs="Arial"/>
              </w:rPr>
              <w:t>Matutino</w:t>
            </w:r>
          </w:p>
        </w:tc>
        <w:tc>
          <w:tcPr>
            <w:tcW w:w="1276" w:type="dxa"/>
            <w:vAlign w:val="center"/>
          </w:tcPr>
          <w:p w:rsidR="00752988" w:rsidRPr="00752988" w:rsidRDefault="00752988" w:rsidP="002C426D">
            <w:pPr>
              <w:jc w:val="center"/>
              <w:rPr>
                <w:rFonts w:eastAsia="Calibri" w:cs="Arial"/>
              </w:rPr>
            </w:pPr>
            <w:proofErr w:type="gramStart"/>
            <w:r w:rsidRPr="00752988">
              <w:rPr>
                <w:rFonts w:eastAsia="Calibri" w:cs="Arial"/>
              </w:rPr>
              <w:t>3</w:t>
            </w:r>
            <w:proofErr w:type="gramEnd"/>
            <w:r w:rsidRPr="00752988">
              <w:rPr>
                <w:rFonts w:eastAsia="Calibri" w:cs="Arial"/>
              </w:rPr>
              <w:t xml:space="preserve"> anos</w:t>
            </w:r>
          </w:p>
        </w:tc>
        <w:tc>
          <w:tcPr>
            <w:tcW w:w="1381" w:type="dxa"/>
            <w:vAlign w:val="center"/>
          </w:tcPr>
          <w:p w:rsidR="00752988" w:rsidRPr="00752988" w:rsidRDefault="00752988" w:rsidP="002C426D">
            <w:pPr>
              <w:jc w:val="center"/>
              <w:rPr>
                <w:rFonts w:eastAsia="Calibri" w:cs="Arial"/>
              </w:rPr>
            </w:pPr>
            <w:r w:rsidRPr="00752988">
              <w:rPr>
                <w:rFonts w:eastAsia="Calibri" w:cs="Arial"/>
              </w:rPr>
              <w:t>Não informa</w:t>
            </w:r>
          </w:p>
        </w:tc>
      </w:tr>
      <w:tr w:rsidR="00752988" w:rsidRPr="00752988" w:rsidTr="00752988">
        <w:trPr>
          <w:jc w:val="center"/>
        </w:trPr>
        <w:tc>
          <w:tcPr>
            <w:tcW w:w="2092" w:type="dxa"/>
            <w:shd w:val="clear" w:color="auto" w:fill="auto"/>
            <w:vAlign w:val="center"/>
          </w:tcPr>
          <w:p w:rsidR="00752988" w:rsidRPr="00752988" w:rsidRDefault="00752988" w:rsidP="002C426D">
            <w:pPr>
              <w:jc w:val="center"/>
              <w:rPr>
                <w:rFonts w:cs="Arial"/>
              </w:rPr>
            </w:pPr>
            <w:r w:rsidRPr="00752988">
              <w:rPr>
                <w:rFonts w:cs="Arial"/>
              </w:rPr>
              <w:t>Bauru – SP</w:t>
            </w:r>
          </w:p>
        </w:tc>
        <w:tc>
          <w:tcPr>
            <w:tcW w:w="2409" w:type="dxa"/>
            <w:shd w:val="clear" w:color="auto" w:fill="auto"/>
            <w:vAlign w:val="center"/>
          </w:tcPr>
          <w:p w:rsidR="00752988" w:rsidRPr="00752988" w:rsidRDefault="00752988" w:rsidP="002C426D">
            <w:pPr>
              <w:jc w:val="center"/>
              <w:rPr>
                <w:rFonts w:eastAsia="Calibri" w:cs="Arial"/>
              </w:rPr>
            </w:pPr>
            <w:r w:rsidRPr="00752988">
              <w:rPr>
                <w:rFonts w:eastAsia="Calibri" w:cs="Arial"/>
              </w:rPr>
              <w:t>50</w:t>
            </w:r>
          </w:p>
        </w:tc>
        <w:tc>
          <w:tcPr>
            <w:tcW w:w="1843" w:type="dxa"/>
            <w:vAlign w:val="center"/>
          </w:tcPr>
          <w:p w:rsidR="00752988" w:rsidRPr="00752988" w:rsidRDefault="00752988" w:rsidP="002C426D">
            <w:pPr>
              <w:jc w:val="center"/>
              <w:rPr>
                <w:rFonts w:eastAsia="Calibri" w:cs="Arial"/>
              </w:rPr>
            </w:pPr>
            <w:r w:rsidRPr="00752988">
              <w:rPr>
                <w:rFonts w:eastAsia="Calibri" w:cs="Arial"/>
              </w:rPr>
              <w:t>Matutino</w:t>
            </w:r>
          </w:p>
        </w:tc>
        <w:tc>
          <w:tcPr>
            <w:tcW w:w="1276" w:type="dxa"/>
            <w:vAlign w:val="center"/>
          </w:tcPr>
          <w:p w:rsidR="00752988" w:rsidRPr="00752988" w:rsidRDefault="00752988" w:rsidP="002C426D">
            <w:pPr>
              <w:jc w:val="center"/>
              <w:rPr>
                <w:rFonts w:eastAsia="Calibri" w:cs="Arial"/>
              </w:rPr>
            </w:pPr>
            <w:proofErr w:type="gramStart"/>
            <w:r w:rsidRPr="00752988">
              <w:rPr>
                <w:rFonts w:eastAsia="Calibri" w:cs="Arial"/>
              </w:rPr>
              <w:t>3</w:t>
            </w:r>
            <w:proofErr w:type="gramEnd"/>
            <w:r w:rsidRPr="00752988">
              <w:rPr>
                <w:rFonts w:eastAsia="Calibri" w:cs="Arial"/>
              </w:rPr>
              <w:t xml:space="preserve"> anos</w:t>
            </w:r>
          </w:p>
        </w:tc>
        <w:tc>
          <w:tcPr>
            <w:tcW w:w="1381" w:type="dxa"/>
            <w:vAlign w:val="center"/>
          </w:tcPr>
          <w:p w:rsidR="00752988" w:rsidRPr="00752988" w:rsidRDefault="00752988" w:rsidP="002C426D">
            <w:pPr>
              <w:jc w:val="center"/>
              <w:rPr>
                <w:rFonts w:eastAsia="Calibri" w:cs="Arial"/>
              </w:rPr>
            </w:pPr>
            <w:r w:rsidRPr="00752988">
              <w:rPr>
                <w:rFonts w:eastAsia="Calibri" w:cs="Arial"/>
              </w:rPr>
              <w:t>2.560 h</w:t>
            </w:r>
          </w:p>
        </w:tc>
      </w:tr>
      <w:tr w:rsidR="00752988" w:rsidRPr="00752988" w:rsidTr="00752988">
        <w:trPr>
          <w:jc w:val="center"/>
        </w:trPr>
        <w:tc>
          <w:tcPr>
            <w:tcW w:w="2092" w:type="dxa"/>
            <w:shd w:val="clear" w:color="auto" w:fill="auto"/>
            <w:vAlign w:val="center"/>
          </w:tcPr>
          <w:p w:rsidR="00752988" w:rsidRPr="00752988" w:rsidRDefault="00752988" w:rsidP="002C426D">
            <w:pPr>
              <w:jc w:val="center"/>
              <w:rPr>
                <w:rFonts w:cs="Arial"/>
              </w:rPr>
            </w:pPr>
            <w:r w:rsidRPr="00752988">
              <w:rPr>
                <w:rFonts w:cs="Arial"/>
              </w:rPr>
              <w:t>Londrina – PR</w:t>
            </w:r>
          </w:p>
        </w:tc>
        <w:tc>
          <w:tcPr>
            <w:tcW w:w="2409" w:type="dxa"/>
            <w:shd w:val="clear" w:color="auto" w:fill="auto"/>
            <w:vAlign w:val="center"/>
          </w:tcPr>
          <w:p w:rsidR="00752988" w:rsidRPr="00752988" w:rsidRDefault="00752988" w:rsidP="002C426D">
            <w:pPr>
              <w:jc w:val="center"/>
              <w:rPr>
                <w:rFonts w:eastAsia="Calibri" w:cs="Arial"/>
              </w:rPr>
            </w:pPr>
            <w:r w:rsidRPr="00752988">
              <w:rPr>
                <w:rFonts w:eastAsia="Calibri" w:cs="Arial"/>
              </w:rPr>
              <w:t>Não informa</w:t>
            </w:r>
          </w:p>
        </w:tc>
        <w:tc>
          <w:tcPr>
            <w:tcW w:w="1843" w:type="dxa"/>
            <w:vAlign w:val="center"/>
          </w:tcPr>
          <w:p w:rsidR="00752988" w:rsidRPr="00752988" w:rsidRDefault="00752988" w:rsidP="002C426D">
            <w:pPr>
              <w:jc w:val="center"/>
              <w:rPr>
                <w:rFonts w:eastAsia="Calibri" w:cs="Arial"/>
              </w:rPr>
            </w:pPr>
            <w:r w:rsidRPr="00752988">
              <w:rPr>
                <w:rFonts w:eastAsia="Calibri" w:cs="Arial"/>
              </w:rPr>
              <w:t>Matutino e Noturno</w:t>
            </w:r>
          </w:p>
        </w:tc>
        <w:tc>
          <w:tcPr>
            <w:tcW w:w="1276" w:type="dxa"/>
            <w:vAlign w:val="center"/>
          </w:tcPr>
          <w:p w:rsidR="00752988" w:rsidRPr="00752988" w:rsidRDefault="00752988" w:rsidP="002C426D">
            <w:pPr>
              <w:jc w:val="center"/>
              <w:rPr>
                <w:rFonts w:eastAsia="Calibri" w:cs="Arial"/>
              </w:rPr>
            </w:pPr>
            <w:proofErr w:type="gramStart"/>
            <w:r w:rsidRPr="00752988">
              <w:rPr>
                <w:rFonts w:eastAsia="Calibri" w:cs="Arial"/>
              </w:rPr>
              <w:t>3</w:t>
            </w:r>
            <w:proofErr w:type="gramEnd"/>
            <w:r w:rsidRPr="00752988">
              <w:rPr>
                <w:rFonts w:eastAsia="Calibri" w:cs="Arial"/>
              </w:rPr>
              <w:t xml:space="preserve"> anos</w:t>
            </w:r>
          </w:p>
        </w:tc>
        <w:tc>
          <w:tcPr>
            <w:tcW w:w="1381" w:type="dxa"/>
            <w:vAlign w:val="center"/>
          </w:tcPr>
          <w:p w:rsidR="00752988" w:rsidRPr="00752988" w:rsidRDefault="00752988" w:rsidP="002C426D">
            <w:pPr>
              <w:jc w:val="center"/>
              <w:rPr>
                <w:rFonts w:eastAsia="Calibri" w:cs="Arial"/>
              </w:rPr>
            </w:pPr>
            <w:r w:rsidRPr="00752988">
              <w:rPr>
                <w:rFonts w:eastAsia="Calibri" w:cs="Arial"/>
              </w:rPr>
              <w:t>2.740 h</w:t>
            </w:r>
          </w:p>
        </w:tc>
      </w:tr>
      <w:tr w:rsidR="00752988" w:rsidRPr="00752988" w:rsidTr="00752988">
        <w:trPr>
          <w:jc w:val="center"/>
        </w:trPr>
        <w:tc>
          <w:tcPr>
            <w:tcW w:w="2092" w:type="dxa"/>
            <w:shd w:val="clear" w:color="auto" w:fill="auto"/>
            <w:vAlign w:val="center"/>
          </w:tcPr>
          <w:p w:rsidR="00752988" w:rsidRPr="00752988" w:rsidRDefault="00752988" w:rsidP="002C426D">
            <w:pPr>
              <w:jc w:val="center"/>
              <w:rPr>
                <w:rFonts w:cs="Arial"/>
              </w:rPr>
            </w:pPr>
            <w:r w:rsidRPr="00752988">
              <w:rPr>
                <w:rFonts w:cs="Arial"/>
              </w:rPr>
              <w:t>Caxias do Sul - RS</w:t>
            </w:r>
          </w:p>
        </w:tc>
        <w:tc>
          <w:tcPr>
            <w:tcW w:w="2409" w:type="dxa"/>
            <w:shd w:val="clear" w:color="auto" w:fill="auto"/>
            <w:vAlign w:val="center"/>
          </w:tcPr>
          <w:p w:rsidR="00752988" w:rsidRPr="00752988" w:rsidRDefault="00752988" w:rsidP="002C426D">
            <w:pPr>
              <w:jc w:val="center"/>
              <w:rPr>
                <w:rFonts w:eastAsia="Calibri" w:cs="Arial"/>
              </w:rPr>
            </w:pPr>
            <w:r w:rsidRPr="00752988">
              <w:rPr>
                <w:rFonts w:eastAsia="Calibri" w:cs="Arial"/>
              </w:rPr>
              <w:t>Não informa</w:t>
            </w:r>
          </w:p>
        </w:tc>
        <w:tc>
          <w:tcPr>
            <w:tcW w:w="1843" w:type="dxa"/>
            <w:vAlign w:val="center"/>
          </w:tcPr>
          <w:p w:rsidR="00752988" w:rsidRPr="00752988" w:rsidRDefault="00752988" w:rsidP="002C426D">
            <w:pPr>
              <w:jc w:val="center"/>
              <w:rPr>
                <w:rFonts w:eastAsia="Calibri" w:cs="Arial"/>
              </w:rPr>
            </w:pPr>
            <w:r w:rsidRPr="00752988">
              <w:rPr>
                <w:rFonts w:eastAsia="Calibri" w:cs="Arial"/>
              </w:rPr>
              <w:t>Noturno</w:t>
            </w:r>
          </w:p>
        </w:tc>
        <w:tc>
          <w:tcPr>
            <w:tcW w:w="1276" w:type="dxa"/>
            <w:vAlign w:val="center"/>
          </w:tcPr>
          <w:p w:rsidR="00752988" w:rsidRPr="00752988" w:rsidRDefault="00752988" w:rsidP="002C426D">
            <w:pPr>
              <w:jc w:val="center"/>
              <w:rPr>
                <w:rFonts w:eastAsia="Calibri" w:cs="Arial"/>
              </w:rPr>
            </w:pPr>
            <w:r w:rsidRPr="00752988">
              <w:rPr>
                <w:rFonts w:eastAsia="Calibri" w:cs="Arial"/>
              </w:rPr>
              <w:t>Variável</w:t>
            </w:r>
          </w:p>
        </w:tc>
        <w:tc>
          <w:tcPr>
            <w:tcW w:w="1381" w:type="dxa"/>
            <w:vAlign w:val="center"/>
          </w:tcPr>
          <w:p w:rsidR="00752988" w:rsidRPr="00752988" w:rsidRDefault="00752988" w:rsidP="002C426D">
            <w:pPr>
              <w:jc w:val="center"/>
              <w:rPr>
                <w:rFonts w:eastAsia="Calibri" w:cs="Arial"/>
              </w:rPr>
            </w:pPr>
            <w:r w:rsidRPr="00752988">
              <w:rPr>
                <w:rFonts w:eastAsia="Calibri" w:cs="Arial"/>
              </w:rPr>
              <w:t>2.660 h</w:t>
            </w:r>
          </w:p>
        </w:tc>
      </w:tr>
      <w:tr w:rsidR="00752988" w:rsidRPr="00752988" w:rsidTr="00752988">
        <w:trPr>
          <w:jc w:val="center"/>
        </w:trPr>
        <w:tc>
          <w:tcPr>
            <w:tcW w:w="2092" w:type="dxa"/>
            <w:shd w:val="clear" w:color="auto" w:fill="auto"/>
            <w:vAlign w:val="center"/>
          </w:tcPr>
          <w:p w:rsidR="00752988" w:rsidRPr="00752988" w:rsidRDefault="00752988" w:rsidP="002C426D">
            <w:pPr>
              <w:jc w:val="center"/>
              <w:rPr>
                <w:rFonts w:cs="Arial"/>
              </w:rPr>
            </w:pPr>
            <w:r w:rsidRPr="00752988">
              <w:rPr>
                <w:rFonts w:cs="Arial"/>
              </w:rPr>
              <w:t>Cruz Alta – RS</w:t>
            </w:r>
          </w:p>
        </w:tc>
        <w:tc>
          <w:tcPr>
            <w:tcW w:w="2409" w:type="dxa"/>
            <w:shd w:val="clear" w:color="auto" w:fill="auto"/>
            <w:vAlign w:val="center"/>
          </w:tcPr>
          <w:p w:rsidR="00752988" w:rsidRPr="00752988" w:rsidRDefault="00752988" w:rsidP="002C426D">
            <w:pPr>
              <w:jc w:val="center"/>
              <w:rPr>
                <w:rFonts w:eastAsia="Calibri" w:cs="Arial"/>
              </w:rPr>
            </w:pPr>
            <w:r w:rsidRPr="00752988">
              <w:rPr>
                <w:rFonts w:eastAsia="Calibri" w:cs="Arial"/>
              </w:rPr>
              <w:t>30</w:t>
            </w:r>
          </w:p>
        </w:tc>
        <w:tc>
          <w:tcPr>
            <w:tcW w:w="1843" w:type="dxa"/>
            <w:vAlign w:val="center"/>
          </w:tcPr>
          <w:p w:rsidR="00752988" w:rsidRPr="00752988" w:rsidRDefault="00752988" w:rsidP="002C426D">
            <w:pPr>
              <w:jc w:val="center"/>
              <w:rPr>
                <w:rFonts w:eastAsia="Calibri" w:cs="Arial"/>
              </w:rPr>
            </w:pPr>
            <w:r w:rsidRPr="00752988">
              <w:rPr>
                <w:rFonts w:eastAsia="Calibri" w:cs="Arial"/>
              </w:rPr>
              <w:t>Noturno</w:t>
            </w:r>
          </w:p>
        </w:tc>
        <w:tc>
          <w:tcPr>
            <w:tcW w:w="1276" w:type="dxa"/>
            <w:vAlign w:val="center"/>
          </w:tcPr>
          <w:p w:rsidR="00752988" w:rsidRPr="00752988" w:rsidRDefault="00752988" w:rsidP="002C426D">
            <w:pPr>
              <w:jc w:val="center"/>
              <w:rPr>
                <w:rFonts w:eastAsia="Calibri" w:cs="Arial"/>
              </w:rPr>
            </w:pPr>
            <w:proofErr w:type="gramStart"/>
            <w:r w:rsidRPr="00752988">
              <w:rPr>
                <w:rFonts w:eastAsia="Calibri" w:cs="Arial"/>
              </w:rPr>
              <w:t>3</w:t>
            </w:r>
            <w:proofErr w:type="gramEnd"/>
            <w:r w:rsidRPr="00752988">
              <w:rPr>
                <w:rFonts w:eastAsia="Calibri" w:cs="Arial"/>
              </w:rPr>
              <w:t xml:space="preserve"> anos</w:t>
            </w:r>
          </w:p>
        </w:tc>
        <w:tc>
          <w:tcPr>
            <w:tcW w:w="1381" w:type="dxa"/>
            <w:vAlign w:val="center"/>
          </w:tcPr>
          <w:p w:rsidR="00752988" w:rsidRPr="00752988" w:rsidRDefault="00752988" w:rsidP="002C426D">
            <w:pPr>
              <w:jc w:val="center"/>
              <w:rPr>
                <w:rFonts w:eastAsia="Calibri" w:cs="Arial"/>
              </w:rPr>
            </w:pPr>
            <w:r w:rsidRPr="00752988">
              <w:rPr>
                <w:rFonts w:eastAsia="Calibri" w:cs="Arial"/>
              </w:rPr>
              <w:t>2.510 h</w:t>
            </w:r>
          </w:p>
        </w:tc>
      </w:tr>
      <w:tr w:rsidR="00752988" w:rsidRPr="00752988" w:rsidTr="00752988">
        <w:trPr>
          <w:jc w:val="center"/>
        </w:trPr>
        <w:tc>
          <w:tcPr>
            <w:tcW w:w="2092" w:type="dxa"/>
            <w:tcBorders>
              <w:bottom w:val="single" w:sz="4" w:space="0" w:color="auto"/>
            </w:tcBorders>
            <w:shd w:val="clear" w:color="auto" w:fill="auto"/>
            <w:vAlign w:val="center"/>
          </w:tcPr>
          <w:p w:rsidR="00752988" w:rsidRPr="00752988" w:rsidRDefault="00752988" w:rsidP="002C426D">
            <w:pPr>
              <w:jc w:val="center"/>
              <w:rPr>
                <w:rFonts w:cs="Arial"/>
              </w:rPr>
            </w:pPr>
            <w:r w:rsidRPr="00752988">
              <w:rPr>
                <w:rFonts w:cs="Arial"/>
              </w:rPr>
              <w:t>Porto Alegre – RS</w:t>
            </w:r>
          </w:p>
        </w:tc>
        <w:tc>
          <w:tcPr>
            <w:tcW w:w="2409" w:type="dxa"/>
            <w:tcBorders>
              <w:bottom w:val="single" w:sz="4" w:space="0" w:color="auto"/>
            </w:tcBorders>
            <w:shd w:val="clear" w:color="auto" w:fill="auto"/>
            <w:vAlign w:val="center"/>
          </w:tcPr>
          <w:p w:rsidR="00752988" w:rsidRPr="00752988" w:rsidRDefault="00752988" w:rsidP="002C426D">
            <w:pPr>
              <w:jc w:val="center"/>
              <w:rPr>
                <w:rFonts w:eastAsia="Calibri" w:cs="Arial"/>
              </w:rPr>
            </w:pPr>
            <w:r w:rsidRPr="00752988">
              <w:rPr>
                <w:rFonts w:eastAsia="Calibri" w:cs="Arial"/>
              </w:rPr>
              <w:t>60 (não estipulou se por turno ou não)</w:t>
            </w:r>
          </w:p>
        </w:tc>
        <w:tc>
          <w:tcPr>
            <w:tcW w:w="1843" w:type="dxa"/>
            <w:tcBorders>
              <w:bottom w:val="single" w:sz="4" w:space="0" w:color="auto"/>
            </w:tcBorders>
            <w:vAlign w:val="center"/>
          </w:tcPr>
          <w:p w:rsidR="00752988" w:rsidRPr="00752988" w:rsidRDefault="00752988" w:rsidP="002C426D">
            <w:pPr>
              <w:jc w:val="center"/>
              <w:rPr>
                <w:rFonts w:eastAsia="Calibri" w:cs="Arial"/>
              </w:rPr>
            </w:pPr>
            <w:r w:rsidRPr="00752988">
              <w:rPr>
                <w:rFonts w:eastAsia="Calibri" w:cs="Arial"/>
              </w:rPr>
              <w:t xml:space="preserve">Matutino, Vespertino e </w:t>
            </w:r>
            <w:proofErr w:type="gramStart"/>
            <w:r w:rsidRPr="00752988">
              <w:rPr>
                <w:rFonts w:eastAsia="Calibri" w:cs="Arial"/>
              </w:rPr>
              <w:t>Noturno</w:t>
            </w:r>
            <w:proofErr w:type="gramEnd"/>
          </w:p>
        </w:tc>
        <w:tc>
          <w:tcPr>
            <w:tcW w:w="1276" w:type="dxa"/>
            <w:tcBorders>
              <w:bottom w:val="single" w:sz="4" w:space="0" w:color="auto"/>
            </w:tcBorders>
            <w:vAlign w:val="center"/>
          </w:tcPr>
          <w:p w:rsidR="00752988" w:rsidRPr="00752988" w:rsidRDefault="00752988" w:rsidP="002C426D">
            <w:pPr>
              <w:jc w:val="center"/>
              <w:rPr>
                <w:rFonts w:eastAsia="Calibri" w:cs="Arial"/>
              </w:rPr>
            </w:pPr>
            <w:proofErr w:type="gramStart"/>
            <w:r w:rsidRPr="00752988">
              <w:rPr>
                <w:rFonts w:eastAsia="Calibri" w:cs="Arial"/>
              </w:rPr>
              <w:t>3</w:t>
            </w:r>
            <w:proofErr w:type="gramEnd"/>
            <w:r w:rsidRPr="00752988">
              <w:rPr>
                <w:rFonts w:eastAsia="Calibri" w:cs="Arial"/>
              </w:rPr>
              <w:t xml:space="preserve"> anos</w:t>
            </w:r>
          </w:p>
        </w:tc>
        <w:tc>
          <w:tcPr>
            <w:tcW w:w="1381" w:type="dxa"/>
            <w:tcBorders>
              <w:bottom w:val="single" w:sz="4" w:space="0" w:color="auto"/>
            </w:tcBorders>
            <w:vAlign w:val="center"/>
          </w:tcPr>
          <w:p w:rsidR="00752988" w:rsidRPr="00752988" w:rsidRDefault="00752988" w:rsidP="002C426D">
            <w:pPr>
              <w:jc w:val="center"/>
              <w:rPr>
                <w:rFonts w:eastAsia="Calibri" w:cs="Arial"/>
              </w:rPr>
            </w:pPr>
            <w:r w:rsidRPr="00752988">
              <w:rPr>
                <w:rFonts w:eastAsia="Calibri" w:cs="Arial"/>
              </w:rPr>
              <w:t>3.030 h</w:t>
            </w:r>
          </w:p>
        </w:tc>
      </w:tr>
      <w:tr w:rsidR="00752988" w:rsidRPr="00752988" w:rsidTr="00752988">
        <w:trPr>
          <w:jc w:val="center"/>
        </w:trPr>
        <w:tc>
          <w:tcPr>
            <w:tcW w:w="2092" w:type="dxa"/>
            <w:tcBorders>
              <w:top w:val="single" w:sz="4" w:space="0" w:color="auto"/>
              <w:bottom w:val="single" w:sz="4" w:space="0" w:color="auto"/>
            </w:tcBorders>
            <w:shd w:val="clear" w:color="auto" w:fill="auto"/>
            <w:vAlign w:val="center"/>
          </w:tcPr>
          <w:p w:rsidR="00752988" w:rsidRPr="00752988" w:rsidRDefault="00752988" w:rsidP="002C426D">
            <w:pPr>
              <w:jc w:val="center"/>
              <w:rPr>
                <w:rFonts w:eastAsia="Calibri" w:cs="Arial"/>
                <w:b/>
              </w:rPr>
            </w:pPr>
            <w:r w:rsidRPr="00752988">
              <w:rPr>
                <w:rFonts w:eastAsia="Calibri" w:cs="Arial"/>
                <w:b/>
              </w:rPr>
              <w:t>TOTAL</w:t>
            </w:r>
          </w:p>
        </w:tc>
        <w:tc>
          <w:tcPr>
            <w:tcW w:w="2409" w:type="dxa"/>
            <w:tcBorders>
              <w:top w:val="single" w:sz="4" w:space="0" w:color="auto"/>
              <w:bottom w:val="single" w:sz="4" w:space="0" w:color="auto"/>
            </w:tcBorders>
            <w:shd w:val="clear" w:color="auto" w:fill="auto"/>
            <w:vAlign w:val="center"/>
          </w:tcPr>
          <w:p w:rsidR="00752988" w:rsidRPr="00752988" w:rsidRDefault="00752988" w:rsidP="002C426D">
            <w:pPr>
              <w:jc w:val="center"/>
              <w:rPr>
                <w:rFonts w:eastAsia="Calibri" w:cs="Arial"/>
                <w:b/>
              </w:rPr>
            </w:pPr>
            <w:r w:rsidRPr="00752988">
              <w:rPr>
                <w:rFonts w:eastAsia="Calibri" w:cs="Arial"/>
                <w:b/>
              </w:rPr>
              <w:t>910 (*)</w:t>
            </w:r>
          </w:p>
        </w:tc>
        <w:tc>
          <w:tcPr>
            <w:tcW w:w="1843" w:type="dxa"/>
            <w:tcBorders>
              <w:top w:val="single" w:sz="4" w:space="0" w:color="auto"/>
              <w:bottom w:val="single" w:sz="4" w:space="0" w:color="auto"/>
            </w:tcBorders>
            <w:vAlign w:val="center"/>
          </w:tcPr>
          <w:p w:rsidR="00752988" w:rsidRPr="00752988" w:rsidRDefault="00752988" w:rsidP="002C426D">
            <w:pPr>
              <w:jc w:val="center"/>
              <w:rPr>
                <w:rFonts w:eastAsia="Calibri" w:cs="Arial"/>
                <w:b/>
              </w:rPr>
            </w:pPr>
            <w:r w:rsidRPr="00752988">
              <w:rPr>
                <w:rFonts w:eastAsia="Calibri" w:cs="Arial"/>
                <w:b/>
              </w:rPr>
              <w:t>-</w:t>
            </w:r>
          </w:p>
        </w:tc>
        <w:tc>
          <w:tcPr>
            <w:tcW w:w="1276" w:type="dxa"/>
            <w:tcBorders>
              <w:top w:val="single" w:sz="4" w:space="0" w:color="auto"/>
              <w:bottom w:val="single" w:sz="4" w:space="0" w:color="auto"/>
            </w:tcBorders>
            <w:vAlign w:val="center"/>
          </w:tcPr>
          <w:p w:rsidR="00752988" w:rsidRPr="00752988" w:rsidRDefault="00752988" w:rsidP="002C426D">
            <w:pPr>
              <w:jc w:val="center"/>
              <w:rPr>
                <w:rFonts w:eastAsia="Calibri" w:cs="Arial"/>
                <w:b/>
              </w:rPr>
            </w:pPr>
            <w:r w:rsidRPr="00752988">
              <w:rPr>
                <w:rFonts w:eastAsia="Calibri" w:cs="Arial"/>
                <w:b/>
              </w:rPr>
              <w:t>-</w:t>
            </w:r>
          </w:p>
        </w:tc>
        <w:tc>
          <w:tcPr>
            <w:tcW w:w="1381" w:type="dxa"/>
            <w:tcBorders>
              <w:top w:val="single" w:sz="4" w:space="0" w:color="auto"/>
              <w:bottom w:val="single" w:sz="4" w:space="0" w:color="auto"/>
            </w:tcBorders>
            <w:vAlign w:val="center"/>
          </w:tcPr>
          <w:p w:rsidR="00752988" w:rsidRPr="00752988" w:rsidRDefault="00752988" w:rsidP="002C426D">
            <w:pPr>
              <w:jc w:val="center"/>
              <w:rPr>
                <w:rFonts w:eastAsia="Calibri" w:cs="Arial"/>
                <w:b/>
              </w:rPr>
            </w:pPr>
            <w:r w:rsidRPr="00752988">
              <w:rPr>
                <w:rFonts w:eastAsia="Calibri" w:cs="Arial"/>
                <w:b/>
              </w:rPr>
              <w:t>-</w:t>
            </w:r>
          </w:p>
        </w:tc>
      </w:tr>
    </w:tbl>
    <w:p w:rsidR="00752988" w:rsidRPr="00752988" w:rsidRDefault="00752988" w:rsidP="00752988">
      <w:pPr>
        <w:rPr>
          <w:rFonts w:cs="Arial"/>
        </w:rPr>
      </w:pPr>
      <w:r w:rsidRPr="006F6A84">
        <w:rPr>
          <w:rFonts w:cs="Arial"/>
          <w:b/>
        </w:rPr>
        <w:t>Fonte:</w:t>
      </w:r>
      <w:r w:rsidRPr="00752988">
        <w:rPr>
          <w:rFonts w:cs="Arial"/>
        </w:rPr>
        <w:t xml:space="preserve"> o autor, baseado no </w:t>
      </w:r>
      <w:proofErr w:type="spellStart"/>
      <w:r w:rsidRPr="00171DE4">
        <w:rPr>
          <w:rFonts w:cs="Arial"/>
        </w:rPr>
        <w:t>e-MEC</w:t>
      </w:r>
      <w:proofErr w:type="spellEnd"/>
      <w:r w:rsidRPr="00752988">
        <w:rPr>
          <w:rFonts w:cs="Arial"/>
          <w:i/>
        </w:rPr>
        <w:t xml:space="preserve"> </w:t>
      </w:r>
      <w:r w:rsidRPr="00752988">
        <w:rPr>
          <w:rFonts w:cs="Arial"/>
        </w:rPr>
        <w:t>(2019</w:t>
      </w:r>
      <w:proofErr w:type="gramStart"/>
      <w:r w:rsidRPr="00752988">
        <w:rPr>
          <w:rFonts w:cs="Arial"/>
        </w:rPr>
        <w:t>)</w:t>
      </w:r>
      <w:proofErr w:type="gramEnd"/>
    </w:p>
    <w:p w:rsidR="00752988" w:rsidRPr="007624B3" w:rsidRDefault="00752988" w:rsidP="00752988">
      <w:pPr>
        <w:rPr>
          <w:rFonts w:cs="Arial"/>
          <w:sz w:val="18"/>
        </w:rPr>
      </w:pPr>
      <w:r w:rsidRPr="007624B3">
        <w:rPr>
          <w:rFonts w:cs="Arial"/>
          <w:sz w:val="18"/>
        </w:rPr>
        <w:t xml:space="preserve">(*) Para </w:t>
      </w:r>
      <w:proofErr w:type="gramStart"/>
      <w:r w:rsidRPr="007624B3">
        <w:rPr>
          <w:rFonts w:cs="Arial"/>
          <w:sz w:val="18"/>
        </w:rPr>
        <w:t>os não</w:t>
      </w:r>
      <w:proofErr w:type="gramEnd"/>
      <w:r w:rsidRPr="007624B3">
        <w:rPr>
          <w:rFonts w:cs="Arial"/>
          <w:sz w:val="18"/>
        </w:rPr>
        <w:t xml:space="preserve"> informados, estipulou-se uma média de 50 alunos; e</w:t>
      </w:r>
    </w:p>
    <w:p w:rsidR="00752988" w:rsidRPr="007624B3" w:rsidRDefault="00752988" w:rsidP="00752988">
      <w:pPr>
        <w:rPr>
          <w:rFonts w:cs="Arial"/>
          <w:sz w:val="18"/>
        </w:rPr>
      </w:pPr>
      <w:r w:rsidRPr="007624B3">
        <w:rPr>
          <w:rFonts w:eastAsia="Calibri" w:cs="Arial"/>
          <w:sz w:val="18"/>
        </w:rPr>
        <w:t xml:space="preserve">(**) Apesar de constar do Cadastro </w:t>
      </w:r>
      <w:proofErr w:type="spellStart"/>
      <w:r w:rsidRPr="006B30CF">
        <w:rPr>
          <w:rFonts w:eastAsia="Calibri" w:cs="Arial"/>
          <w:sz w:val="18"/>
        </w:rPr>
        <w:t>e-MEC</w:t>
      </w:r>
      <w:proofErr w:type="spellEnd"/>
      <w:r w:rsidRPr="007624B3">
        <w:rPr>
          <w:rFonts w:eastAsia="Calibri" w:cs="Arial"/>
          <w:sz w:val="18"/>
        </w:rPr>
        <w:t>, no site da Universidade não há qualquer referência ao CCA.</w:t>
      </w:r>
    </w:p>
    <w:p w:rsidR="00752988" w:rsidRPr="00752988" w:rsidRDefault="00752988" w:rsidP="00752988">
      <w:pPr>
        <w:ind w:firstLine="1134"/>
        <w:rPr>
          <w:rFonts w:cs="Arial"/>
        </w:rPr>
      </w:pPr>
    </w:p>
    <w:p w:rsidR="00586709" w:rsidRDefault="00586709" w:rsidP="00586709">
      <w:pPr>
        <w:pStyle w:val="Sinespaciado"/>
      </w:pPr>
      <w:r>
        <w:t>Primeiramente, abordando-se a questão das vagas da Tabela 1, verifica-se uma dificuldade na maioria dos sites das IES em acessar essa informação. Somente duas IES trazem essa informação no site, duas no Projeto Pedagógico (PP) e uma nas informações sobre vestibular. Para as outras, não há a disponibilidade dessa informação, pois nem o PP está disponível e não há acesso a informações sobre vestibular. Ainda sobre as vagas, vê-se que o total de vagas (910) não é uma quantidade muito alta, mas ao mesmo tempo haveria a necessidade de se estudar a demanda pelos cursos e a infraestrutura das IES para apontar se estão suficientes e nos seus limites.</w:t>
      </w:r>
    </w:p>
    <w:p w:rsidR="00586709" w:rsidRDefault="00586709" w:rsidP="00586709">
      <w:pPr>
        <w:pStyle w:val="Sinespaciado"/>
      </w:pPr>
      <w:r>
        <w:t>No tocante aos períodos, verifica-se a disponibilidade de que os estudantes desenvolvam uma atividade paralela, tendo em vista que nenhuma das IES tem a previsão de períodos integrais.</w:t>
      </w:r>
    </w:p>
    <w:p w:rsidR="00586709" w:rsidRDefault="00586709" w:rsidP="00586709">
      <w:pPr>
        <w:pStyle w:val="Sinespaciado"/>
      </w:pPr>
      <w:r>
        <w:t>Quanto à duração, destacam-se as IES de Goiânia e Rio de Janeiro (</w:t>
      </w:r>
      <w:proofErr w:type="gramStart"/>
      <w:r>
        <w:t>4</w:t>
      </w:r>
      <w:proofErr w:type="gramEnd"/>
      <w:r>
        <w:t xml:space="preserve"> anos) e a de Belo Horizonte (3,5 anos) dentro do grupo, pois todas as outras 8 IES conduzem seus cursos em 6 semestres ou 3 anos, com exceção do curso de Caxias do Sul, que permite ao aluno escolher quantos dias na semana frequentará o período noturno. Além disso, </w:t>
      </w:r>
      <w:r w:rsidR="00831C1A">
        <w:t>ressaltam-se</w:t>
      </w:r>
      <w:r>
        <w:t xml:space="preserve"> as IES de Uberlândia e Cuiabá que não </w:t>
      </w:r>
      <w:r>
        <w:lastRenderedPageBreak/>
        <w:t xml:space="preserve">possuem nenhuma informação sobre o CCA em seus sites, mesmo tendo o Cadastro </w:t>
      </w:r>
      <w:proofErr w:type="spellStart"/>
      <w:r>
        <w:t>e-MEC</w:t>
      </w:r>
      <w:proofErr w:type="spellEnd"/>
      <w:r>
        <w:t xml:space="preserve"> relacionado essas instituições.</w:t>
      </w:r>
    </w:p>
    <w:p w:rsidR="00752988" w:rsidRDefault="00586709" w:rsidP="00586709">
      <w:pPr>
        <w:pStyle w:val="Sinespaciado"/>
      </w:pPr>
      <w:r>
        <w:t>Em relação à carga horária, todas as IES cumprem o previsto na Resolução nº 3 de no mínimo 2.500 horas curriculares para cada habilitação, com exceção da IES de Recife, que veicula em seu site a informação de 2.400 horas totais de curso.</w:t>
      </w:r>
    </w:p>
    <w:p w:rsidR="006F6A84" w:rsidRDefault="006F6A84" w:rsidP="006F6A84">
      <w:pPr>
        <w:pStyle w:val="FPCTextonormal"/>
        <w:spacing w:before="0" w:after="0"/>
        <w:rPr>
          <w:rFonts w:ascii="Times New Roman" w:hAnsi="Times New Roman"/>
        </w:rPr>
      </w:pPr>
    </w:p>
    <w:p w:rsidR="006F6A84" w:rsidRPr="00752988" w:rsidRDefault="006F6A84" w:rsidP="00DF3767">
      <w:pPr>
        <w:pStyle w:val="Prrafodelista"/>
        <w:numPr>
          <w:ilvl w:val="2"/>
          <w:numId w:val="1"/>
        </w:numPr>
        <w:jc w:val="left"/>
        <w:rPr>
          <w:b/>
          <w:sz w:val="24"/>
          <w:szCs w:val="24"/>
        </w:rPr>
      </w:pPr>
      <w:r w:rsidRPr="006F6A84">
        <w:rPr>
          <w:b/>
          <w:sz w:val="24"/>
          <w:szCs w:val="24"/>
        </w:rPr>
        <w:t>Dados de Avaliação dos CCA no Brasil</w:t>
      </w:r>
    </w:p>
    <w:p w:rsidR="006F6A84" w:rsidRPr="00074EB6" w:rsidRDefault="006F6A84" w:rsidP="006F6A84">
      <w:pPr>
        <w:pStyle w:val="FPCTextonormal"/>
        <w:spacing w:before="0" w:after="0"/>
        <w:rPr>
          <w:rFonts w:ascii="Times New Roman" w:hAnsi="Times New Roman"/>
        </w:rPr>
      </w:pPr>
    </w:p>
    <w:p w:rsidR="00586709" w:rsidRDefault="00586709" w:rsidP="00586709">
      <w:pPr>
        <w:pStyle w:val="Sinespaciado"/>
      </w:pPr>
      <w:r>
        <w:t>Os Indicadores de Qualidade da Educação Superior (IQES), expressos em escala contínua e em cinco níveis, são ligados ao ciclo do ENADE e importantes instrumentos de avaliação de todos os cursos no Brasil, inclusive os bacharelados aeronáuticos abordados neste artigo (INEP, 2019).</w:t>
      </w:r>
    </w:p>
    <w:p w:rsidR="00586709" w:rsidRDefault="00586709" w:rsidP="00586709">
      <w:pPr>
        <w:pStyle w:val="Sinespaciado"/>
      </w:pPr>
      <w:r>
        <w:t>Ainda em relação aos IQES, tem-se que os índices são medidos conforme o ciclo avaliativo do ENADE (que se divide em anos I a III, conforme áreas pré-definidas pelo INEP), e possuem as seguintes definições:</w:t>
      </w:r>
    </w:p>
    <w:p w:rsidR="00586709" w:rsidRDefault="00586709" w:rsidP="00137055">
      <w:pPr>
        <w:pStyle w:val="Sinespaciado"/>
        <w:ind w:firstLine="0"/>
      </w:pPr>
      <w:r>
        <w:t>- CC (Conceito do Curso): nota final de qualidade dada pelo INEP a partir de uma avaliação presencial dos cursos pelos técnicos do MEC e pode confirmar ou modificar o CPC;</w:t>
      </w:r>
    </w:p>
    <w:p w:rsidR="00586709" w:rsidRDefault="00586709" w:rsidP="00137055">
      <w:pPr>
        <w:pStyle w:val="Sinespaciado"/>
        <w:ind w:firstLine="0"/>
      </w:pPr>
      <w:r>
        <w:t>- CPC (Conceito Preliminar de Curso): avalia, no ano seguinte ao da realização do ENADE, baseado no desempenho dos estudantes, no valor agregado pelo processo formativo e no corpo docente, infraestrutura e recursos didático-pedagógicos;</w:t>
      </w:r>
    </w:p>
    <w:p w:rsidR="00586709" w:rsidRDefault="00586709" w:rsidP="00137055">
      <w:pPr>
        <w:pStyle w:val="Sinespaciado"/>
        <w:ind w:firstLine="0"/>
      </w:pPr>
      <w:r>
        <w:t xml:space="preserve">- ENADE (Exame Nacional de Desempenho dos Estudantes): avalia o rendimento dos concluintes dos cursos de graduação em relação aos conteúdos programáticos previstos nos cursos, competências e habilidades à formação geral e profissional e atualidades brasileira e mundial; </w:t>
      </w:r>
      <w:proofErr w:type="gramStart"/>
      <w:r>
        <w:t>e</w:t>
      </w:r>
      <w:proofErr w:type="gramEnd"/>
    </w:p>
    <w:p w:rsidR="00586709" w:rsidRDefault="00586709" w:rsidP="00137055">
      <w:pPr>
        <w:pStyle w:val="Sinespaciado"/>
        <w:ind w:firstLine="0"/>
      </w:pPr>
      <w:r>
        <w:t>- IDD (Indicador de Diferença entre os Desempenhos Observado e Esperado): busca mensurar o valor agregado pelo curso ao desenvolvimento dos concludentes, considerando seus desempenhos no ENADE e no ENEM (INEP, 2019).</w:t>
      </w:r>
    </w:p>
    <w:p w:rsidR="00586709" w:rsidRDefault="00586709" w:rsidP="0027375B">
      <w:pPr>
        <w:pStyle w:val="Sinespaciado"/>
      </w:pPr>
      <w:r>
        <w:t xml:space="preserve">Em relação a esses indicadores do INEP (CC, CPC, ENADE e IDD), os 14 CCA selecionados para a pesquisa apresentaram índices </w:t>
      </w:r>
      <w:r w:rsidR="0027375B">
        <w:t>CC muito bom</w:t>
      </w:r>
      <w:r w:rsidR="00AB1213">
        <w:t xml:space="preserve"> (notas </w:t>
      </w:r>
      <w:proofErr w:type="gramStart"/>
      <w:r w:rsidR="00AB1213">
        <w:t>3</w:t>
      </w:r>
      <w:proofErr w:type="gramEnd"/>
      <w:r w:rsidR="00AB1213">
        <w:t xml:space="preserve"> ou 4)</w:t>
      </w:r>
      <w:r w:rsidR="0027375B">
        <w:t>, tendo em vista que a escala vai de 1 a 5 (sendo 1 para nota mais baixa e 5 para a melhor nota), com exceção dos cursos das IES de Uberlândia e Cuiabá, sem indicadores.</w:t>
      </w:r>
      <w:r w:rsidR="00137055">
        <w:t xml:space="preserve"> </w:t>
      </w:r>
      <w:r w:rsidR="0027375B">
        <w:t>Not</w:t>
      </w:r>
      <w:r w:rsidR="00137055">
        <w:t>ou</w:t>
      </w:r>
      <w:r w:rsidR="0027375B">
        <w:t xml:space="preserve">-se, também, que todos os cursos só </w:t>
      </w:r>
      <w:r w:rsidR="00137055">
        <w:t>possuíam</w:t>
      </w:r>
      <w:r w:rsidR="0027375B">
        <w:t xml:space="preserve"> este indicador avaliado, não havendo nenhuma menção no Cadastro </w:t>
      </w:r>
      <w:proofErr w:type="spellStart"/>
      <w:r w:rsidR="0027375B">
        <w:t>e-MEC</w:t>
      </w:r>
      <w:proofErr w:type="spellEnd"/>
      <w:r w:rsidR="0027375B">
        <w:t xml:space="preserve"> sobre o motivo pelo qual os outros índices não foram lançados.</w:t>
      </w:r>
    </w:p>
    <w:p w:rsidR="009B057C" w:rsidRDefault="009B057C" w:rsidP="009B057C">
      <w:pPr>
        <w:pStyle w:val="FPCTextonormal"/>
        <w:spacing w:before="0" w:after="0"/>
        <w:rPr>
          <w:rFonts w:ascii="Times New Roman" w:hAnsi="Times New Roman"/>
        </w:rPr>
      </w:pPr>
    </w:p>
    <w:p w:rsidR="009B057C" w:rsidRPr="00DF3767" w:rsidRDefault="009B057C" w:rsidP="00DF3767">
      <w:pPr>
        <w:pStyle w:val="Prrafodelista"/>
        <w:numPr>
          <w:ilvl w:val="1"/>
          <w:numId w:val="1"/>
        </w:numPr>
        <w:jc w:val="left"/>
        <w:rPr>
          <w:b/>
          <w:sz w:val="24"/>
          <w:szCs w:val="24"/>
        </w:rPr>
      </w:pPr>
      <w:r w:rsidRPr="00DF3767">
        <w:rPr>
          <w:b/>
          <w:sz w:val="24"/>
          <w:szCs w:val="24"/>
        </w:rPr>
        <w:t>O Curso de Engenharia Aeronáutica (CEA) no Brasil</w:t>
      </w:r>
    </w:p>
    <w:p w:rsidR="009B057C" w:rsidRPr="00074EB6" w:rsidRDefault="009B057C" w:rsidP="009B057C">
      <w:pPr>
        <w:pStyle w:val="FPCTextonormal"/>
        <w:spacing w:before="0" w:after="0"/>
        <w:rPr>
          <w:rFonts w:ascii="Times New Roman" w:hAnsi="Times New Roman"/>
        </w:rPr>
      </w:pPr>
    </w:p>
    <w:p w:rsidR="009B057C" w:rsidRDefault="009B057C" w:rsidP="009B057C">
      <w:pPr>
        <w:pStyle w:val="Sinespaciado"/>
      </w:pPr>
      <w:r>
        <w:t xml:space="preserve">O CEA, assim como todos os cursos de engenharia, é regulado pela Resolução CNE/CES nº 2, de 24 de abril de 2019, do Ministério da Educação (MEC, 2019), que institui as Diretrizes Curriculares Nacionais dos cursos de engenharia e que, por conseguinte, devem ser observadas pelas IES dos CEA do Brasil. Por meio de MEC (2019) são estabelecidas várias diretrizes a serem observadas: </w:t>
      </w:r>
    </w:p>
    <w:p w:rsidR="009B057C" w:rsidRDefault="009B057C" w:rsidP="00CE0D74">
      <w:pPr>
        <w:pStyle w:val="Sinespaciado"/>
        <w:ind w:firstLine="0"/>
      </w:pPr>
      <w:r>
        <w:lastRenderedPageBreak/>
        <w:t>- o perfil e as competências esperadas do egresso: visão holística nos pr</w:t>
      </w:r>
      <w:r w:rsidR="003A2582">
        <w:t>ojetos de engenharia; aptidão a</w:t>
      </w:r>
      <w:r>
        <w:t xml:space="preserve"> novas tecnologias; criatividade </w:t>
      </w:r>
      <w:r w:rsidR="003A2582">
        <w:t xml:space="preserve">e autonomia </w:t>
      </w:r>
      <w:r>
        <w:t>na solução d</w:t>
      </w:r>
      <w:r w:rsidR="003A2582">
        <w:t>e</w:t>
      </w:r>
      <w:r>
        <w:t xml:space="preserve"> problemas; utiliza</w:t>
      </w:r>
      <w:r w:rsidR="003A2582">
        <w:t>ção</w:t>
      </w:r>
      <w:r>
        <w:t xml:space="preserve"> </w:t>
      </w:r>
      <w:r w:rsidR="003A2582">
        <w:t xml:space="preserve">de </w:t>
      </w:r>
      <w:r>
        <w:t>todos os seus conhecimentos de maneira multidisciplinar e transdisciplinar; que tenha responsabilidade social e ambiental nos sistemas, produtos (bens e serviços), componentes e processos a desenvolver;</w:t>
      </w:r>
      <w:r w:rsidR="005409DD">
        <w:t xml:space="preserve"> e</w:t>
      </w:r>
      <w:r>
        <w:t xml:space="preserve"> que saiba comunicar-se, liderar equipes</w:t>
      </w:r>
      <w:r w:rsidR="005409DD">
        <w:t xml:space="preserve"> e</w:t>
      </w:r>
      <w:r>
        <w:t xml:space="preserve"> seguir legislações;</w:t>
      </w:r>
    </w:p>
    <w:p w:rsidR="009B057C" w:rsidRDefault="009B057C" w:rsidP="00CE0D74">
      <w:pPr>
        <w:pStyle w:val="Sinespaciado"/>
        <w:ind w:firstLine="0"/>
      </w:pPr>
      <w:r>
        <w:t>- a organização do curso: deve estar abordada no Projeto Pedagógico (PP) e incluir a obrigatoriedade do Projeto Final de Curso, do Estágio Curricular Supervisionado (com 160 horas) e das atividades de laboratório. Além disso, o PP contemplará a distribuição dos conteúdos da carga horária e o alinhamento destes ao perfil do egresso e, também, todos os conteúdos básicos necessários à formação do aluno;</w:t>
      </w:r>
    </w:p>
    <w:p w:rsidR="009B057C" w:rsidRDefault="009B057C" w:rsidP="00CE0D74">
      <w:pPr>
        <w:pStyle w:val="Sinespaciado"/>
        <w:ind w:firstLine="0"/>
      </w:pPr>
      <w:r>
        <w:t xml:space="preserve">- as avaliações necessárias para as atividades: devem constar no PP e constituir-se num processo diversificado, contínuo e indissociável das atividades acadêmicas; </w:t>
      </w:r>
      <w:proofErr w:type="gramStart"/>
      <w:r>
        <w:t>e</w:t>
      </w:r>
      <w:proofErr w:type="gramEnd"/>
    </w:p>
    <w:p w:rsidR="009B057C" w:rsidRDefault="009B057C" w:rsidP="00CE0D74">
      <w:pPr>
        <w:pStyle w:val="Sinespaciado"/>
        <w:ind w:firstLine="0"/>
      </w:pPr>
      <w:r>
        <w:t>- as características do corpo docente: alinhado ao PP e que trabalhe com o ensino ativo, pautado em práticas interdisciplinares e que tenha um compromisso com o desenvolvimento das competências desejadas no egresso (MEC, 2019).</w:t>
      </w:r>
    </w:p>
    <w:p w:rsidR="009B057C" w:rsidRDefault="009B057C" w:rsidP="009B057C">
      <w:pPr>
        <w:pStyle w:val="Sinespaciado"/>
      </w:pPr>
      <w:r>
        <w:t xml:space="preserve">Em relação </w:t>
      </w:r>
      <w:r w:rsidR="00670742">
        <w:t>à</w:t>
      </w:r>
      <w:r>
        <w:t xml:space="preserve"> carga horária, a Resolução CNE/CES nº 2, de 18 de junho de 2007, institui que os </w:t>
      </w:r>
      <w:r w:rsidR="009D271C">
        <w:t>CEA</w:t>
      </w:r>
      <w:r>
        <w:t xml:space="preserve"> devem possuir, ao mínimo, 3.600 horas (MEC, 2007).</w:t>
      </w:r>
    </w:p>
    <w:p w:rsidR="0027375B" w:rsidRDefault="009B057C" w:rsidP="009B057C">
      <w:pPr>
        <w:pStyle w:val="Sinespaciado"/>
      </w:pPr>
      <w:r>
        <w:t xml:space="preserve">No tocante à quantidade de CEA no Brasil, dados do MEC (2019), disponíveis no Cadastro </w:t>
      </w:r>
      <w:proofErr w:type="spellStart"/>
      <w:r>
        <w:t>e-MEC</w:t>
      </w:r>
      <w:proofErr w:type="spellEnd"/>
      <w:r>
        <w:t xml:space="preserve">, trouxeram a informação de um total de 13 registros. Destes, somente </w:t>
      </w:r>
      <w:proofErr w:type="gramStart"/>
      <w:r>
        <w:t>1</w:t>
      </w:r>
      <w:proofErr w:type="gramEnd"/>
      <w:r>
        <w:t xml:space="preserve"> não entrou na listagem da Figura 2, tendo em vista não ter iniciado ainda. Desta maneira, após a filtragem nos registros, retirando-se o não iniciado, restaram 12 cursos bacharelados, presenciais e em atividade, conforme a Figura 2.</w:t>
      </w:r>
    </w:p>
    <w:p w:rsidR="003B5245" w:rsidRPr="003B5245" w:rsidRDefault="003B5245" w:rsidP="00AF63AD">
      <w:pPr>
        <w:pStyle w:val="Sinespaciado"/>
        <w:ind w:firstLine="0"/>
        <w:jc w:val="center"/>
        <w:rPr>
          <w:sz w:val="20"/>
        </w:rPr>
      </w:pPr>
    </w:p>
    <w:p w:rsidR="00AF63AD" w:rsidRPr="00E218E7" w:rsidRDefault="00AF63AD" w:rsidP="00AF63AD">
      <w:pPr>
        <w:pStyle w:val="Sinespaciado"/>
        <w:ind w:firstLine="0"/>
        <w:jc w:val="center"/>
        <w:rPr>
          <w:sz w:val="20"/>
        </w:rPr>
      </w:pPr>
      <w:r w:rsidRPr="00E218E7">
        <w:rPr>
          <w:b/>
          <w:sz w:val="20"/>
        </w:rPr>
        <w:t xml:space="preserve">Figura </w:t>
      </w:r>
      <w:r w:rsidR="003E140B">
        <w:rPr>
          <w:b/>
          <w:sz w:val="20"/>
        </w:rPr>
        <w:t>2</w:t>
      </w:r>
      <w:r w:rsidRPr="00E218E7">
        <w:rPr>
          <w:b/>
          <w:sz w:val="20"/>
        </w:rPr>
        <w:t xml:space="preserve"> – </w:t>
      </w:r>
      <w:r w:rsidRPr="00586709">
        <w:rPr>
          <w:rFonts w:cs="Arial"/>
          <w:sz w:val="20"/>
        </w:rPr>
        <w:t xml:space="preserve">Distribuição Espacial </w:t>
      </w:r>
      <w:r w:rsidRPr="00AF63AD">
        <w:rPr>
          <w:rFonts w:cs="Arial"/>
          <w:sz w:val="20"/>
        </w:rPr>
        <w:t>das IES com CEA no Brasil</w:t>
      </w:r>
    </w:p>
    <w:p w:rsidR="00AF63AD" w:rsidRDefault="00CE0D74" w:rsidP="00AF63AD">
      <w:pPr>
        <w:pStyle w:val="Sinespaciado"/>
        <w:ind w:firstLine="0"/>
        <w:jc w:val="center"/>
      </w:pPr>
      <w:r w:rsidRPr="004D7A38">
        <w:rPr>
          <w:rFonts w:ascii="Times New Roman" w:hAnsi="Times New Roman"/>
          <w:sz w:val="20"/>
        </w:rPr>
        <w:object w:dxaOrig="8865" w:dyaOrig="4650">
          <v:shape id="_x0000_i1026" type="#_x0000_t75" style="width:330.65pt;height:179.9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PBrush" ShapeID="_x0000_i1026" DrawAspect="Content" ObjectID="_1666077382" r:id="rId11"/>
        </w:object>
      </w:r>
    </w:p>
    <w:p w:rsidR="00AF63AD" w:rsidRDefault="00AF63AD" w:rsidP="00AF63AD">
      <w:pPr>
        <w:pStyle w:val="Sinespaciado"/>
        <w:ind w:firstLine="0"/>
        <w:jc w:val="center"/>
        <w:rPr>
          <w:sz w:val="20"/>
        </w:rPr>
      </w:pPr>
      <w:r w:rsidRPr="00E218E7">
        <w:rPr>
          <w:b/>
          <w:sz w:val="20"/>
        </w:rPr>
        <w:t xml:space="preserve">Fonte: </w:t>
      </w:r>
      <w:r>
        <w:rPr>
          <w:sz w:val="20"/>
        </w:rPr>
        <w:t>O autor (</w:t>
      </w:r>
      <w:r w:rsidR="00525953" w:rsidRPr="00525953">
        <w:rPr>
          <w:sz w:val="20"/>
        </w:rPr>
        <w:t>2019</w:t>
      </w:r>
      <w:r w:rsidRPr="00E218E7">
        <w:rPr>
          <w:sz w:val="20"/>
        </w:rPr>
        <w:t>)</w:t>
      </w:r>
    </w:p>
    <w:p w:rsidR="00123B99" w:rsidRDefault="00123B99" w:rsidP="00AF63AD">
      <w:pPr>
        <w:pStyle w:val="Sinespaciado"/>
        <w:ind w:firstLine="0"/>
        <w:jc w:val="center"/>
        <w:rPr>
          <w:sz w:val="20"/>
        </w:rPr>
      </w:pPr>
    </w:p>
    <w:p w:rsidR="00635A7C" w:rsidRPr="00DF3767" w:rsidRDefault="00635A7C" w:rsidP="00DF3767">
      <w:pPr>
        <w:pStyle w:val="Prrafodelista"/>
        <w:numPr>
          <w:ilvl w:val="2"/>
          <w:numId w:val="1"/>
        </w:numPr>
        <w:jc w:val="left"/>
        <w:rPr>
          <w:b/>
          <w:sz w:val="24"/>
          <w:szCs w:val="24"/>
        </w:rPr>
      </w:pPr>
      <w:r w:rsidRPr="00DF3767">
        <w:rPr>
          <w:b/>
          <w:sz w:val="24"/>
          <w:szCs w:val="24"/>
        </w:rPr>
        <w:t>Dados gerais dos CEA no Brasil</w:t>
      </w:r>
    </w:p>
    <w:p w:rsidR="009D271C" w:rsidRDefault="009D271C" w:rsidP="00635A7C">
      <w:pPr>
        <w:pStyle w:val="Sinespaciado"/>
      </w:pPr>
    </w:p>
    <w:p w:rsidR="00635A7C" w:rsidRDefault="00635A7C" w:rsidP="00635A7C">
      <w:pPr>
        <w:pStyle w:val="Sinespaciado"/>
      </w:pPr>
      <w:r w:rsidRPr="00635A7C">
        <w:t>Com os 12 cursos selecionados para a pesquisa, realizou-se uma consulta aos dados gerais dos CEA q</w:t>
      </w:r>
      <w:r w:rsidR="00910E55">
        <w:t>ue estão disponíveis na Tabela 2</w:t>
      </w:r>
      <w:r w:rsidRPr="00635A7C">
        <w:t>.</w:t>
      </w:r>
    </w:p>
    <w:p w:rsidR="00635A7C" w:rsidRPr="00752988" w:rsidRDefault="00635A7C" w:rsidP="00635A7C">
      <w:pPr>
        <w:rPr>
          <w:rFonts w:cs="Arial"/>
        </w:rPr>
      </w:pPr>
      <w:proofErr w:type="gramStart"/>
      <w:r w:rsidRPr="006F6A84">
        <w:rPr>
          <w:rFonts w:cs="Arial"/>
          <w:b/>
        </w:rPr>
        <w:lastRenderedPageBreak/>
        <w:t xml:space="preserve">Tabela </w:t>
      </w:r>
      <w:r w:rsidR="00910E55">
        <w:rPr>
          <w:rFonts w:cs="Arial"/>
          <w:b/>
        </w:rPr>
        <w:t>2</w:t>
      </w:r>
      <w:r w:rsidRPr="00752988">
        <w:rPr>
          <w:rFonts w:cs="Arial"/>
        </w:rPr>
        <w:t xml:space="preserve"> – Dados gerais dos </w:t>
      </w:r>
      <w:r>
        <w:rPr>
          <w:rFonts w:cs="Arial"/>
        </w:rPr>
        <w:t>CE</w:t>
      </w:r>
      <w:r w:rsidRPr="00752988">
        <w:rPr>
          <w:rFonts w:cs="Arial"/>
        </w:rPr>
        <w:t>A</w:t>
      </w:r>
      <w:proofErr w:type="gramEnd"/>
      <w:r w:rsidRPr="00752988">
        <w:rPr>
          <w:rFonts w:cs="Arial"/>
        </w:rPr>
        <w:t xml:space="preserve"> por IES</w:t>
      </w:r>
    </w:p>
    <w:tbl>
      <w:tblPr>
        <w:tblW w:w="9001" w:type="dxa"/>
        <w:jc w:val="center"/>
        <w:tblInd w:w="75" w:type="dxa"/>
        <w:tblLayout w:type="fixed"/>
        <w:tblCellMar>
          <w:left w:w="0" w:type="dxa"/>
          <w:right w:w="0" w:type="dxa"/>
        </w:tblCellMar>
        <w:tblLook w:val="04A0" w:firstRow="1" w:lastRow="0" w:firstColumn="1" w:lastColumn="0" w:noHBand="0" w:noVBand="1"/>
      </w:tblPr>
      <w:tblGrid>
        <w:gridCol w:w="2541"/>
        <w:gridCol w:w="2296"/>
        <w:gridCol w:w="1791"/>
        <w:gridCol w:w="992"/>
        <w:gridCol w:w="1381"/>
      </w:tblGrid>
      <w:tr w:rsidR="00AA3599" w:rsidRPr="00752988" w:rsidTr="00AA3599">
        <w:trPr>
          <w:jc w:val="center"/>
        </w:trPr>
        <w:tc>
          <w:tcPr>
            <w:tcW w:w="2541" w:type="dxa"/>
            <w:tcBorders>
              <w:top w:val="single" w:sz="4" w:space="0" w:color="auto"/>
              <w:bottom w:val="single" w:sz="4" w:space="0" w:color="auto"/>
              <w:right w:val="single" w:sz="4" w:space="0" w:color="auto"/>
            </w:tcBorders>
            <w:shd w:val="clear" w:color="auto" w:fill="auto"/>
            <w:vAlign w:val="center"/>
          </w:tcPr>
          <w:p w:rsidR="00AA3599" w:rsidRPr="00AA3599" w:rsidRDefault="00AA3599" w:rsidP="002C426D">
            <w:pPr>
              <w:jc w:val="center"/>
              <w:rPr>
                <w:rFonts w:eastAsia="Calibri" w:cs="Arial"/>
                <w:b/>
              </w:rPr>
            </w:pPr>
            <w:r w:rsidRPr="00AA3599">
              <w:rPr>
                <w:rFonts w:eastAsia="Calibri" w:cs="Arial"/>
                <w:b/>
              </w:rPr>
              <w:t>Instituição (IES)</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AA3599" w:rsidRPr="00AA3599" w:rsidRDefault="00AA3599" w:rsidP="002C426D">
            <w:pPr>
              <w:jc w:val="center"/>
              <w:rPr>
                <w:rFonts w:eastAsia="Calibri" w:cs="Arial"/>
                <w:b/>
              </w:rPr>
            </w:pPr>
            <w:r w:rsidRPr="00AA3599">
              <w:rPr>
                <w:rFonts w:eastAsia="Calibri" w:cs="Arial"/>
                <w:b/>
              </w:rPr>
              <w:t>Quantidade de Vagas (anuais)</w:t>
            </w:r>
          </w:p>
        </w:tc>
        <w:tc>
          <w:tcPr>
            <w:tcW w:w="1791" w:type="dxa"/>
            <w:tcBorders>
              <w:top w:val="single" w:sz="4" w:space="0" w:color="auto"/>
              <w:left w:val="single" w:sz="4" w:space="0" w:color="auto"/>
              <w:bottom w:val="single" w:sz="4" w:space="0" w:color="auto"/>
              <w:right w:val="single" w:sz="4" w:space="0" w:color="auto"/>
            </w:tcBorders>
            <w:vAlign w:val="center"/>
          </w:tcPr>
          <w:p w:rsidR="00AA3599" w:rsidRPr="00AA3599" w:rsidRDefault="00AA3599" w:rsidP="002C426D">
            <w:pPr>
              <w:jc w:val="center"/>
              <w:rPr>
                <w:rFonts w:eastAsia="Calibri" w:cs="Arial"/>
                <w:b/>
              </w:rPr>
            </w:pPr>
            <w:r w:rsidRPr="00AA3599">
              <w:rPr>
                <w:rFonts w:eastAsia="Calibri" w:cs="Arial"/>
                <w:b/>
              </w:rPr>
              <w:t>Período</w:t>
            </w:r>
          </w:p>
        </w:tc>
        <w:tc>
          <w:tcPr>
            <w:tcW w:w="992" w:type="dxa"/>
            <w:tcBorders>
              <w:top w:val="single" w:sz="4" w:space="0" w:color="auto"/>
              <w:left w:val="single" w:sz="4" w:space="0" w:color="auto"/>
              <w:bottom w:val="single" w:sz="4" w:space="0" w:color="auto"/>
              <w:right w:val="single" w:sz="4" w:space="0" w:color="auto"/>
            </w:tcBorders>
            <w:vAlign w:val="center"/>
          </w:tcPr>
          <w:p w:rsidR="00AA3599" w:rsidRPr="00AA3599" w:rsidRDefault="00AA3599" w:rsidP="002C426D">
            <w:pPr>
              <w:jc w:val="center"/>
              <w:rPr>
                <w:rFonts w:eastAsia="Calibri" w:cs="Arial"/>
                <w:b/>
              </w:rPr>
            </w:pPr>
            <w:r w:rsidRPr="00AA3599">
              <w:rPr>
                <w:rFonts w:eastAsia="Calibri" w:cs="Arial"/>
                <w:b/>
              </w:rPr>
              <w:t>Duração</w:t>
            </w:r>
          </w:p>
        </w:tc>
        <w:tc>
          <w:tcPr>
            <w:tcW w:w="1381" w:type="dxa"/>
            <w:tcBorders>
              <w:top w:val="single" w:sz="4" w:space="0" w:color="auto"/>
              <w:left w:val="single" w:sz="4" w:space="0" w:color="auto"/>
              <w:bottom w:val="single" w:sz="4" w:space="0" w:color="auto"/>
            </w:tcBorders>
            <w:vAlign w:val="center"/>
          </w:tcPr>
          <w:p w:rsidR="00AA3599" w:rsidRPr="00AA3599" w:rsidRDefault="00AA3599" w:rsidP="002C426D">
            <w:pPr>
              <w:jc w:val="center"/>
              <w:rPr>
                <w:rFonts w:eastAsia="Calibri" w:cs="Arial"/>
                <w:b/>
              </w:rPr>
            </w:pPr>
            <w:r w:rsidRPr="00AA3599">
              <w:rPr>
                <w:rFonts w:eastAsia="Calibri" w:cs="Arial"/>
                <w:b/>
              </w:rPr>
              <w:t>Carga Horária</w:t>
            </w:r>
          </w:p>
        </w:tc>
      </w:tr>
      <w:tr w:rsidR="00AA3599" w:rsidRPr="00752988" w:rsidTr="00AA3599">
        <w:trPr>
          <w:jc w:val="center"/>
        </w:trPr>
        <w:tc>
          <w:tcPr>
            <w:tcW w:w="2541" w:type="dxa"/>
            <w:tcBorders>
              <w:top w:val="single" w:sz="4" w:space="0" w:color="auto"/>
            </w:tcBorders>
            <w:shd w:val="clear" w:color="auto" w:fill="auto"/>
          </w:tcPr>
          <w:p w:rsidR="00AA3599" w:rsidRPr="00AA3599" w:rsidRDefault="00AA3599" w:rsidP="002C426D">
            <w:pPr>
              <w:jc w:val="center"/>
              <w:rPr>
                <w:rFonts w:cs="Arial"/>
              </w:rPr>
            </w:pPr>
            <w:r w:rsidRPr="00AA3599">
              <w:rPr>
                <w:rFonts w:cs="Arial"/>
              </w:rPr>
              <w:t>Uberlândia – MG</w:t>
            </w:r>
          </w:p>
        </w:tc>
        <w:tc>
          <w:tcPr>
            <w:tcW w:w="2296" w:type="dxa"/>
            <w:tcBorders>
              <w:top w:val="single" w:sz="4" w:space="0" w:color="auto"/>
            </w:tcBorders>
            <w:shd w:val="clear" w:color="auto" w:fill="auto"/>
            <w:vAlign w:val="center"/>
          </w:tcPr>
          <w:p w:rsidR="00AA3599" w:rsidRPr="00AA3599" w:rsidRDefault="00AA3599" w:rsidP="002C426D">
            <w:pPr>
              <w:jc w:val="center"/>
              <w:rPr>
                <w:rFonts w:eastAsia="Calibri" w:cs="Arial"/>
              </w:rPr>
            </w:pPr>
            <w:r w:rsidRPr="00AA3599">
              <w:rPr>
                <w:rFonts w:eastAsia="Calibri" w:cs="Arial"/>
              </w:rPr>
              <w:t>40</w:t>
            </w:r>
          </w:p>
        </w:tc>
        <w:tc>
          <w:tcPr>
            <w:tcW w:w="1791" w:type="dxa"/>
            <w:tcBorders>
              <w:top w:val="single" w:sz="4" w:space="0" w:color="auto"/>
            </w:tcBorders>
            <w:vAlign w:val="center"/>
          </w:tcPr>
          <w:p w:rsidR="00AA3599" w:rsidRPr="00AA3599" w:rsidRDefault="00AA3599" w:rsidP="002C426D">
            <w:pPr>
              <w:jc w:val="center"/>
              <w:rPr>
                <w:rFonts w:eastAsia="Calibri" w:cs="Arial"/>
              </w:rPr>
            </w:pPr>
            <w:r w:rsidRPr="00AA3599">
              <w:rPr>
                <w:rFonts w:eastAsia="Calibri" w:cs="Arial"/>
              </w:rPr>
              <w:t>Integral</w:t>
            </w:r>
          </w:p>
        </w:tc>
        <w:tc>
          <w:tcPr>
            <w:tcW w:w="992" w:type="dxa"/>
            <w:tcBorders>
              <w:top w:val="single" w:sz="4" w:space="0" w:color="auto"/>
            </w:tcBorders>
            <w:vAlign w:val="center"/>
          </w:tcPr>
          <w:p w:rsidR="00AA3599" w:rsidRPr="00AA3599" w:rsidRDefault="00AA3599" w:rsidP="002C426D">
            <w:pPr>
              <w:jc w:val="center"/>
              <w:rPr>
                <w:rFonts w:eastAsia="Calibri" w:cs="Arial"/>
              </w:rPr>
            </w:pPr>
            <w:proofErr w:type="gramStart"/>
            <w:r w:rsidRPr="00AA3599">
              <w:rPr>
                <w:rFonts w:eastAsia="Calibri" w:cs="Arial"/>
              </w:rPr>
              <w:t>5</w:t>
            </w:r>
            <w:proofErr w:type="gramEnd"/>
            <w:r w:rsidRPr="00AA3599">
              <w:rPr>
                <w:rFonts w:eastAsia="Calibri" w:cs="Arial"/>
              </w:rPr>
              <w:t xml:space="preserve"> anos</w:t>
            </w:r>
          </w:p>
        </w:tc>
        <w:tc>
          <w:tcPr>
            <w:tcW w:w="1381" w:type="dxa"/>
            <w:tcBorders>
              <w:top w:val="single" w:sz="4" w:space="0" w:color="auto"/>
            </w:tcBorders>
            <w:vAlign w:val="center"/>
          </w:tcPr>
          <w:p w:rsidR="00AA3599" w:rsidRPr="00AA3599" w:rsidRDefault="00AA3599" w:rsidP="002C426D">
            <w:pPr>
              <w:jc w:val="center"/>
              <w:rPr>
                <w:rFonts w:eastAsia="Calibri" w:cs="Arial"/>
              </w:rPr>
            </w:pPr>
            <w:r w:rsidRPr="00AA3599">
              <w:rPr>
                <w:rFonts w:eastAsia="Calibri" w:cs="Arial"/>
              </w:rPr>
              <w:t>4.215 h</w:t>
            </w:r>
          </w:p>
        </w:tc>
      </w:tr>
      <w:tr w:rsidR="00AA3599" w:rsidRPr="00752988" w:rsidTr="00AA3599">
        <w:trPr>
          <w:jc w:val="center"/>
        </w:trPr>
        <w:tc>
          <w:tcPr>
            <w:tcW w:w="2541" w:type="dxa"/>
            <w:shd w:val="clear" w:color="auto" w:fill="auto"/>
          </w:tcPr>
          <w:p w:rsidR="00AA3599" w:rsidRPr="00AA3599" w:rsidRDefault="00AA3599" w:rsidP="002C426D">
            <w:pPr>
              <w:jc w:val="center"/>
              <w:rPr>
                <w:rFonts w:cs="Arial"/>
              </w:rPr>
            </w:pPr>
            <w:r w:rsidRPr="00AA3599">
              <w:rPr>
                <w:rFonts w:cs="Arial"/>
              </w:rPr>
              <w:t xml:space="preserve">Belo Horizonte </w:t>
            </w:r>
            <w:r w:rsidR="00171DE4">
              <w:rPr>
                <w:rFonts w:cs="Arial"/>
              </w:rPr>
              <w:t>–</w:t>
            </w:r>
            <w:r w:rsidRPr="00AA3599">
              <w:rPr>
                <w:rFonts w:cs="Arial"/>
              </w:rPr>
              <w:t xml:space="preserve"> MG</w:t>
            </w:r>
          </w:p>
        </w:tc>
        <w:tc>
          <w:tcPr>
            <w:tcW w:w="2296" w:type="dxa"/>
            <w:shd w:val="clear" w:color="auto" w:fill="auto"/>
            <w:vAlign w:val="center"/>
          </w:tcPr>
          <w:p w:rsidR="00AA3599" w:rsidRPr="00AA3599" w:rsidRDefault="00AA3599" w:rsidP="002C426D">
            <w:pPr>
              <w:jc w:val="center"/>
              <w:rPr>
                <w:rFonts w:eastAsia="Calibri" w:cs="Arial"/>
              </w:rPr>
            </w:pPr>
            <w:r w:rsidRPr="00AA3599">
              <w:rPr>
                <w:rFonts w:eastAsia="Calibri" w:cs="Arial"/>
              </w:rPr>
              <w:t>Não informa</w:t>
            </w:r>
          </w:p>
        </w:tc>
        <w:tc>
          <w:tcPr>
            <w:tcW w:w="1791" w:type="dxa"/>
            <w:vAlign w:val="center"/>
          </w:tcPr>
          <w:p w:rsidR="00AA3599" w:rsidRPr="00AA3599" w:rsidRDefault="00AA3599" w:rsidP="002C426D">
            <w:pPr>
              <w:jc w:val="center"/>
              <w:rPr>
                <w:rFonts w:eastAsia="Calibri" w:cs="Arial"/>
              </w:rPr>
            </w:pPr>
            <w:r w:rsidRPr="00AA3599">
              <w:rPr>
                <w:rFonts w:eastAsia="Calibri" w:cs="Arial"/>
              </w:rPr>
              <w:t>Matutino</w:t>
            </w:r>
          </w:p>
        </w:tc>
        <w:tc>
          <w:tcPr>
            <w:tcW w:w="992" w:type="dxa"/>
            <w:vAlign w:val="center"/>
          </w:tcPr>
          <w:p w:rsidR="00AA3599" w:rsidRPr="00AA3599" w:rsidRDefault="00AA3599" w:rsidP="002C426D">
            <w:pPr>
              <w:jc w:val="center"/>
              <w:rPr>
                <w:rFonts w:eastAsia="Calibri" w:cs="Arial"/>
              </w:rPr>
            </w:pPr>
            <w:proofErr w:type="gramStart"/>
            <w:r w:rsidRPr="00AA3599">
              <w:rPr>
                <w:rFonts w:eastAsia="Calibri" w:cs="Arial"/>
              </w:rPr>
              <w:t>5</w:t>
            </w:r>
            <w:proofErr w:type="gramEnd"/>
            <w:r w:rsidRPr="00AA3599">
              <w:rPr>
                <w:rFonts w:eastAsia="Calibri" w:cs="Arial"/>
              </w:rPr>
              <w:t xml:space="preserve"> anos</w:t>
            </w:r>
          </w:p>
        </w:tc>
        <w:tc>
          <w:tcPr>
            <w:tcW w:w="1381" w:type="dxa"/>
            <w:vAlign w:val="center"/>
          </w:tcPr>
          <w:p w:rsidR="00AA3599" w:rsidRPr="00AA3599" w:rsidRDefault="00AA3599" w:rsidP="002C426D">
            <w:pPr>
              <w:jc w:val="center"/>
              <w:rPr>
                <w:rFonts w:eastAsia="Calibri" w:cs="Arial"/>
              </w:rPr>
            </w:pPr>
            <w:r w:rsidRPr="00AA3599">
              <w:rPr>
                <w:rFonts w:eastAsia="Calibri" w:cs="Arial"/>
              </w:rPr>
              <w:t>3.860 h</w:t>
            </w:r>
          </w:p>
        </w:tc>
      </w:tr>
      <w:tr w:rsidR="00AA3599" w:rsidRPr="00752988" w:rsidTr="00AA3599">
        <w:trPr>
          <w:jc w:val="center"/>
        </w:trPr>
        <w:tc>
          <w:tcPr>
            <w:tcW w:w="2541" w:type="dxa"/>
            <w:shd w:val="clear" w:color="auto" w:fill="auto"/>
          </w:tcPr>
          <w:p w:rsidR="00AA3599" w:rsidRPr="00AA3599" w:rsidRDefault="00AA3599" w:rsidP="002C426D">
            <w:pPr>
              <w:jc w:val="center"/>
              <w:rPr>
                <w:rFonts w:cs="Arial"/>
              </w:rPr>
            </w:pPr>
            <w:r w:rsidRPr="00AA3599">
              <w:rPr>
                <w:rFonts w:cs="Arial"/>
              </w:rPr>
              <w:t>Belo Horizonte – MG</w:t>
            </w:r>
          </w:p>
        </w:tc>
        <w:tc>
          <w:tcPr>
            <w:tcW w:w="2296" w:type="dxa"/>
            <w:shd w:val="clear" w:color="auto" w:fill="auto"/>
            <w:vAlign w:val="center"/>
          </w:tcPr>
          <w:p w:rsidR="00AA3599" w:rsidRPr="00AA3599" w:rsidRDefault="00AA3599" w:rsidP="002C426D">
            <w:pPr>
              <w:jc w:val="center"/>
              <w:rPr>
                <w:rFonts w:eastAsia="Calibri" w:cs="Arial"/>
              </w:rPr>
            </w:pPr>
            <w:r w:rsidRPr="00AA3599">
              <w:rPr>
                <w:rFonts w:eastAsia="Calibri" w:cs="Arial"/>
              </w:rPr>
              <w:t>Não informa</w:t>
            </w:r>
          </w:p>
        </w:tc>
        <w:tc>
          <w:tcPr>
            <w:tcW w:w="1791" w:type="dxa"/>
            <w:vAlign w:val="center"/>
          </w:tcPr>
          <w:p w:rsidR="00AA3599" w:rsidRPr="00AA3599" w:rsidRDefault="00AA3599" w:rsidP="002C426D">
            <w:pPr>
              <w:jc w:val="center"/>
              <w:rPr>
                <w:rFonts w:eastAsia="Calibri" w:cs="Arial"/>
              </w:rPr>
            </w:pPr>
            <w:r w:rsidRPr="00AA3599">
              <w:rPr>
                <w:rFonts w:eastAsia="Calibri" w:cs="Arial"/>
              </w:rPr>
              <w:t>Matutino</w:t>
            </w:r>
          </w:p>
        </w:tc>
        <w:tc>
          <w:tcPr>
            <w:tcW w:w="992" w:type="dxa"/>
            <w:vAlign w:val="center"/>
          </w:tcPr>
          <w:p w:rsidR="00AA3599" w:rsidRPr="00AA3599" w:rsidRDefault="00AA3599" w:rsidP="002C426D">
            <w:pPr>
              <w:jc w:val="center"/>
              <w:rPr>
                <w:rFonts w:eastAsia="Calibri" w:cs="Arial"/>
              </w:rPr>
            </w:pPr>
            <w:proofErr w:type="gramStart"/>
            <w:r w:rsidRPr="00AA3599">
              <w:rPr>
                <w:rFonts w:eastAsia="Calibri" w:cs="Arial"/>
              </w:rPr>
              <w:t>5</w:t>
            </w:r>
            <w:proofErr w:type="gramEnd"/>
            <w:r w:rsidRPr="00AA3599">
              <w:rPr>
                <w:rFonts w:eastAsia="Calibri" w:cs="Arial"/>
              </w:rPr>
              <w:t xml:space="preserve"> anos</w:t>
            </w:r>
          </w:p>
        </w:tc>
        <w:tc>
          <w:tcPr>
            <w:tcW w:w="1381" w:type="dxa"/>
            <w:vAlign w:val="center"/>
          </w:tcPr>
          <w:p w:rsidR="00AA3599" w:rsidRPr="00AA3599" w:rsidRDefault="00AA3599" w:rsidP="002C426D">
            <w:pPr>
              <w:jc w:val="center"/>
              <w:rPr>
                <w:rFonts w:eastAsia="Calibri" w:cs="Arial"/>
              </w:rPr>
            </w:pPr>
            <w:r w:rsidRPr="00AA3599">
              <w:rPr>
                <w:rFonts w:eastAsia="Calibri" w:cs="Arial"/>
              </w:rPr>
              <w:t>4.289 h</w:t>
            </w:r>
          </w:p>
        </w:tc>
      </w:tr>
      <w:tr w:rsidR="00AA3599" w:rsidRPr="00752988" w:rsidTr="00AA3599">
        <w:trPr>
          <w:jc w:val="center"/>
        </w:trPr>
        <w:tc>
          <w:tcPr>
            <w:tcW w:w="2541" w:type="dxa"/>
            <w:shd w:val="clear" w:color="auto" w:fill="auto"/>
          </w:tcPr>
          <w:p w:rsidR="00AA3599" w:rsidRPr="00AA3599" w:rsidRDefault="00AA3599" w:rsidP="002C426D">
            <w:pPr>
              <w:jc w:val="center"/>
              <w:rPr>
                <w:rFonts w:cs="Arial"/>
              </w:rPr>
            </w:pPr>
            <w:r w:rsidRPr="00AA3599">
              <w:rPr>
                <w:rFonts w:cs="Arial"/>
              </w:rPr>
              <w:t>São João da Boa Vista – SP</w:t>
            </w:r>
          </w:p>
        </w:tc>
        <w:tc>
          <w:tcPr>
            <w:tcW w:w="2296" w:type="dxa"/>
            <w:shd w:val="clear" w:color="auto" w:fill="auto"/>
            <w:vAlign w:val="center"/>
          </w:tcPr>
          <w:p w:rsidR="00AA3599" w:rsidRPr="00AA3599" w:rsidRDefault="00AA3599" w:rsidP="002C426D">
            <w:pPr>
              <w:jc w:val="center"/>
              <w:rPr>
                <w:rFonts w:eastAsia="Calibri" w:cs="Arial"/>
              </w:rPr>
            </w:pPr>
            <w:r w:rsidRPr="00AA3599">
              <w:rPr>
                <w:rFonts w:eastAsia="Calibri" w:cs="Arial"/>
              </w:rPr>
              <w:t>40</w:t>
            </w:r>
          </w:p>
        </w:tc>
        <w:tc>
          <w:tcPr>
            <w:tcW w:w="1791" w:type="dxa"/>
            <w:vAlign w:val="center"/>
          </w:tcPr>
          <w:p w:rsidR="00AA3599" w:rsidRPr="00AA3599" w:rsidRDefault="00AA3599" w:rsidP="002C426D">
            <w:pPr>
              <w:jc w:val="center"/>
              <w:rPr>
                <w:rFonts w:eastAsia="Calibri" w:cs="Arial"/>
              </w:rPr>
            </w:pPr>
            <w:r w:rsidRPr="00AA3599">
              <w:rPr>
                <w:rFonts w:eastAsia="Calibri" w:cs="Arial"/>
              </w:rPr>
              <w:t>Integral</w:t>
            </w:r>
          </w:p>
        </w:tc>
        <w:tc>
          <w:tcPr>
            <w:tcW w:w="992" w:type="dxa"/>
            <w:vAlign w:val="center"/>
          </w:tcPr>
          <w:p w:rsidR="00AA3599" w:rsidRPr="00AA3599" w:rsidRDefault="00AA3599" w:rsidP="002C426D">
            <w:pPr>
              <w:jc w:val="center"/>
              <w:rPr>
                <w:rFonts w:eastAsia="Calibri" w:cs="Arial"/>
              </w:rPr>
            </w:pPr>
            <w:proofErr w:type="gramStart"/>
            <w:r w:rsidRPr="00AA3599">
              <w:rPr>
                <w:rFonts w:eastAsia="Calibri" w:cs="Arial"/>
              </w:rPr>
              <w:t>5</w:t>
            </w:r>
            <w:proofErr w:type="gramEnd"/>
            <w:r w:rsidRPr="00AA3599">
              <w:rPr>
                <w:rFonts w:eastAsia="Calibri" w:cs="Arial"/>
              </w:rPr>
              <w:t xml:space="preserve"> anos</w:t>
            </w:r>
          </w:p>
        </w:tc>
        <w:tc>
          <w:tcPr>
            <w:tcW w:w="1381" w:type="dxa"/>
            <w:vAlign w:val="center"/>
          </w:tcPr>
          <w:p w:rsidR="00AA3599" w:rsidRPr="00AA3599" w:rsidRDefault="00AA3599" w:rsidP="002C426D">
            <w:pPr>
              <w:jc w:val="center"/>
              <w:rPr>
                <w:rFonts w:eastAsia="Calibri" w:cs="Arial"/>
              </w:rPr>
            </w:pPr>
            <w:r w:rsidRPr="00AA3599">
              <w:rPr>
                <w:rFonts w:eastAsia="Calibri" w:cs="Arial"/>
              </w:rPr>
              <w:t>Não há total</w:t>
            </w:r>
          </w:p>
        </w:tc>
      </w:tr>
      <w:tr w:rsidR="00AA3599" w:rsidRPr="00752988" w:rsidTr="00AA3599">
        <w:trPr>
          <w:jc w:val="center"/>
        </w:trPr>
        <w:tc>
          <w:tcPr>
            <w:tcW w:w="2541" w:type="dxa"/>
            <w:shd w:val="clear" w:color="auto" w:fill="auto"/>
          </w:tcPr>
          <w:p w:rsidR="00AA3599" w:rsidRPr="00AA3599" w:rsidRDefault="00AA3599" w:rsidP="002C426D">
            <w:pPr>
              <w:jc w:val="center"/>
              <w:rPr>
                <w:rFonts w:cs="Arial"/>
              </w:rPr>
            </w:pPr>
            <w:r w:rsidRPr="00AA3599">
              <w:rPr>
                <w:rFonts w:cs="Arial"/>
              </w:rPr>
              <w:t>São Carlos – SP</w:t>
            </w:r>
          </w:p>
        </w:tc>
        <w:tc>
          <w:tcPr>
            <w:tcW w:w="2296" w:type="dxa"/>
            <w:shd w:val="clear" w:color="auto" w:fill="auto"/>
            <w:vAlign w:val="center"/>
          </w:tcPr>
          <w:p w:rsidR="00AA3599" w:rsidRPr="00AA3599" w:rsidRDefault="00AA3599" w:rsidP="002C426D">
            <w:pPr>
              <w:jc w:val="center"/>
              <w:rPr>
                <w:rFonts w:eastAsia="Calibri" w:cs="Arial"/>
              </w:rPr>
            </w:pPr>
            <w:r w:rsidRPr="00AA3599">
              <w:rPr>
                <w:rFonts w:eastAsia="Calibri" w:cs="Arial"/>
              </w:rPr>
              <w:t>Não informa</w:t>
            </w:r>
          </w:p>
        </w:tc>
        <w:tc>
          <w:tcPr>
            <w:tcW w:w="1791" w:type="dxa"/>
            <w:vAlign w:val="center"/>
          </w:tcPr>
          <w:p w:rsidR="00AA3599" w:rsidRPr="00AA3599" w:rsidRDefault="00AA3599" w:rsidP="002C426D">
            <w:pPr>
              <w:jc w:val="center"/>
              <w:rPr>
                <w:rFonts w:eastAsia="Calibri" w:cs="Arial"/>
              </w:rPr>
            </w:pPr>
            <w:r w:rsidRPr="00AA3599">
              <w:rPr>
                <w:rFonts w:eastAsia="Calibri" w:cs="Arial"/>
              </w:rPr>
              <w:t>Integral</w:t>
            </w:r>
          </w:p>
        </w:tc>
        <w:tc>
          <w:tcPr>
            <w:tcW w:w="992" w:type="dxa"/>
            <w:vAlign w:val="center"/>
          </w:tcPr>
          <w:p w:rsidR="00AA3599" w:rsidRPr="00AA3599" w:rsidRDefault="00AA3599" w:rsidP="002C426D">
            <w:pPr>
              <w:jc w:val="center"/>
              <w:rPr>
                <w:rFonts w:eastAsia="Calibri" w:cs="Arial"/>
              </w:rPr>
            </w:pPr>
            <w:proofErr w:type="gramStart"/>
            <w:r w:rsidRPr="00AA3599">
              <w:rPr>
                <w:rFonts w:eastAsia="Calibri" w:cs="Arial"/>
              </w:rPr>
              <w:t>5</w:t>
            </w:r>
            <w:proofErr w:type="gramEnd"/>
            <w:r w:rsidRPr="00AA3599">
              <w:rPr>
                <w:rFonts w:eastAsia="Calibri" w:cs="Arial"/>
              </w:rPr>
              <w:t xml:space="preserve"> anos</w:t>
            </w:r>
          </w:p>
        </w:tc>
        <w:tc>
          <w:tcPr>
            <w:tcW w:w="1381" w:type="dxa"/>
            <w:vAlign w:val="center"/>
          </w:tcPr>
          <w:p w:rsidR="00AA3599" w:rsidRPr="00AA3599" w:rsidRDefault="00AA3599" w:rsidP="002C426D">
            <w:pPr>
              <w:jc w:val="center"/>
              <w:rPr>
                <w:rFonts w:eastAsia="Calibri" w:cs="Arial"/>
              </w:rPr>
            </w:pPr>
            <w:r w:rsidRPr="00AA3599">
              <w:rPr>
                <w:rFonts w:eastAsia="Calibri" w:cs="Arial"/>
              </w:rPr>
              <w:t>4.755 h</w:t>
            </w:r>
          </w:p>
        </w:tc>
      </w:tr>
      <w:tr w:rsidR="00AA3599" w:rsidRPr="00752988" w:rsidTr="00AA3599">
        <w:trPr>
          <w:jc w:val="center"/>
        </w:trPr>
        <w:tc>
          <w:tcPr>
            <w:tcW w:w="2541" w:type="dxa"/>
            <w:shd w:val="clear" w:color="auto" w:fill="auto"/>
          </w:tcPr>
          <w:p w:rsidR="00AA3599" w:rsidRPr="00AA3599" w:rsidRDefault="00AA3599" w:rsidP="002C426D">
            <w:pPr>
              <w:jc w:val="center"/>
              <w:rPr>
                <w:rFonts w:cs="Arial"/>
              </w:rPr>
            </w:pPr>
            <w:r w:rsidRPr="00AA3599">
              <w:rPr>
                <w:rFonts w:cs="Arial"/>
              </w:rPr>
              <w:t>São Jose dos Campos – SP</w:t>
            </w:r>
          </w:p>
        </w:tc>
        <w:tc>
          <w:tcPr>
            <w:tcW w:w="2296" w:type="dxa"/>
            <w:shd w:val="clear" w:color="auto" w:fill="auto"/>
            <w:vAlign w:val="center"/>
          </w:tcPr>
          <w:p w:rsidR="00AA3599" w:rsidRPr="00AA3599" w:rsidRDefault="00AA3599" w:rsidP="002C426D">
            <w:pPr>
              <w:jc w:val="center"/>
              <w:rPr>
                <w:rFonts w:eastAsia="Calibri" w:cs="Arial"/>
              </w:rPr>
            </w:pPr>
            <w:r w:rsidRPr="00AA3599">
              <w:rPr>
                <w:rFonts w:eastAsia="Calibri" w:cs="Arial"/>
              </w:rPr>
              <w:t>18</w:t>
            </w:r>
          </w:p>
        </w:tc>
        <w:tc>
          <w:tcPr>
            <w:tcW w:w="1791" w:type="dxa"/>
            <w:vAlign w:val="center"/>
          </w:tcPr>
          <w:p w:rsidR="00AA3599" w:rsidRPr="00AA3599" w:rsidRDefault="00AA3599" w:rsidP="002C426D">
            <w:pPr>
              <w:jc w:val="center"/>
              <w:rPr>
                <w:rFonts w:eastAsia="Calibri" w:cs="Arial"/>
              </w:rPr>
            </w:pPr>
            <w:r w:rsidRPr="00AA3599">
              <w:rPr>
                <w:rFonts w:eastAsia="Calibri" w:cs="Arial"/>
              </w:rPr>
              <w:t>Integral</w:t>
            </w:r>
          </w:p>
        </w:tc>
        <w:tc>
          <w:tcPr>
            <w:tcW w:w="992" w:type="dxa"/>
            <w:vAlign w:val="center"/>
          </w:tcPr>
          <w:p w:rsidR="00AA3599" w:rsidRPr="00AA3599" w:rsidRDefault="00AA3599" w:rsidP="002C426D">
            <w:pPr>
              <w:jc w:val="center"/>
              <w:rPr>
                <w:rFonts w:eastAsia="Calibri" w:cs="Arial"/>
              </w:rPr>
            </w:pPr>
            <w:proofErr w:type="gramStart"/>
            <w:r w:rsidRPr="00AA3599">
              <w:rPr>
                <w:rFonts w:eastAsia="Calibri" w:cs="Arial"/>
              </w:rPr>
              <w:t>5</w:t>
            </w:r>
            <w:proofErr w:type="gramEnd"/>
            <w:r w:rsidRPr="00AA3599">
              <w:rPr>
                <w:rFonts w:eastAsia="Calibri" w:cs="Arial"/>
              </w:rPr>
              <w:t xml:space="preserve"> anos</w:t>
            </w:r>
          </w:p>
        </w:tc>
        <w:tc>
          <w:tcPr>
            <w:tcW w:w="1381" w:type="dxa"/>
            <w:vAlign w:val="center"/>
          </w:tcPr>
          <w:p w:rsidR="00AA3599" w:rsidRPr="00AA3599" w:rsidRDefault="00AA3599" w:rsidP="002C426D">
            <w:pPr>
              <w:jc w:val="center"/>
              <w:rPr>
                <w:rFonts w:eastAsia="Calibri" w:cs="Arial"/>
              </w:rPr>
            </w:pPr>
            <w:r w:rsidRPr="00AA3599">
              <w:rPr>
                <w:rFonts w:eastAsia="Calibri" w:cs="Arial"/>
              </w:rPr>
              <w:t>4.062 h</w:t>
            </w:r>
          </w:p>
        </w:tc>
      </w:tr>
      <w:tr w:rsidR="00AA3599" w:rsidRPr="00752988" w:rsidTr="00AA3599">
        <w:trPr>
          <w:jc w:val="center"/>
        </w:trPr>
        <w:tc>
          <w:tcPr>
            <w:tcW w:w="2541" w:type="dxa"/>
            <w:shd w:val="clear" w:color="auto" w:fill="auto"/>
          </w:tcPr>
          <w:p w:rsidR="00AA3599" w:rsidRPr="00AA3599" w:rsidRDefault="00AA3599" w:rsidP="002C426D">
            <w:pPr>
              <w:jc w:val="center"/>
              <w:rPr>
                <w:rFonts w:cs="Arial"/>
              </w:rPr>
            </w:pPr>
            <w:r w:rsidRPr="00AA3599">
              <w:rPr>
                <w:rFonts w:cs="Arial"/>
              </w:rPr>
              <w:t>São Jose dos Campos – SP</w:t>
            </w:r>
          </w:p>
        </w:tc>
        <w:tc>
          <w:tcPr>
            <w:tcW w:w="2296" w:type="dxa"/>
            <w:shd w:val="clear" w:color="auto" w:fill="auto"/>
            <w:vAlign w:val="center"/>
          </w:tcPr>
          <w:p w:rsidR="00AA3599" w:rsidRPr="00AA3599" w:rsidRDefault="00AA3599" w:rsidP="002C426D">
            <w:pPr>
              <w:jc w:val="center"/>
              <w:rPr>
                <w:rFonts w:eastAsia="Calibri" w:cs="Arial"/>
              </w:rPr>
            </w:pPr>
            <w:r w:rsidRPr="00AA3599">
              <w:rPr>
                <w:rFonts w:eastAsia="Calibri" w:cs="Arial"/>
              </w:rPr>
              <w:t>Não informa</w:t>
            </w:r>
          </w:p>
        </w:tc>
        <w:tc>
          <w:tcPr>
            <w:tcW w:w="1791" w:type="dxa"/>
            <w:vAlign w:val="center"/>
          </w:tcPr>
          <w:p w:rsidR="00AA3599" w:rsidRPr="00AA3599" w:rsidRDefault="00AA3599" w:rsidP="002C426D">
            <w:pPr>
              <w:jc w:val="center"/>
              <w:rPr>
                <w:rFonts w:eastAsia="Calibri" w:cs="Arial"/>
              </w:rPr>
            </w:pPr>
            <w:r w:rsidRPr="00AA3599">
              <w:rPr>
                <w:rFonts w:eastAsia="Calibri" w:cs="Arial"/>
              </w:rPr>
              <w:t>Não informa</w:t>
            </w:r>
          </w:p>
        </w:tc>
        <w:tc>
          <w:tcPr>
            <w:tcW w:w="992" w:type="dxa"/>
            <w:vAlign w:val="center"/>
          </w:tcPr>
          <w:p w:rsidR="00AA3599" w:rsidRPr="00AA3599" w:rsidRDefault="00AA3599" w:rsidP="002C426D">
            <w:pPr>
              <w:jc w:val="center"/>
              <w:rPr>
                <w:rFonts w:eastAsia="Calibri" w:cs="Arial"/>
              </w:rPr>
            </w:pPr>
            <w:proofErr w:type="gramStart"/>
            <w:r w:rsidRPr="00AA3599">
              <w:rPr>
                <w:rFonts w:eastAsia="Calibri" w:cs="Arial"/>
              </w:rPr>
              <w:t>5</w:t>
            </w:r>
            <w:proofErr w:type="gramEnd"/>
            <w:r w:rsidRPr="00AA3599">
              <w:rPr>
                <w:rFonts w:eastAsia="Calibri" w:cs="Arial"/>
              </w:rPr>
              <w:t xml:space="preserve"> anos</w:t>
            </w:r>
          </w:p>
        </w:tc>
        <w:tc>
          <w:tcPr>
            <w:tcW w:w="1381" w:type="dxa"/>
            <w:vAlign w:val="center"/>
          </w:tcPr>
          <w:p w:rsidR="00AA3599" w:rsidRPr="00AA3599" w:rsidRDefault="00AA3599" w:rsidP="002C426D">
            <w:pPr>
              <w:jc w:val="center"/>
              <w:rPr>
                <w:rFonts w:eastAsia="Calibri" w:cs="Arial"/>
              </w:rPr>
            </w:pPr>
            <w:r w:rsidRPr="00AA3599">
              <w:rPr>
                <w:rFonts w:eastAsia="Calibri" w:cs="Arial"/>
              </w:rPr>
              <w:t>4.500 h</w:t>
            </w:r>
          </w:p>
        </w:tc>
      </w:tr>
      <w:tr w:rsidR="00AA3599" w:rsidRPr="00752988" w:rsidTr="00AA3599">
        <w:trPr>
          <w:jc w:val="center"/>
        </w:trPr>
        <w:tc>
          <w:tcPr>
            <w:tcW w:w="2541" w:type="dxa"/>
            <w:shd w:val="clear" w:color="auto" w:fill="auto"/>
          </w:tcPr>
          <w:p w:rsidR="00AA3599" w:rsidRPr="00AA3599" w:rsidRDefault="00AA3599" w:rsidP="002C426D">
            <w:pPr>
              <w:jc w:val="center"/>
              <w:rPr>
                <w:rFonts w:cs="Arial"/>
              </w:rPr>
            </w:pPr>
            <w:r w:rsidRPr="00AA3599">
              <w:rPr>
                <w:rFonts w:cs="Arial"/>
              </w:rPr>
              <w:t>São Jose dos Campos – SP</w:t>
            </w:r>
          </w:p>
        </w:tc>
        <w:tc>
          <w:tcPr>
            <w:tcW w:w="2296" w:type="dxa"/>
            <w:shd w:val="clear" w:color="auto" w:fill="auto"/>
            <w:vAlign w:val="center"/>
          </w:tcPr>
          <w:p w:rsidR="00AA3599" w:rsidRPr="00AA3599" w:rsidRDefault="00AA3599" w:rsidP="002C426D">
            <w:pPr>
              <w:jc w:val="center"/>
              <w:rPr>
                <w:rFonts w:eastAsia="Calibri" w:cs="Arial"/>
              </w:rPr>
            </w:pPr>
            <w:r w:rsidRPr="00AA3599">
              <w:rPr>
                <w:rFonts w:eastAsia="Calibri" w:cs="Arial"/>
              </w:rPr>
              <w:t>20 e 40</w:t>
            </w:r>
          </w:p>
        </w:tc>
        <w:tc>
          <w:tcPr>
            <w:tcW w:w="1791" w:type="dxa"/>
            <w:vAlign w:val="center"/>
          </w:tcPr>
          <w:p w:rsidR="00AA3599" w:rsidRPr="00AA3599" w:rsidRDefault="00AA3599" w:rsidP="002C426D">
            <w:pPr>
              <w:jc w:val="center"/>
              <w:rPr>
                <w:rFonts w:eastAsia="Calibri" w:cs="Arial"/>
              </w:rPr>
            </w:pPr>
            <w:r w:rsidRPr="00AA3599">
              <w:rPr>
                <w:rFonts w:eastAsia="Calibri" w:cs="Arial"/>
              </w:rPr>
              <w:t>Matutino e Noturno</w:t>
            </w:r>
          </w:p>
        </w:tc>
        <w:tc>
          <w:tcPr>
            <w:tcW w:w="992" w:type="dxa"/>
            <w:vAlign w:val="center"/>
          </w:tcPr>
          <w:p w:rsidR="00AA3599" w:rsidRPr="00AA3599" w:rsidRDefault="00AA3599" w:rsidP="002C426D">
            <w:pPr>
              <w:jc w:val="center"/>
              <w:rPr>
                <w:rFonts w:eastAsia="Calibri" w:cs="Arial"/>
              </w:rPr>
            </w:pPr>
            <w:proofErr w:type="gramStart"/>
            <w:r w:rsidRPr="00AA3599">
              <w:rPr>
                <w:rFonts w:eastAsia="Calibri" w:cs="Arial"/>
              </w:rPr>
              <w:t>5</w:t>
            </w:r>
            <w:proofErr w:type="gramEnd"/>
            <w:r w:rsidRPr="00AA3599">
              <w:rPr>
                <w:rFonts w:eastAsia="Calibri" w:cs="Arial"/>
              </w:rPr>
              <w:t xml:space="preserve"> anos</w:t>
            </w:r>
          </w:p>
        </w:tc>
        <w:tc>
          <w:tcPr>
            <w:tcW w:w="1381" w:type="dxa"/>
            <w:vAlign w:val="center"/>
          </w:tcPr>
          <w:p w:rsidR="00AA3599" w:rsidRPr="00AA3599" w:rsidRDefault="00AA3599" w:rsidP="002C426D">
            <w:pPr>
              <w:jc w:val="center"/>
              <w:rPr>
                <w:rFonts w:eastAsia="Calibri" w:cs="Arial"/>
              </w:rPr>
            </w:pPr>
            <w:r w:rsidRPr="00AA3599">
              <w:rPr>
                <w:rFonts w:eastAsia="Calibri" w:cs="Arial"/>
              </w:rPr>
              <w:t>3.840 h</w:t>
            </w:r>
          </w:p>
        </w:tc>
      </w:tr>
      <w:tr w:rsidR="00AA3599" w:rsidRPr="00752988" w:rsidTr="00AA3599">
        <w:trPr>
          <w:jc w:val="center"/>
        </w:trPr>
        <w:tc>
          <w:tcPr>
            <w:tcW w:w="2541" w:type="dxa"/>
            <w:shd w:val="clear" w:color="auto" w:fill="auto"/>
          </w:tcPr>
          <w:p w:rsidR="00AA3599" w:rsidRPr="00AA3599" w:rsidRDefault="00AA3599" w:rsidP="002C426D">
            <w:pPr>
              <w:jc w:val="center"/>
              <w:rPr>
                <w:rFonts w:cs="Arial"/>
              </w:rPr>
            </w:pPr>
            <w:r w:rsidRPr="00AA3599">
              <w:rPr>
                <w:rFonts w:cs="Arial"/>
              </w:rPr>
              <w:t>São Jose dos Campos – SP</w:t>
            </w:r>
          </w:p>
        </w:tc>
        <w:tc>
          <w:tcPr>
            <w:tcW w:w="2296" w:type="dxa"/>
            <w:shd w:val="clear" w:color="auto" w:fill="auto"/>
            <w:vAlign w:val="center"/>
          </w:tcPr>
          <w:p w:rsidR="00AA3599" w:rsidRPr="00AA3599" w:rsidRDefault="00AA3599" w:rsidP="002C426D">
            <w:pPr>
              <w:jc w:val="center"/>
              <w:rPr>
                <w:rFonts w:eastAsia="Calibri" w:cs="Arial"/>
              </w:rPr>
            </w:pPr>
            <w:r w:rsidRPr="00AA3599">
              <w:rPr>
                <w:rFonts w:eastAsia="Calibri" w:cs="Arial"/>
              </w:rPr>
              <w:t>230 (*)</w:t>
            </w:r>
          </w:p>
        </w:tc>
        <w:tc>
          <w:tcPr>
            <w:tcW w:w="1791" w:type="dxa"/>
            <w:vAlign w:val="center"/>
          </w:tcPr>
          <w:p w:rsidR="00AA3599" w:rsidRPr="00AA3599" w:rsidRDefault="00AA3599" w:rsidP="002C426D">
            <w:pPr>
              <w:jc w:val="center"/>
              <w:rPr>
                <w:rFonts w:eastAsia="Calibri" w:cs="Arial"/>
              </w:rPr>
            </w:pPr>
            <w:r w:rsidRPr="00AA3599">
              <w:rPr>
                <w:rFonts w:eastAsia="Calibri" w:cs="Arial"/>
              </w:rPr>
              <w:t>Matutino e Noturno</w:t>
            </w:r>
          </w:p>
        </w:tc>
        <w:tc>
          <w:tcPr>
            <w:tcW w:w="992" w:type="dxa"/>
            <w:vAlign w:val="center"/>
          </w:tcPr>
          <w:p w:rsidR="00AA3599" w:rsidRPr="00AA3599" w:rsidRDefault="00AA3599" w:rsidP="002C426D">
            <w:pPr>
              <w:jc w:val="center"/>
              <w:rPr>
                <w:rFonts w:eastAsia="Calibri" w:cs="Arial"/>
              </w:rPr>
            </w:pPr>
            <w:proofErr w:type="gramStart"/>
            <w:r w:rsidRPr="00AA3599">
              <w:rPr>
                <w:rFonts w:eastAsia="Calibri" w:cs="Arial"/>
              </w:rPr>
              <w:t>5</w:t>
            </w:r>
            <w:proofErr w:type="gramEnd"/>
            <w:r w:rsidRPr="00AA3599">
              <w:rPr>
                <w:rFonts w:eastAsia="Calibri" w:cs="Arial"/>
              </w:rPr>
              <w:t xml:space="preserve"> anos</w:t>
            </w:r>
          </w:p>
        </w:tc>
        <w:tc>
          <w:tcPr>
            <w:tcW w:w="1381" w:type="dxa"/>
            <w:vAlign w:val="center"/>
          </w:tcPr>
          <w:p w:rsidR="00AA3599" w:rsidRPr="00AA3599" w:rsidRDefault="00AA3599" w:rsidP="002C426D">
            <w:pPr>
              <w:jc w:val="center"/>
              <w:rPr>
                <w:rFonts w:eastAsia="Calibri" w:cs="Arial"/>
              </w:rPr>
            </w:pPr>
            <w:r w:rsidRPr="00AA3599">
              <w:rPr>
                <w:rFonts w:eastAsia="Calibri" w:cs="Arial"/>
              </w:rPr>
              <w:t>4.083 h</w:t>
            </w:r>
          </w:p>
        </w:tc>
      </w:tr>
      <w:tr w:rsidR="00AA3599" w:rsidRPr="00752988" w:rsidTr="00AA3599">
        <w:trPr>
          <w:jc w:val="center"/>
        </w:trPr>
        <w:tc>
          <w:tcPr>
            <w:tcW w:w="2541" w:type="dxa"/>
            <w:shd w:val="clear" w:color="auto" w:fill="auto"/>
          </w:tcPr>
          <w:p w:rsidR="00AA3599" w:rsidRPr="00AA3599" w:rsidRDefault="00AA3599" w:rsidP="002C426D">
            <w:pPr>
              <w:jc w:val="center"/>
              <w:rPr>
                <w:rFonts w:cs="Arial"/>
              </w:rPr>
            </w:pPr>
            <w:r w:rsidRPr="00AA3599">
              <w:rPr>
                <w:rFonts w:cs="Arial"/>
              </w:rPr>
              <w:t>Taubaté – SP</w:t>
            </w:r>
          </w:p>
        </w:tc>
        <w:tc>
          <w:tcPr>
            <w:tcW w:w="2296" w:type="dxa"/>
            <w:shd w:val="clear" w:color="auto" w:fill="auto"/>
            <w:vAlign w:val="center"/>
          </w:tcPr>
          <w:p w:rsidR="00AA3599" w:rsidRPr="00AA3599" w:rsidRDefault="00AA3599" w:rsidP="002C426D">
            <w:pPr>
              <w:jc w:val="center"/>
              <w:rPr>
                <w:rFonts w:eastAsia="Calibri" w:cs="Arial"/>
              </w:rPr>
            </w:pPr>
            <w:r w:rsidRPr="00AA3599">
              <w:rPr>
                <w:rFonts w:eastAsia="Calibri" w:cs="Arial"/>
              </w:rPr>
              <w:t>40</w:t>
            </w:r>
          </w:p>
        </w:tc>
        <w:tc>
          <w:tcPr>
            <w:tcW w:w="1791" w:type="dxa"/>
            <w:vAlign w:val="center"/>
          </w:tcPr>
          <w:p w:rsidR="00AA3599" w:rsidRPr="00AA3599" w:rsidRDefault="00AA3599" w:rsidP="002C426D">
            <w:pPr>
              <w:jc w:val="center"/>
              <w:rPr>
                <w:rFonts w:eastAsia="Calibri" w:cs="Arial"/>
              </w:rPr>
            </w:pPr>
            <w:r w:rsidRPr="00AA3599">
              <w:rPr>
                <w:rFonts w:eastAsia="Calibri" w:cs="Arial"/>
              </w:rPr>
              <w:t>Noturno</w:t>
            </w:r>
          </w:p>
        </w:tc>
        <w:tc>
          <w:tcPr>
            <w:tcW w:w="992" w:type="dxa"/>
            <w:vAlign w:val="center"/>
          </w:tcPr>
          <w:p w:rsidR="00AA3599" w:rsidRPr="00AA3599" w:rsidRDefault="00AA3599" w:rsidP="002C426D">
            <w:pPr>
              <w:jc w:val="center"/>
              <w:rPr>
                <w:rFonts w:eastAsia="Calibri" w:cs="Arial"/>
              </w:rPr>
            </w:pPr>
            <w:proofErr w:type="gramStart"/>
            <w:r w:rsidRPr="00AA3599">
              <w:rPr>
                <w:rFonts w:eastAsia="Calibri" w:cs="Arial"/>
              </w:rPr>
              <w:t>5</w:t>
            </w:r>
            <w:proofErr w:type="gramEnd"/>
            <w:r w:rsidRPr="00AA3599">
              <w:rPr>
                <w:rFonts w:eastAsia="Calibri" w:cs="Arial"/>
              </w:rPr>
              <w:t xml:space="preserve"> anos</w:t>
            </w:r>
          </w:p>
        </w:tc>
        <w:tc>
          <w:tcPr>
            <w:tcW w:w="1381" w:type="dxa"/>
            <w:vAlign w:val="center"/>
          </w:tcPr>
          <w:p w:rsidR="00AA3599" w:rsidRPr="00AA3599" w:rsidRDefault="00AA3599" w:rsidP="002C426D">
            <w:pPr>
              <w:jc w:val="center"/>
              <w:rPr>
                <w:rFonts w:eastAsia="Calibri" w:cs="Arial"/>
              </w:rPr>
            </w:pPr>
            <w:r w:rsidRPr="00AA3599">
              <w:rPr>
                <w:rFonts w:eastAsia="Calibri" w:cs="Arial"/>
              </w:rPr>
              <w:t>3.813 h</w:t>
            </w:r>
          </w:p>
        </w:tc>
      </w:tr>
      <w:tr w:rsidR="00AA3599" w:rsidRPr="00752988" w:rsidTr="00AA3599">
        <w:trPr>
          <w:jc w:val="center"/>
        </w:trPr>
        <w:tc>
          <w:tcPr>
            <w:tcW w:w="2541" w:type="dxa"/>
            <w:shd w:val="clear" w:color="auto" w:fill="auto"/>
          </w:tcPr>
          <w:p w:rsidR="00AA3599" w:rsidRPr="00AA3599" w:rsidRDefault="00AA3599" w:rsidP="002C426D">
            <w:pPr>
              <w:jc w:val="center"/>
              <w:rPr>
                <w:rFonts w:cs="Arial"/>
              </w:rPr>
            </w:pPr>
            <w:r w:rsidRPr="00AA3599">
              <w:rPr>
                <w:rFonts w:cs="Arial"/>
              </w:rPr>
              <w:t xml:space="preserve">São Paulo </w:t>
            </w:r>
            <w:r w:rsidR="00171DE4">
              <w:rPr>
                <w:rFonts w:cs="Arial"/>
              </w:rPr>
              <w:t>–</w:t>
            </w:r>
            <w:r w:rsidRPr="00AA3599">
              <w:rPr>
                <w:rFonts w:cs="Arial"/>
              </w:rPr>
              <w:t xml:space="preserve"> SP</w:t>
            </w:r>
          </w:p>
        </w:tc>
        <w:tc>
          <w:tcPr>
            <w:tcW w:w="2296" w:type="dxa"/>
            <w:shd w:val="clear" w:color="auto" w:fill="auto"/>
            <w:vAlign w:val="center"/>
          </w:tcPr>
          <w:p w:rsidR="00AA3599" w:rsidRPr="00AA3599" w:rsidRDefault="00AA3599" w:rsidP="002C426D">
            <w:pPr>
              <w:jc w:val="center"/>
              <w:rPr>
                <w:rFonts w:eastAsia="Calibri" w:cs="Arial"/>
              </w:rPr>
            </w:pPr>
            <w:r w:rsidRPr="00AA3599">
              <w:rPr>
                <w:rFonts w:eastAsia="Calibri" w:cs="Arial"/>
              </w:rPr>
              <w:t>230 (*)</w:t>
            </w:r>
          </w:p>
        </w:tc>
        <w:tc>
          <w:tcPr>
            <w:tcW w:w="1791" w:type="dxa"/>
            <w:vAlign w:val="center"/>
          </w:tcPr>
          <w:p w:rsidR="00AA3599" w:rsidRPr="00AA3599" w:rsidRDefault="00AA3599" w:rsidP="002C426D">
            <w:pPr>
              <w:jc w:val="center"/>
              <w:rPr>
                <w:rFonts w:eastAsia="Calibri" w:cs="Arial"/>
              </w:rPr>
            </w:pPr>
            <w:r w:rsidRPr="00AA3599">
              <w:rPr>
                <w:rFonts w:eastAsia="Calibri" w:cs="Arial"/>
              </w:rPr>
              <w:t>Matutino e Noturno</w:t>
            </w:r>
          </w:p>
        </w:tc>
        <w:tc>
          <w:tcPr>
            <w:tcW w:w="992" w:type="dxa"/>
            <w:vAlign w:val="center"/>
          </w:tcPr>
          <w:p w:rsidR="00AA3599" w:rsidRPr="00AA3599" w:rsidRDefault="00AA3599" w:rsidP="002C426D">
            <w:pPr>
              <w:jc w:val="center"/>
              <w:rPr>
                <w:rFonts w:eastAsia="Calibri" w:cs="Arial"/>
              </w:rPr>
            </w:pPr>
            <w:proofErr w:type="gramStart"/>
            <w:r w:rsidRPr="00AA3599">
              <w:rPr>
                <w:rFonts w:eastAsia="Calibri" w:cs="Arial"/>
              </w:rPr>
              <w:t>5</w:t>
            </w:r>
            <w:proofErr w:type="gramEnd"/>
            <w:r w:rsidRPr="00AA3599">
              <w:rPr>
                <w:rFonts w:eastAsia="Calibri" w:cs="Arial"/>
              </w:rPr>
              <w:t xml:space="preserve"> anos</w:t>
            </w:r>
          </w:p>
        </w:tc>
        <w:tc>
          <w:tcPr>
            <w:tcW w:w="1381" w:type="dxa"/>
            <w:vAlign w:val="center"/>
          </w:tcPr>
          <w:p w:rsidR="00AA3599" w:rsidRPr="00AA3599" w:rsidRDefault="00AA3599" w:rsidP="002C426D">
            <w:pPr>
              <w:jc w:val="center"/>
              <w:rPr>
                <w:rFonts w:eastAsia="Calibri" w:cs="Arial"/>
              </w:rPr>
            </w:pPr>
            <w:r w:rsidRPr="00AA3599">
              <w:rPr>
                <w:rFonts w:eastAsia="Calibri" w:cs="Arial"/>
              </w:rPr>
              <w:t>4.083 h</w:t>
            </w:r>
          </w:p>
        </w:tc>
      </w:tr>
      <w:tr w:rsidR="00AA3599" w:rsidRPr="00752988" w:rsidTr="00AA3599">
        <w:trPr>
          <w:jc w:val="center"/>
        </w:trPr>
        <w:tc>
          <w:tcPr>
            <w:tcW w:w="2541" w:type="dxa"/>
            <w:tcBorders>
              <w:bottom w:val="single" w:sz="4" w:space="0" w:color="auto"/>
            </w:tcBorders>
            <w:shd w:val="clear" w:color="auto" w:fill="auto"/>
          </w:tcPr>
          <w:p w:rsidR="00AA3599" w:rsidRPr="00AA3599" w:rsidRDefault="00AA3599" w:rsidP="002C426D">
            <w:pPr>
              <w:jc w:val="center"/>
              <w:rPr>
                <w:rFonts w:cs="Arial"/>
              </w:rPr>
            </w:pPr>
            <w:r w:rsidRPr="00AA3599">
              <w:rPr>
                <w:rFonts w:cs="Arial"/>
              </w:rPr>
              <w:t xml:space="preserve">São Paulo </w:t>
            </w:r>
            <w:r w:rsidR="00171DE4">
              <w:rPr>
                <w:rFonts w:cs="Arial"/>
              </w:rPr>
              <w:t>–</w:t>
            </w:r>
            <w:r w:rsidRPr="00AA3599">
              <w:rPr>
                <w:rFonts w:cs="Arial"/>
              </w:rPr>
              <w:t xml:space="preserve"> SP</w:t>
            </w:r>
          </w:p>
        </w:tc>
        <w:tc>
          <w:tcPr>
            <w:tcW w:w="2296" w:type="dxa"/>
            <w:tcBorders>
              <w:bottom w:val="single" w:sz="4" w:space="0" w:color="auto"/>
            </w:tcBorders>
            <w:shd w:val="clear" w:color="auto" w:fill="auto"/>
            <w:vAlign w:val="center"/>
          </w:tcPr>
          <w:p w:rsidR="00AA3599" w:rsidRPr="00AA3599" w:rsidRDefault="00AA3599" w:rsidP="002C426D">
            <w:pPr>
              <w:jc w:val="center"/>
              <w:rPr>
                <w:rFonts w:eastAsia="Calibri" w:cs="Arial"/>
              </w:rPr>
            </w:pPr>
            <w:r w:rsidRPr="00AA3599">
              <w:rPr>
                <w:rFonts w:eastAsia="Calibri" w:cs="Arial"/>
              </w:rPr>
              <w:t>140 (*)</w:t>
            </w:r>
          </w:p>
        </w:tc>
        <w:tc>
          <w:tcPr>
            <w:tcW w:w="1791" w:type="dxa"/>
            <w:tcBorders>
              <w:bottom w:val="single" w:sz="4" w:space="0" w:color="auto"/>
            </w:tcBorders>
            <w:vAlign w:val="center"/>
          </w:tcPr>
          <w:p w:rsidR="00AA3599" w:rsidRPr="00AA3599" w:rsidRDefault="00AA3599" w:rsidP="002C426D">
            <w:pPr>
              <w:jc w:val="center"/>
              <w:rPr>
                <w:rFonts w:eastAsia="Calibri" w:cs="Arial"/>
              </w:rPr>
            </w:pPr>
            <w:r w:rsidRPr="00AA3599">
              <w:rPr>
                <w:rFonts w:eastAsia="Calibri" w:cs="Arial"/>
              </w:rPr>
              <w:t>Matutino e Noturno</w:t>
            </w:r>
          </w:p>
        </w:tc>
        <w:tc>
          <w:tcPr>
            <w:tcW w:w="992" w:type="dxa"/>
            <w:tcBorders>
              <w:bottom w:val="single" w:sz="4" w:space="0" w:color="auto"/>
            </w:tcBorders>
            <w:vAlign w:val="center"/>
          </w:tcPr>
          <w:p w:rsidR="00AA3599" w:rsidRPr="00AA3599" w:rsidRDefault="00AA3599" w:rsidP="002C426D">
            <w:pPr>
              <w:jc w:val="center"/>
              <w:rPr>
                <w:rFonts w:eastAsia="Calibri" w:cs="Arial"/>
              </w:rPr>
            </w:pPr>
            <w:proofErr w:type="gramStart"/>
            <w:r w:rsidRPr="00AA3599">
              <w:rPr>
                <w:rFonts w:eastAsia="Calibri" w:cs="Arial"/>
              </w:rPr>
              <w:t>5</w:t>
            </w:r>
            <w:proofErr w:type="gramEnd"/>
            <w:r w:rsidRPr="00AA3599">
              <w:rPr>
                <w:rFonts w:eastAsia="Calibri" w:cs="Arial"/>
              </w:rPr>
              <w:t xml:space="preserve"> anos</w:t>
            </w:r>
          </w:p>
        </w:tc>
        <w:tc>
          <w:tcPr>
            <w:tcW w:w="1381" w:type="dxa"/>
            <w:tcBorders>
              <w:bottom w:val="single" w:sz="4" w:space="0" w:color="auto"/>
            </w:tcBorders>
            <w:vAlign w:val="center"/>
          </w:tcPr>
          <w:p w:rsidR="00AA3599" w:rsidRPr="00AA3599" w:rsidRDefault="00AA3599" w:rsidP="002C426D">
            <w:pPr>
              <w:jc w:val="center"/>
              <w:rPr>
                <w:rFonts w:eastAsia="Calibri" w:cs="Arial"/>
              </w:rPr>
            </w:pPr>
            <w:r w:rsidRPr="00AA3599">
              <w:rPr>
                <w:rFonts w:eastAsia="Calibri" w:cs="Arial"/>
              </w:rPr>
              <w:t>3.783 h</w:t>
            </w:r>
          </w:p>
        </w:tc>
      </w:tr>
      <w:tr w:rsidR="00AA3599" w:rsidRPr="00752988" w:rsidTr="00AA3599">
        <w:trPr>
          <w:jc w:val="center"/>
        </w:trPr>
        <w:tc>
          <w:tcPr>
            <w:tcW w:w="2541" w:type="dxa"/>
            <w:tcBorders>
              <w:top w:val="single" w:sz="4" w:space="0" w:color="auto"/>
              <w:bottom w:val="single" w:sz="4" w:space="0" w:color="auto"/>
            </w:tcBorders>
            <w:shd w:val="clear" w:color="auto" w:fill="auto"/>
            <w:vAlign w:val="center"/>
          </w:tcPr>
          <w:p w:rsidR="00AA3599" w:rsidRPr="00AA3599" w:rsidRDefault="00AA3599" w:rsidP="002C426D">
            <w:pPr>
              <w:jc w:val="center"/>
              <w:rPr>
                <w:rFonts w:eastAsia="Calibri" w:cs="Arial"/>
                <w:b/>
              </w:rPr>
            </w:pPr>
            <w:r w:rsidRPr="00AA3599">
              <w:rPr>
                <w:rFonts w:eastAsia="Calibri" w:cs="Arial"/>
                <w:b/>
              </w:rPr>
              <w:t>TOTAL</w:t>
            </w:r>
          </w:p>
        </w:tc>
        <w:tc>
          <w:tcPr>
            <w:tcW w:w="2296" w:type="dxa"/>
            <w:tcBorders>
              <w:top w:val="single" w:sz="4" w:space="0" w:color="auto"/>
              <w:bottom w:val="single" w:sz="4" w:space="0" w:color="auto"/>
            </w:tcBorders>
            <w:shd w:val="clear" w:color="auto" w:fill="auto"/>
            <w:vAlign w:val="center"/>
          </w:tcPr>
          <w:p w:rsidR="00AA3599" w:rsidRPr="00AA3599" w:rsidRDefault="00AA3599" w:rsidP="002C426D">
            <w:pPr>
              <w:jc w:val="center"/>
              <w:rPr>
                <w:rFonts w:eastAsia="Calibri" w:cs="Arial"/>
                <w:b/>
              </w:rPr>
            </w:pPr>
            <w:r w:rsidRPr="00AA3599">
              <w:rPr>
                <w:rFonts w:eastAsia="Calibri" w:cs="Arial"/>
                <w:b/>
              </w:rPr>
              <w:t>958 (**)</w:t>
            </w:r>
          </w:p>
        </w:tc>
        <w:tc>
          <w:tcPr>
            <w:tcW w:w="1791" w:type="dxa"/>
            <w:tcBorders>
              <w:top w:val="single" w:sz="4" w:space="0" w:color="auto"/>
              <w:bottom w:val="single" w:sz="4" w:space="0" w:color="auto"/>
            </w:tcBorders>
            <w:vAlign w:val="center"/>
          </w:tcPr>
          <w:p w:rsidR="00AA3599" w:rsidRPr="00AA3599" w:rsidRDefault="00AA3599" w:rsidP="002C426D">
            <w:pPr>
              <w:jc w:val="center"/>
              <w:rPr>
                <w:rFonts w:eastAsia="Calibri" w:cs="Arial"/>
                <w:b/>
              </w:rPr>
            </w:pPr>
            <w:r w:rsidRPr="00AA3599">
              <w:rPr>
                <w:rFonts w:eastAsia="Calibri" w:cs="Arial"/>
                <w:b/>
              </w:rPr>
              <w:t>-</w:t>
            </w:r>
          </w:p>
        </w:tc>
        <w:tc>
          <w:tcPr>
            <w:tcW w:w="992" w:type="dxa"/>
            <w:tcBorders>
              <w:top w:val="single" w:sz="4" w:space="0" w:color="auto"/>
              <w:bottom w:val="single" w:sz="4" w:space="0" w:color="auto"/>
            </w:tcBorders>
            <w:vAlign w:val="center"/>
          </w:tcPr>
          <w:p w:rsidR="00AA3599" w:rsidRPr="00AA3599" w:rsidRDefault="00AA3599" w:rsidP="002C426D">
            <w:pPr>
              <w:jc w:val="center"/>
              <w:rPr>
                <w:rFonts w:eastAsia="Calibri" w:cs="Arial"/>
                <w:b/>
              </w:rPr>
            </w:pPr>
            <w:r w:rsidRPr="00AA3599">
              <w:rPr>
                <w:rFonts w:eastAsia="Calibri" w:cs="Arial"/>
                <w:b/>
              </w:rPr>
              <w:t>-</w:t>
            </w:r>
          </w:p>
        </w:tc>
        <w:tc>
          <w:tcPr>
            <w:tcW w:w="1381" w:type="dxa"/>
            <w:tcBorders>
              <w:top w:val="single" w:sz="4" w:space="0" w:color="auto"/>
              <w:bottom w:val="single" w:sz="4" w:space="0" w:color="auto"/>
            </w:tcBorders>
            <w:vAlign w:val="center"/>
          </w:tcPr>
          <w:p w:rsidR="00AA3599" w:rsidRPr="00AA3599" w:rsidRDefault="00AA3599" w:rsidP="002C426D">
            <w:pPr>
              <w:jc w:val="center"/>
              <w:rPr>
                <w:rFonts w:eastAsia="Calibri" w:cs="Arial"/>
                <w:b/>
              </w:rPr>
            </w:pPr>
            <w:r w:rsidRPr="00AA3599">
              <w:rPr>
                <w:rFonts w:eastAsia="Calibri" w:cs="Arial"/>
                <w:b/>
              </w:rPr>
              <w:t>-</w:t>
            </w:r>
          </w:p>
        </w:tc>
      </w:tr>
    </w:tbl>
    <w:p w:rsidR="00635A7C" w:rsidRPr="00752988" w:rsidRDefault="00635A7C" w:rsidP="00635A7C">
      <w:pPr>
        <w:rPr>
          <w:rFonts w:cs="Arial"/>
        </w:rPr>
      </w:pPr>
      <w:r w:rsidRPr="006F6A84">
        <w:rPr>
          <w:rFonts w:cs="Arial"/>
          <w:b/>
        </w:rPr>
        <w:t>Fonte:</w:t>
      </w:r>
      <w:r w:rsidRPr="00752988">
        <w:rPr>
          <w:rFonts w:cs="Arial"/>
        </w:rPr>
        <w:t xml:space="preserve"> o autor, baseado no </w:t>
      </w:r>
      <w:proofErr w:type="spellStart"/>
      <w:r w:rsidRPr="00171DE4">
        <w:rPr>
          <w:rFonts w:cs="Arial"/>
        </w:rPr>
        <w:t>e-MEC</w:t>
      </w:r>
      <w:proofErr w:type="spellEnd"/>
      <w:r w:rsidRPr="00752988">
        <w:rPr>
          <w:rFonts w:cs="Arial"/>
          <w:i/>
        </w:rPr>
        <w:t xml:space="preserve"> </w:t>
      </w:r>
      <w:r w:rsidRPr="00752988">
        <w:rPr>
          <w:rFonts w:cs="Arial"/>
        </w:rPr>
        <w:t>(2019</w:t>
      </w:r>
      <w:proofErr w:type="gramStart"/>
      <w:r w:rsidRPr="00752988">
        <w:rPr>
          <w:rFonts w:cs="Arial"/>
        </w:rPr>
        <w:t>)</w:t>
      </w:r>
      <w:proofErr w:type="gramEnd"/>
    </w:p>
    <w:p w:rsidR="00AA3599" w:rsidRPr="00123B99" w:rsidRDefault="00AA3599" w:rsidP="00AA3599">
      <w:pPr>
        <w:rPr>
          <w:rFonts w:cs="Arial"/>
          <w:sz w:val="18"/>
        </w:rPr>
      </w:pPr>
      <w:r w:rsidRPr="00123B99">
        <w:rPr>
          <w:rFonts w:cs="Arial"/>
          <w:sz w:val="18"/>
        </w:rPr>
        <w:t xml:space="preserve">(*) A IES não informa a quantidade de vagas específicas por turno; </w:t>
      </w:r>
      <w:proofErr w:type="gramStart"/>
      <w:r w:rsidRPr="00123B99">
        <w:rPr>
          <w:rFonts w:cs="Arial"/>
          <w:sz w:val="18"/>
        </w:rPr>
        <w:t>e</w:t>
      </w:r>
      <w:proofErr w:type="gramEnd"/>
    </w:p>
    <w:p w:rsidR="00635A7C" w:rsidRPr="00123B99" w:rsidRDefault="00AA3599" w:rsidP="00AA3599">
      <w:pPr>
        <w:rPr>
          <w:rFonts w:cs="Arial"/>
          <w:sz w:val="18"/>
        </w:rPr>
      </w:pPr>
      <w:r w:rsidRPr="00123B99">
        <w:rPr>
          <w:rFonts w:cs="Arial"/>
          <w:sz w:val="18"/>
        </w:rPr>
        <w:t xml:space="preserve">(**) Para </w:t>
      </w:r>
      <w:proofErr w:type="gramStart"/>
      <w:r w:rsidRPr="00123B99">
        <w:rPr>
          <w:rFonts w:cs="Arial"/>
          <w:sz w:val="18"/>
        </w:rPr>
        <w:t>os não</w:t>
      </w:r>
      <w:proofErr w:type="gramEnd"/>
      <w:r w:rsidRPr="00123B99">
        <w:rPr>
          <w:rFonts w:cs="Arial"/>
          <w:sz w:val="18"/>
        </w:rPr>
        <w:t xml:space="preserve"> informados, estipulou-se uma média de 40 alunos.</w:t>
      </w:r>
    </w:p>
    <w:p w:rsidR="00635A7C" w:rsidRPr="00752988" w:rsidRDefault="00635A7C" w:rsidP="00635A7C">
      <w:pPr>
        <w:ind w:firstLine="1134"/>
        <w:rPr>
          <w:rFonts w:cs="Arial"/>
        </w:rPr>
      </w:pPr>
    </w:p>
    <w:p w:rsidR="007D1B51" w:rsidRDefault="00910E55" w:rsidP="007D1B51">
      <w:pPr>
        <w:pStyle w:val="Sinespaciado"/>
      </w:pPr>
      <w:r>
        <w:t>Na Tabela 2</w:t>
      </w:r>
      <w:r w:rsidR="007D1B51">
        <w:t>, tratando-se da questão das vagas, nota-se a mesma dificuldade encontrada com as CCA: na maioria dos sites das IES essa informação não está disponível facilmente. Somente as IES de Uberlândia, São João da Boa Vista e Taubaté expõem a quantidade de vagas disponíveis para esses cursos de maneira clara no site. Nas outras IES com lançamento de quantidades, buscou-se esta informação por meio do PP. Ainda sobre as vagas, vê-se que o total de 958 é, praticamente, a mesma quantidade existente para os CCA, sendo, igualmente, necessário estudar outras variáveis para se afirmar sobre suficiência para os alunos e limite para as IES.</w:t>
      </w:r>
    </w:p>
    <w:p w:rsidR="00635A7C" w:rsidRDefault="007D1B51" w:rsidP="007D1B51">
      <w:pPr>
        <w:pStyle w:val="Sinespaciado"/>
      </w:pPr>
      <w:r>
        <w:t xml:space="preserve">No tocante aos períodos, verifica-se que todas as IES públicas possuem a grade integral, fazendo com que os alunos tenham que dedicar-se somente aos estudos. Já as IES particulares não são integrais e possuem horários alternativos para que os estudantes desenvolvam uma atividade paralela. E quanto à duração, nota-se que todas desenvolvem seus cursos em </w:t>
      </w:r>
      <w:proofErr w:type="gramStart"/>
      <w:r>
        <w:t>5</w:t>
      </w:r>
      <w:proofErr w:type="gramEnd"/>
      <w:r>
        <w:t xml:space="preserve"> anos e com previsão de carga horária total acima da prevista pela Resolução CNE/CES nº 2, de 18 de junho de 2007 (mínimo de 3.600 horas) (MEC, 2007).</w:t>
      </w:r>
    </w:p>
    <w:p w:rsidR="00635A7C" w:rsidRDefault="00635A7C" w:rsidP="00635A7C">
      <w:pPr>
        <w:pStyle w:val="FPCTextonormal"/>
        <w:spacing w:before="0" w:after="0"/>
        <w:rPr>
          <w:rFonts w:ascii="Times New Roman" w:hAnsi="Times New Roman"/>
        </w:rPr>
      </w:pPr>
    </w:p>
    <w:p w:rsidR="00635A7C" w:rsidRPr="00752988" w:rsidRDefault="007D1B51" w:rsidP="00DF3767">
      <w:pPr>
        <w:pStyle w:val="Prrafodelista"/>
        <w:numPr>
          <w:ilvl w:val="2"/>
          <w:numId w:val="1"/>
        </w:numPr>
        <w:jc w:val="left"/>
        <w:rPr>
          <w:b/>
          <w:sz w:val="24"/>
          <w:szCs w:val="24"/>
        </w:rPr>
      </w:pPr>
      <w:r>
        <w:rPr>
          <w:b/>
          <w:sz w:val="24"/>
          <w:szCs w:val="24"/>
        </w:rPr>
        <w:t>Dados de Avaliação dos CE</w:t>
      </w:r>
      <w:r w:rsidR="00635A7C" w:rsidRPr="006F6A84">
        <w:rPr>
          <w:b/>
          <w:sz w:val="24"/>
          <w:szCs w:val="24"/>
        </w:rPr>
        <w:t>A no Brasil</w:t>
      </w:r>
    </w:p>
    <w:p w:rsidR="00635A7C" w:rsidRPr="00074EB6" w:rsidRDefault="00635A7C" w:rsidP="00635A7C">
      <w:pPr>
        <w:pStyle w:val="FPCTextonormal"/>
        <w:spacing w:before="0" w:after="0"/>
        <w:rPr>
          <w:rFonts w:ascii="Times New Roman" w:hAnsi="Times New Roman"/>
        </w:rPr>
      </w:pPr>
    </w:p>
    <w:p w:rsidR="00635A7C" w:rsidRDefault="00822E3B" w:rsidP="00635A7C">
      <w:pPr>
        <w:pStyle w:val="Sinespaciado"/>
      </w:pPr>
      <w:r w:rsidRPr="00822E3B">
        <w:t xml:space="preserve">Em relação aos IQES (CC, CPC, ENADE e IDD), </w:t>
      </w:r>
      <w:r w:rsidR="00C541EE">
        <w:t>verificou-se que nem tod</w:t>
      </w:r>
      <w:r w:rsidRPr="00822E3B">
        <w:t xml:space="preserve">os </w:t>
      </w:r>
      <w:r w:rsidR="00C541EE">
        <w:t xml:space="preserve">os </w:t>
      </w:r>
      <w:r w:rsidRPr="00822E3B">
        <w:t xml:space="preserve">12 CEA pesquisados </w:t>
      </w:r>
      <w:r w:rsidR="009E0BF1" w:rsidRPr="009E0BF1">
        <w:t>possu</w:t>
      </w:r>
      <w:r w:rsidR="00C541EE">
        <w:t>ía</w:t>
      </w:r>
      <w:r w:rsidR="009E0BF1" w:rsidRPr="009E0BF1">
        <w:t>m o Conceito de Curso (CC)</w:t>
      </w:r>
      <w:r w:rsidR="00C541EE">
        <w:t xml:space="preserve"> lançado. Ainda, destacou</w:t>
      </w:r>
      <w:r w:rsidR="009E0BF1" w:rsidRPr="009E0BF1">
        <w:t>-se nas avaliações a IES de Uberlândia</w:t>
      </w:r>
      <w:r w:rsidR="00C541EE">
        <w:t>,</w:t>
      </w:r>
      <w:r w:rsidR="009E0BF1" w:rsidRPr="009E0BF1">
        <w:t xml:space="preserve"> possuindo </w:t>
      </w:r>
      <w:proofErr w:type="gramStart"/>
      <w:r w:rsidR="009E0BF1" w:rsidRPr="009E0BF1">
        <w:t>2</w:t>
      </w:r>
      <w:proofErr w:type="gramEnd"/>
      <w:r w:rsidR="009E0BF1" w:rsidRPr="009E0BF1">
        <w:t xml:space="preserve"> excelentes conceitos (</w:t>
      </w:r>
      <w:r w:rsidR="00C541EE">
        <w:t xml:space="preserve">nota </w:t>
      </w:r>
      <w:r w:rsidR="009E0BF1" w:rsidRPr="009E0BF1">
        <w:t>5), tanto no CC quanto no ENADE. Percebe</w:t>
      </w:r>
      <w:r w:rsidR="00C541EE">
        <w:t>u</w:t>
      </w:r>
      <w:r w:rsidR="009E0BF1" w:rsidRPr="009E0BF1">
        <w:t xml:space="preserve">-se, também, que uma das IES de maior renome </w:t>
      </w:r>
      <w:r w:rsidR="00C541EE">
        <w:t>nacional</w:t>
      </w:r>
      <w:r w:rsidR="000E6DA7">
        <w:t xml:space="preserve"> </w:t>
      </w:r>
      <w:r w:rsidR="00C541EE">
        <w:t>de S</w:t>
      </w:r>
      <w:r w:rsidR="006B30CF">
        <w:t>ão José dos Campos</w:t>
      </w:r>
      <w:r w:rsidR="00C541EE">
        <w:t xml:space="preserve"> possuía</w:t>
      </w:r>
      <w:r w:rsidR="009E0BF1" w:rsidRPr="009E0BF1">
        <w:t xml:space="preserve"> </w:t>
      </w:r>
      <w:r w:rsidR="000E6DA7">
        <w:t xml:space="preserve">uma </w:t>
      </w:r>
      <w:r w:rsidR="00C541EE">
        <w:t xml:space="preserve">nota </w:t>
      </w:r>
      <w:proofErr w:type="gramStart"/>
      <w:r w:rsidR="009E0BF1" w:rsidRPr="009E0BF1">
        <w:t>1</w:t>
      </w:r>
      <w:proofErr w:type="gramEnd"/>
      <w:r w:rsidR="009E0BF1" w:rsidRPr="009E0BF1">
        <w:t xml:space="preserve"> no IDD. Novamente, </w:t>
      </w:r>
      <w:r w:rsidR="00C541EE">
        <w:t>houve a ausência</w:t>
      </w:r>
      <w:r w:rsidR="009E0BF1" w:rsidRPr="009E0BF1">
        <w:t xml:space="preserve"> d</w:t>
      </w:r>
      <w:r w:rsidR="00C541EE">
        <w:t>o lançamento de vários índices e a não explicação pelo</w:t>
      </w:r>
      <w:r w:rsidR="009E0BF1" w:rsidRPr="009E0BF1">
        <w:t xml:space="preserve"> </w:t>
      </w:r>
      <w:proofErr w:type="spellStart"/>
      <w:r w:rsidR="009E0BF1" w:rsidRPr="009E0BF1">
        <w:t>e-MEC</w:t>
      </w:r>
      <w:proofErr w:type="spellEnd"/>
      <w:r w:rsidR="009E0BF1" w:rsidRPr="009E0BF1">
        <w:t xml:space="preserve"> </w:t>
      </w:r>
      <w:r w:rsidR="00C541EE">
        <w:t>d</w:t>
      </w:r>
      <w:r w:rsidR="009E0BF1" w:rsidRPr="009E0BF1">
        <w:t xml:space="preserve">o motivo </w:t>
      </w:r>
      <w:r w:rsidR="00C541EE">
        <w:t>do</w:t>
      </w:r>
      <w:r w:rsidR="009E0BF1" w:rsidRPr="009E0BF1">
        <w:t xml:space="preserve"> não lançamento dessas avaliações.</w:t>
      </w:r>
    </w:p>
    <w:p w:rsidR="00A1462B" w:rsidRPr="003A55FD" w:rsidRDefault="00A1462B" w:rsidP="00A1462B">
      <w:pPr>
        <w:pStyle w:val="Sinespaciado"/>
        <w:rPr>
          <w:b/>
        </w:rPr>
      </w:pPr>
    </w:p>
    <w:p w:rsidR="00A1462B" w:rsidRPr="00DF3767" w:rsidRDefault="005446C3" w:rsidP="00DF3767">
      <w:pPr>
        <w:pStyle w:val="Seo"/>
        <w:rPr>
          <w:b w:val="0"/>
        </w:rPr>
      </w:pPr>
      <w:r>
        <w:rPr>
          <w:rStyle w:val="SeoChar"/>
          <w:b/>
        </w:rPr>
        <w:lastRenderedPageBreak/>
        <w:t>CONSIDERAÇÕES FINAIS</w:t>
      </w:r>
    </w:p>
    <w:p w:rsidR="009B057C" w:rsidRDefault="009B057C" w:rsidP="009B057C">
      <w:pPr>
        <w:pStyle w:val="Sinespaciado"/>
      </w:pPr>
    </w:p>
    <w:p w:rsidR="00A1462B" w:rsidRDefault="00DF0F38" w:rsidP="00A1462B">
      <w:pPr>
        <w:pStyle w:val="Sinespaciado"/>
      </w:pPr>
      <w:r>
        <w:t>Conhecer a organização d</w:t>
      </w:r>
      <w:r w:rsidR="00A1462B">
        <w:t xml:space="preserve">o Curso de Ciências Aeronáuticas (CCA) e </w:t>
      </w:r>
      <w:r>
        <w:t>d</w:t>
      </w:r>
      <w:r w:rsidR="00A1462B">
        <w:t xml:space="preserve">o Curso de Engenharia Aeronáutica (CEA) no Brasil </w:t>
      </w:r>
      <w:r>
        <w:t>nos permite entender suas</w:t>
      </w:r>
      <w:r w:rsidR="00A1462B">
        <w:t xml:space="preserve"> finalidade</w:t>
      </w:r>
      <w:r>
        <w:t xml:space="preserve">s, </w:t>
      </w:r>
      <w:r w:rsidR="00A1462B">
        <w:t xml:space="preserve">suas legislações reguladoras, suas características gerais, suas distribuições espaciais no território nacional e seus dados </w:t>
      </w:r>
      <w:r>
        <w:t xml:space="preserve">estatísticos que podem influenciar os apaixonados pelo setor aeronáutico a </w:t>
      </w:r>
      <w:r w:rsidR="005500A2">
        <w:t xml:space="preserve">escolher um desses cursos para </w:t>
      </w:r>
      <w:r w:rsidR="004E73DB">
        <w:t>realizar seu bacharelado</w:t>
      </w:r>
      <w:r>
        <w:t>.</w:t>
      </w:r>
    </w:p>
    <w:p w:rsidR="00A1462B" w:rsidRDefault="005500A2" w:rsidP="00A1462B">
      <w:pPr>
        <w:pStyle w:val="Sinespaciado"/>
      </w:pPr>
      <w:r>
        <w:t>Além d</w:t>
      </w:r>
      <w:r w:rsidR="003E3ACA">
        <w:t>isso</w:t>
      </w:r>
      <w:r>
        <w:t xml:space="preserve">, </w:t>
      </w:r>
      <w:r w:rsidR="0088552B">
        <w:t xml:space="preserve">os resultados deste trabalho e toda </w:t>
      </w:r>
      <w:r w:rsidR="00A1462B">
        <w:t xml:space="preserve">a ciência e o entorno tecnológico presentes nesses cursos </w:t>
      </w:r>
      <w:r>
        <w:t>pode</w:t>
      </w:r>
      <w:r w:rsidR="0088552B">
        <w:t xml:space="preserve">m </w:t>
      </w:r>
      <w:r>
        <w:t>incentivar mais investimentos público</w:t>
      </w:r>
      <w:r w:rsidR="003E3ACA">
        <w:t>s</w:t>
      </w:r>
      <w:r>
        <w:t xml:space="preserve"> </w:t>
      </w:r>
      <w:r w:rsidR="003E3ACA">
        <w:t xml:space="preserve">e </w:t>
      </w:r>
      <w:r>
        <w:t>privado</w:t>
      </w:r>
      <w:r w:rsidR="003E3ACA">
        <w:t>s</w:t>
      </w:r>
      <w:r>
        <w:t xml:space="preserve"> </w:t>
      </w:r>
      <w:r w:rsidR="003E3ACA">
        <w:t xml:space="preserve">tanto na </w:t>
      </w:r>
      <w:r w:rsidR="0088552B">
        <w:t>moderni</w:t>
      </w:r>
      <w:r w:rsidR="0000781D">
        <w:t>zação desse</w:t>
      </w:r>
      <w:r w:rsidR="003E3ACA">
        <w:t>s bacharelados quanto na ampliação</w:t>
      </w:r>
      <w:r>
        <w:t xml:space="preserve"> </w:t>
      </w:r>
      <w:r w:rsidR="003E3ACA">
        <w:t>d</w:t>
      </w:r>
      <w:r w:rsidR="0000781D">
        <w:t>e</w:t>
      </w:r>
      <w:r>
        <w:t xml:space="preserve"> </w:t>
      </w:r>
      <w:r w:rsidR="0000781D">
        <w:t xml:space="preserve">suas </w:t>
      </w:r>
      <w:r>
        <w:t>oferta</w:t>
      </w:r>
      <w:r w:rsidR="0000781D">
        <w:t>s</w:t>
      </w:r>
      <w:r w:rsidR="00FB0A6F">
        <w:t xml:space="preserve"> de vagas</w:t>
      </w:r>
      <w:r w:rsidR="003E3ACA">
        <w:t xml:space="preserve">. </w:t>
      </w:r>
      <w:r w:rsidR="004F79BD">
        <w:t>Além do mais</w:t>
      </w:r>
      <w:r w:rsidR="003E3ACA">
        <w:t xml:space="preserve">, </w:t>
      </w:r>
      <w:r w:rsidR="008E7A71">
        <w:t>paralelamente ao objetivo principal de</w:t>
      </w:r>
      <w:r w:rsidR="004F79BD">
        <w:t xml:space="preserve"> cada um de</w:t>
      </w:r>
      <w:r w:rsidR="008E7A71">
        <w:t xml:space="preserve">sses cursos, </w:t>
      </w:r>
      <w:r w:rsidR="003E3ACA">
        <w:t>essas formações deve</w:t>
      </w:r>
      <w:r w:rsidR="008E7A71">
        <w:t>m</w:t>
      </w:r>
      <w:r w:rsidR="003E3ACA">
        <w:t xml:space="preserve"> manter-se </w:t>
      </w:r>
      <w:r w:rsidR="008E7A71">
        <w:t>gerando criatividade e promovendo</w:t>
      </w:r>
      <w:r w:rsidR="00FB0A6F">
        <w:t xml:space="preserve"> inovação </w:t>
      </w:r>
      <w:r w:rsidR="00C76B6F">
        <w:t>nos mais</w:t>
      </w:r>
      <w:r w:rsidR="00FB0A6F">
        <w:t xml:space="preserve"> v</w:t>
      </w:r>
      <w:r w:rsidR="00C76B6F">
        <w:t>ariados</w:t>
      </w:r>
      <w:r w:rsidR="00FB0A6F">
        <w:t xml:space="preserve"> setores </w:t>
      </w:r>
      <w:r w:rsidR="00C76B6F">
        <w:t>d</w:t>
      </w:r>
      <w:r w:rsidR="00FB0A6F">
        <w:t>o país</w:t>
      </w:r>
      <w:r w:rsidR="00A1462B">
        <w:t>.</w:t>
      </w:r>
    </w:p>
    <w:p w:rsidR="00686B79" w:rsidRPr="00B74F39" w:rsidRDefault="00686B79" w:rsidP="00686B79">
      <w:pPr>
        <w:pStyle w:val="FPCTextonormal"/>
        <w:spacing w:before="0" w:after="0"/>
        <w:rPr>
          <w:rFonts w:cs="Arial"/>
          <w:sz w:val="24"/>
        </w:rPr>
      </w:pPr>
    </w:p>
    <w:p w:rsidR="00686B79" w:rsidRDefault="00686B79" w:rsidP="00686B79">
      <w:pPr>
        <w:rPr>
          <w:b/>
          <w:sz w:val="24"/>
          <w:szCs w:val="24"/>
        </w:rPr>
      </w:pPr>
      <w:r>
        <w:rPr>
          <w:b/>
          <w:sz w:val="24"/>
          <w:szCs w:val="24"/>
        </w:rPr>
        <w:t>REFERÊNCIAS</w:t>
      </w:r>
    </w:p>
    <w:p w:rsidR="00D03991" w:rsidRPr="00B74F39" w:rsidRDefault="00D03991" w:rsidP="001E0666">
      <w:pPr>
        <w:autoSpaceDE/>
        <w:autoSpaceDN/>
        <w:spacing w:after="120"/>
        <w:jc w:val="left"/>
        <w:rPr>
          <w:sz w:val="24"/>
        </w:rPr>
      </w:pPr>
    </w:p>
    <w:p w:rsidR="00D03991" w:rsidRDefault="00D03991" w:rsidP="001E0666">
      <w:pPr>
        <w:autoSpaceDE/>
        <w:autoSpaceDN/>
        <w:spacing w:after="120"/>
        <w:jc w:val="left"/>
      </w:pPr>
      <w:r>
        <w:t xml:space="preserve">BASILIO, Gustavo Borges. </w:t>
      </w:r>
      <w:r w:rsidRPr="00CA62F5">
        <w:rPr>
          <w:i/>
        </w:rPr>
        <w:t>O curso superior em ciências aeronáuticas como requisito para obtenção de licenças de pilotagem</w:t>
      </w:r>
      <w:r>
        <w:t xml:space="preserve">: uma medida proativa na prevenção de acidentes. 2012. 83 f. Dissertação (Mestrado de Engenharia em Segurança de Aviação e </w:t>
      </w:r>
      <w:proofErr w:type="spellStart"/>
      <w:r>
        <w:t>Aeronavegabilidade</w:t>
      </w:r>
      <w:proofErr w:type="spellEnd"/>
      <w:r>
        <w:t xml:space="preserve"> Continuada), Programa de Pós-Graduação em Engenharia Aeronáutica e Mecânica, Instituto Tecnológico de Aeronáutica, São José dos Campos, 2012. Disponível em: http://www.bdita.bibl.ita.br/. Acesso em: 27 out. 2019.</w:t>
      </w:r>
    </w:p>
    <w:p w:rsidR="00D03991" w:rsidRDefault="00D03991" w:rsidP="001E0666">
      <w:pPr>
        <w:autoSpaceDE/>
        <w:autoSpaceDN/>
        <w:spacing w:after="120"/>
        <w:jc w:val="left"/>
      </w:pPr>
      <w:r>
        <w:t xml:space="preserve">CRESWELL, J. W. </w:t>
      </w:r>
      <w:r w:rsidRPr="00B5371D">
        <w:rPr>
          <w:i/>
        </w:rPr>
        <w:t>Projeto de Pesquisa</w:t>
      </w:r>
      <w:r>
        <w:t xml:space="preserve">: métodos qualitativo, quantitativo e misto. Tradução: Luciana de Oliveira da Rocha. 2. </w:t>
      </w:r>
      <w:proofErr w:type="gramStart"/>
      <w:r>
        <w:t>ed.</w:t>
      </w:r>
      <w:proofErr w:type="gramEnd"/>
      <w:r>
        <w:t>, Porto Alegre: Artmed, 2007</w:t>
      </w:r>
      <w:r w:rsidR="00274764">
        <w:t xml:space="preserve">, </w:t>
      </w:r>
      <w:r w:rsidR="004465BD">
        <w:t>247 p.</w:t>
      </w:r>
      <w:r>
        <w:t>.</w:t>
      </w:r>
    </w:p>
    <w:p w:rsidR="00D03991" w:rsidRDefault="00D03991" w:rsidP="001E0666">
      <w:pPr>
        <w:autoSpaceDE/>
        <w:autoSpaceDN/>
        <w:spacing w:after="120"/>
        <w:jc w:val="left"/>
      </w:pPr>
      <w:r w:rsidRPr="00D03991">
        <w:rPr>
          <w:lang w:val="en-US"/>
        </w:rPr>
        <w:t xml:space="preserve">KUKULSKA-HULME, Agnes. How should the higher education workforce adapt to advancements in technology for teaching and learning? </w:t>
      </w:r>
      <w:r w:rsidR="00B5371D" w:rsidRPr="005446C3">
        <w:t xml:space="preserve">In: </w:t>
      </w:r>
      <w:r w:rsidRPr="00B5371D">
        <w:rPr>
          <w:i/>
        </w:rPr>
        <w:t xml:space="preserve">Internet </w:t>
      </w:r>
      <w:proofErr w:type="spellStart"/>
      <w:r w:rsidRPr="00B5371D">
        <w:rPr>
          <w:i/>
        </w:rPr>
        <w:t>and</w:t>
      </w:r>
      <w:proofErr w:type="spellEnd"/>
      <w:r w:rsidRPr="00B5371D">
        <w:rPr>
          <w:i/>
        </w:rPr>
        <w:t xml:space="preserve"> </w:t>
      </w:r>
      <w:proofErr w:type="spellStart"/>
      <w:r w:rsidRPr="00B5371D">
        <w:rPr>
          <w:i/>
        </w:rPr>
        <w:t>Higher</w:t>
      </w:r>
      <w:proofErr w:type="spellEnd"/>
      <w:r w:rsidRPr="00B5371D">
        <w:rPr>
          <w:i/>
        </w:rPr>
        <w:t xml:space="preserve"> </w:t>
      </w:r>
      <w:proofErr w:type="spellStart"/>
      <w:r w:rsidRPr="00B5371D">
        <w:rPr>
          <w:i/>
        </w:rPr>
        <w:t>Education</w:t>
      </w:r>
      <w:proofErr w:type="spellEnd"/>
      <w:r>
        <w:t>, n. 15, 2012, p. 247–254.</w:t>
      </w:r>
    </w:p>
    <w:p w:rsidR="00D03991" w:rsidRDefault="00D03991" w:rsidP="001E0666">
      <w:pPr>
        <w:autoSpaceDE/>
        <w:autoSpaceDN/>
        <w:spacing w:after="120"/>
        <w:jc w:val="left"/>
      </w:pPr>
      <w:r>
        <w:t xml:space="preserve">MARCONI, M. de A.; LAKATOS, E. M. </w:t>
      </w:r>
      <w:r w:rsidRPr="00B5371D">
        <w:rPr>
          <w:i/>
        </w:rPr>
        <w:t>Fundamentos de Metodologia Científica</w:t>
      </w:r>
      <w:r>
        <w:t xml:space="preserve">. 5. </w:t>
      </w:r>
      <w:proofErr w:type="gramStart"/>
      <w:r>
        <w:t>ed.</w:t>
      </w:r>
      <w:proofErr w:type="gramEnd"/>
      <w:r>
        <w:t>. São Paulo: Atlas, 2003.</w:t>
      </w:r>
    </w:p>
    <w:p w:rsidR="00D03991" w:rsidRDefault="00D03991" w:rsidP="001E0666">
      <w:pPr>
        <w:autoSpaceDE/>
        <w:autoSpaceDN/>
        <w:spacing w:after="120"/>
        <w:jc w:val="left"/>
      </w:pPr>
      <w:r>
        <w:t>MINISTÉRIO DA EDUCAÇÃO (</w:t>
      </w:r>
      <w:proofErr w:type="spellStart"/>
      <w:r>
        <w:t>e-MEC</w:t>
      </w:r>
      <w:proofErr w:type="spellEnd"/>
      <w:r>
        <w:t xml:space="preserve">). </w:t>
      </w:r>
      <w:r w:rsidRPr="00AA1FF1">
        <w:rPr>
          <w:i/>
        </w:rPr>
        <w:t xml:space="preserve">Cadastro Nacional de Cursos e Instituições de Educação Superior Cadastro </w:t>
      </w:r>
      <w:proofErr w:type="spellStart"/>
      <w:r w:rsidRPr="00AA1FF1">
        <w:rPr>
          <w:i/>
        </w:rPr>
        <w:t>e-MEC</w:t>
      </w:r>
      <w:proofErr w:type="spellEnd"/>
      <w:r>
        <w:t>. Disponível em: http://emec.mec.gov.br. Acesso em: 10 out. 2019.</w:t>
      </w:r>
    </w:p>
    <w:p w:rsidR="00D03991" w:rsidRDefault="00D03991" w:rsidP="001E0666">
      <w:pPr>
        <w:autoSpaceDE/>
        <w:autoSpaceDN/>
        <w:spacing w:after="120"/>
        <w:jc w:val="left"/>
      </w:pPr>
      <w:r>
        <w:t xml:space="preserve">MINISTÉRIO DA EDUCAÇÃO (MEC). Conselho Nacional de Educação. Câmara de Educação Superior. Resolução nº 2, de 18 de junho de 2007. Dispõe sobre carga horária mínima e procedimentos relativos à integralização e duração dos cursos de graduação, bacharelados, na modalidade presencial. </w:t>
      </w:r>
      <w:r w:rsidRPr="00AA1FF1">
        <w:rPr>
          <w:i/>
        </w:rPr>
        <w:t>Diário Oficial da União</w:t>
      </w:r>
      <w:r>
        <w:t>: seção 1, Brasília, DF, p. 23, 17 set. 2007.</w:t>
      </w:r>
    </w:p>
    <w:p w:rsidR="00D03991" w:rsidRDefault="00D03991" w:rsidP="001E0666">
      <w:pPr>
        <w:autoSpaceDE/>
        <w:autoSpaceDN/>
        <w:spacing w:after="120"/>
        <w:jc w:val="left"/>
      </w:pPr>
      <w:r>
        <w:t xml:space="preserve">MINISTÉRIO DA EDUCAÇÃO (MEC). Conselho Nacional de Educação. Câmara de Educação Superior. Resolução nº 3, de 12 de julho de 2018. Institui as Diretrizes Curriculares Nacionais dos cursos de graduação em Ciências Aeronáuticas, bacharelado e dá outras providências. </w:t>
      </w:r>
      <w:r w:rsidRPr="00AA1FF1">
        <w:rPr>
          <w:i/>
        </w:rPr>
        <w:t>Diário Oficial da União</w:t>
      </w:r>
      <w:r>
        <w:t>: seção 1, Brasília, DF, ed. 139, p. 18, 20 jul. 2018.</w:t>
      </w:r>
    </w:p>
    <w:p w:rsidR="00D03991" w:rsidRDefault="00D03991" w:rsidP="001E0666">
      <w:pPr>
        <w:autoSpaceDE/>
        <w:autoSpaceDN/>
        <w:spacing w:after="120"/>
        <w:jc w:val="left"/>
      </w:pPr>
      <w:r>
        <w:t xml:space="preserve">MINISTÉRIO DA EDUCAÇÃO (MEC). Conselho Nacional de Educação. Câmara de Educação Superior. Resolução nº 2, de 24 de abril de 2019. Institui as Diretrizes Curriculares Nacionais dos cursos de graduação em Engenharia. </w:t>
      </w:r>
      <w:r w:rsidRPr="00AA1FF1">
        <w:rPr>
          <w:i/>
        </w:rPr>
        <w:t>Diário Oficial da União</w:t>
      </w:r>
      <w:r>
        <w:t>: seção 1, Brasília, DF, n. 80, p. 43, 26 abr. 2019.</w:t>
      </w:r>
    </w:p>
    <w:p w:rsidR="00D03991" w:rsidRDefault="00D03991" w:rsidP="001E0666">
      <w:pPr>
        <w:autoSpaceDE/>
        <w:autoSpaceDN/>
        <w:spacing w:after="120"/>
        <w:jc w:val="left"/>
      </w:pPr>
      <w:r>
        <w:lastRenderedPageBreak/>
        <w:t xml:space="preserve">MINISTÉRIO DA EDUCAÇÃO (MEC). </w:t>
      </w:r>
      <w:r w:rsidRPr="00AA1FF1">
        <w:rPr>
          <w:i/>
        </w:rPr>
        <w:t>Referenciais Nacionais dos Cursos de Bacharelado e Licenciatura/Secretaria de Educação Superior</w:t>
      </w:r>
      <w:r>
        <w:t>. – Brasília: Ministério da Educação, 2010. 99p. Disponível em: http://portal.mec.gov.br/dmdocuments/referenciais.pdf. Acesso em: 30 out. 2019.</w:t>
      </w:r>
    </w:p>
    <w:p w:rsidR="00D03991" w:rsidRDefault="00D03991" w:rsidP="001E0666">
      <w:pPr>
        <w:autoSpaceDE/>
        <w:autoSpaceDN/>
        <w:spacing w:after="120"/>
        <w:jc w:val="left"/>
      </w:pPr>
      <w:r>
        <w:t xml:space="preserve">PONTIFÍCIA UNIVERSIDADE CATÓLICA DO RIO GRANDE DO SUL (PUC-RS). </w:t>
      </w:r>
      <w:r w:rsidRPr="00AA1FF1">
        <w:rPr>
          <w:i/>
        </w:rPr>
        <w:t>Graduação. Ciências Aeronáuticas</w:t>
      </w:r>
      <w:r>
        <w:t>. Disponível em: http://www.pucrs.br/estudenapucrs/cursos/ciencias-aeronauticas/. Acesso em: 25 out. 2019.</w:t>
      </w:r>
    </w:p>
    <w:p w:rsidR="00D03991" w:rsidRDefault="00D03991" w:rsidP="001E0666">
      <w:pPr>
        <w:autoSpaceDE/>
        <w:autoSpaceDN/>
        <w:spacing w:after="120"/>
        <w:jc w:val="left"/>
      </w:pPr>
      <w:r>
        <w:t xml:space="preserve">REZENDE, Sérgio Machado. </w:t>
      </w:r>
      <w:r w:rsidRPr="00AA1FF1">
        <w:rPr>
          <w:i/>
        </w:rPr>
        <w:t>Apresentação</w:t>
      </w:r>
      <w:r>
        <w:t xml:space="preserve">. In: BARROS, Henrique Lins de. </w:t>
      </w:r>
      <w:proofErr w:type="gramStart"/>
      <w:r>
        <w:t>Santos Dumont</w:t>
      </w:r>
      <w:proofErr w:type="gramEnd"/>
      <w:r>
        <w:t xml:space="preserve"> e a Invenção do Av</w:t>
      </w:r>
      <w:r w:rsidR="00274764">
        <w:t>ião, Rio de Janeiro: CBPF, 2006,</w:t>
      </w:r>
      <w:r>
        <w:t xml:space="preserve"> 20 p..</w:t>
      </w:r>
    </w:p>
    <w:p w:rsidR="00D03991" w:rsidRDefault="00D03991" w:rsidP="001E0666">
      <w:pPr>
        <w:autoSpaceDE/>
        <w:autoSpaceDN/>
        <w:spacing w:after="120"/>
        <w:jc w:val="left"/>
      </w:pPr>
      <w:r>
        <w:t xml:space="preserve">RIBEIRO, </w:t>
      </w:r>
      <w:proofErr w:type="spellStart"/>
      <w:r>
        <w:t>Elones</w:t>
      </w:r>
      <w:proofErr w:type="spellEnd"/>
      <w:r>
        <w:t xml:space="preserve"> Fernandes. </w:t>
      </w:r>
      <w:r w:rsidRPr="00AA1FF1">
        <w:rPr>
          <w:i/>
        </w:rPr>
        <w:t>A Formação do Piloto de Linha Aérea</w:t>
      </w:r>
      <w:r>
        <w:t>: caso VARIG - o ensino aeronáutico acompanhando a evolução tecnológica. 2008. 385 f. Tese (Doutorado em História), Programa de Pós-Graduação em História da Faculdade de Filosofia e Ciências Humanas, Pontifícia Universidade Católica, Porto Alegre, 2008. Disponível em: http://meriva.pucrs.br/dspace/handle/10923/3773. Acesso em: 28 out. 2019.</w:t>
      </w:r>
    </w:p>
    <w:p w:rsidR="00D03991" w:rsidRDefault="00D03991" w:rsidP="001E0666">
      <w:pPr>
        <w:autoSpaceDE/>
        <w:autoSpaceDN/>
        <w:spacing w:after="120"/>
        <w:jc w:val="left"/>
      </w:pPr>
      <w:r>
        <w:t xml:space="preserve">SILVA, E. L.; MENEZES, E. M. </w:t>
      </w:r>
      <w:r w:rsidRPr="00AA1FF1">
        <w:rPr>
          <w:i/>
        </w:rPr>
        <w:t>Metodologia da pesquisa e elaboração de dissertação</w:t>
      </w:r>
      <w:r>
        <w:t>. 4</w:t>
      </w:r>
      <w:r w:rsidR="00B44325">
        <w:t>.</w:t>
      </w:r>
      <w:r w:rsidR="00274764">
        <w:t xml:space="preserve"> </w:t>
      </w:r>
      <w:proofErr w:type="gramStart"/>
      <w:r w:rsidR="00274764">
        <w:t>ed.</w:t>
      </w:r>
      <w:proofErr w:type="gramEnd"/>
      <w:r w:rsidR="00274764">
        <w:t xml:space="preserve">, Florianópolis: UFSC, 2005, </w:t>
      </w:r>
      <w:r w:rsidR="00B44325">
        <w:t>138 p.</w:t>
      </w:r>
      <w:r>
        <w:t>.</w:t>
      </w:r>
    </w:p>
    <w:p w:rsidR="00D03991" w:rsidRDefault="00D03991" w:rsidP="001E0666">
      <w:pPr>
        <w:autoSpaceDE/>
        <w:autoSpaceDN/>
        <w:spacing w:after="120"/>
        <w:jc w:val="left"/>
      </w:pPr>
      <w:r>
        <w:t xml:space="preserve">VIEIRA, Felipe </w:t>
      </w:r>
      <w:proofErr w:type="spellStart"/>
      <w:r>
        <w:t>Koeller</w:t>
      </w:r>
      <w:proofErr w:type="spellEnd"/>
      <w:r>
        <w:t xml:space="preserve"> Rodrigues. </w:t>
      </w:r>
      <w:r w:rsidRPr="00AA1FF1">
        <w:t>A formação de aviadores no Brasil (e no mundo)</w:t>
      </w:r>
      <w:r>
        <w:t xml:space="preserve">: o status quo e a necessidade de mudança do paradigma vigente. </w:t>
      </w:r>
      <w:r w:rsidR="00AA1FF1">
        <w:t>Em</w:t>
      </w:r>
      <w:r w:rsidR="00AA1FF1" w:rsidRPr="00AA1FF1">
        <w:rPr>
          <w:i/>
        </w:rPr>
        <w:t xml:space="preserve">: </w:t>
      </w:r>
      <w:r w:rsidRPr="00AA1FF1">
        <w:rPr>
          <w:i/>
        </w:rPr>
        <w:t>Revista Conexão SIPAER</w:t>
      </w:r>
      <w:r>
        <w:t>, v. 1, n. 3, jul. 2010</w:t>
      </w:r>
      <w:r w:rsidR="00FF7110">
        <w:t>, p. 4 a 21</w:t>
      </w:r>
      <w:r>
        <w:t>.</w:t>
      </w:r>
      <w:bookmarkEnd w:id="2"/>
    </w:p>
    <w:sectPr w:rsidR="00D03991" w:rsidSect="002C426D">
      <w:headerReference w:type="even" r:id="rId12"/>
      <w:headerReference w:type="default" r:id="rId13"/>
      <w:footerReference w:type="even" r:id="rId14"/>
      <w:footerReference w:type="default" r:id="rId15"/>
      <w:headerReference w:type="first" r:id="rId16"/>
      <w:footerReference w:type="first" r:id="rId17"/>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75F" w:rsidRDefault="0001375F">
      <w:r>
        <w:separator/>
      </w:r>
    </w:p>
  </w:endnote>
  <w:endnote w:type="continuationSeparator" w:id="0">
    <w:p w:rsidR="0001375F" w:rsidRDefault="0001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6D" w:rsidRDefault="002C426D">
    <w:pPr>
      <w:pStyle w:val="Piedepgina"/>
      <w:jc w:val="right"/>
    </w:pPr>
    <w:r>
      <w:fldChar w:fldCharType="begin"/>
    </w:r>
    <w:r>
      <w:instrText>PAGE   \* MERGEFORMAT</w:instrText>
    </w:r>
    <w:r>
      <w:fldChar w:fldCharType="separate"/>
    </w:r>
    <w:r>
      <w:rPr>
        <w:noProof/>
      </w:rPr>
      <w:t>2</w:t>
    </w:r>
    <w:r>
      <w:rPr>
        <w:noProof/>
      </w:rPr>
      <w:fldChar w:fldCharType="end"/>
    </w:r>
  </w:p>
  <w:p w:rsidR="002C426D" w:rsidRDefault="002C426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6D" w:rsidRPr="00BC7195" w:rsidRDefault="002C426D">
    <w:pPr>
      <w:pStyle w:val="Piedepgina"/>
    </w:pPr>
    <w:r>
      <w:rPr>
        <w:noProof/>
      </w:rPr>
      <w:drawing>
        <wp:anchor distT="0" distB="0" distL="114300" distR="114300" simplePos="0" relativeHeight="251668480" behindDoc="0" locked="0" layoutInCell="1" allowOverlap="1" wp14:anchorId="02B0F0C9" wp14:editId="59120737">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3ABABAA" wp14:editId="0BE56BB5">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7B61B526" wp14:editId="6E6F6E0F">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26D" w:rsidRPr="001E0AF0" w:rsidRDefault="002C426D" w:rsidP="002C426D">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2C426D" w:rsidRPr="001E0AF0" w:rsidRDefault="002C426D" w:rsidP="002C426D">
                    <w:pPr>
                      <w:rPr>
                        <w:b/>
                      </w:rPr>
                    </w:pPr>
                    <w:r>
                      <w:rPr>
                        <w:b/>
                      </w:rPr>
                      <w:t>Apoio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3DE2E02" wp14:editId="3D97E69B">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26D" w:rsidRPr="001E0AF0" w:rsidRDefault="002C426D">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2C426D" w:rsidRPr="001E0AF0" w:rsidRDefault="002C426D">
                    <w:pPr>
                      <w:rPr>
                        <w:b/>
                      </w:rPr>
                    </w:pPr>
                    <w:r w:rsidRPr="001E0AF0">
                      <w:rPr>
                        <w:b/>
                      </w:rPr>
                      <w:t>Realização</w:t>
                    </w:r>
                  </w:p>
                </w:txbxContent>
              </v:textbox>
            </v:shape>
          </w:pict>
        </mc:Fallback>
      </mc:AlternateContent>
    </w:r>
  </w:p>
  <w:p w:rsidR="002C426D" w:rsidRDefault="002C426D">
    <w:pPr>
      <w:pStyle w:val="Piedepgina"/>
    </w:pPr>
    <w:r>
      <w:rPr>
        <w:noProof/>
      </w:rPr>
      <w:drawing>
        <wp:anchor distT="0" distB="0" distL="114300" distR="114300" simplePos="0" relativeHeight="251669504" behindDoc="0" locked="0" layoutInCell="1" allowOverlap="1" wp14:anchorId="0776A706" wp14:editId="6DF23511">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6D" w:rsidRDefault="002C426D" w:rsidP="002C426D">
    <w:pPr>
      <w:pStyle w:val="Piedepgina"/>
      <w:jc w:val="center"/>
    </w:pPr>
    <w:r>
      <w:t xml:space="preserve">II CONINTER – Congresso Internacional Interdisciplinar em Sociais e Humanidades </w:t>
    </w:r>
  </w:p>
  <w:p w:rsidR="002C426D" w:rsidRDefault="002C426D" w:rsidP="002C426D">
    <w:pPr>
      <w:pStyle w:val="Piedepgina"/>
      <w:jc w:val="center"/>
    </w:pPr>
    <w:r>
      <w:t xml:space="preserve">Belo Horizonte, de 8 a 11 de outubro de </w:t>
    </w:r>
    <w:proofErr w:type="gramStart"/>
    <w:r>
      <w:t>2013</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75F" w:rsidRDefault="0001375F">
      <w:r>
        <w:separator/>
      </w:r>
    </w:p>
  </w:footnote>
  <w:footnote w:type="continuationSeparator" w:id="0">
    <w:p w:rsidR="0001375F" w:rsidRDefault="00013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B7" w:rsidRDefault="005E2B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6D" w:rsidRDefault="002C426D" w:rsidP="000C3153">
    <w:pPr>
      <w:pStyle w:val="Encabezado"/>
      <w:jc w:val="right"/>
    </w:pPr>
    <w:r>
      <w:rPr>
        <w:noProof/>
      </w:rPr>
      <w:drawing>
        <wp:inline distT="0" distB="0" distL="0" distR="0" wp14:anchorId="7F719E67" wp14:editId="44D6E235">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6D" w:rsidRDefault="002C426D">
    <w:pPr>
      <w:pStyle w:val="Encabezado"/>
      <w:jc w:val="right"/>
    </w:pPr>
    <w:r>
      <w:rPr>
        <w:noProof/>
      </w:rPr>
      <w:drawing>
        <wp:anchor distT="0" distB="0" distL="114300" distR="114300" simplePos="0" relativeHeight="251660288" behindDoc="0" locked="0" layoutInCell="1" allowOverlap="1" wp14:anchorId="7FEACD99" wp14:editId="6DDE7385">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2C426D" w:rsidRPr="00447739" w:rsidRDefault="002C426D" w:rsidP="002C426D">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219533F"/>
    <w:multiLevelType w:val="multilevel"/>
    <w:tmpl w:val="E0023060"/>
    <w:lvl w:ilvl="0">
      <w:start w:val="3"/>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nsid w:val="5828379C"/>
    <w:multiLevelType w:val="multilevel"/>
    <w:tmpl w:val="504832C8"/>
    <w:lvl w:ilvl="0">
      <w:start w:val="3"/>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79"/>
    <w:rsid w:val="0000781D"/>
    <w:rsid w:val="0001375F"/>
    <w:rsid w:val="00094FA9"/>
    <w:rsid w:val="000979DD"/>
    <w:rsid w:val="000C3153"/>
    <w:rsid w:val="000E0DE7"/>
    <w:rsid w:val="000E6DA7"/>
    <w:rsid w:val="00123B99"/>
    <w:rsid w:val="00137055"/>
    <w:rsid w:val="00171DE4"/>
    <w:rsid w:val="00172E98"/>
    <w:rsid w:val="00195511"/>
    <w:rsid w:val="001E0666"/>
    <w:rsid w:val="001E428C"/>
    <w:rsid w:val="001E79CC"/>
    <w:rsid w:val="001F059A"/>
    <w:rsid w:val="0020648D"/>
    <w:rsid w:val="0027375B"/>
    <w:rsid w:val="00274764"/>
    <w:rsid w:val="00292221"/>
    <w:rsid w:val="002C426D"/>
    <w:rsid w:val="002F639E"/>
    <w:rsid w:val="00321EB6"/>
    <w:rsid w:val="003A2582"/>
    <w:rsid w:val="003A55FD"/>
    <w:rsid w:val="003B0693"/>
    <w:rsid w:val="003B5245"/>
    <w:rsid w:val="003E140B"/>
    <w:rsid w:val="003E3ACA"/>
    <w:rsid w:val="0043176F"/>
    <w:rsid w:val="004465BD"/>
    <w:rsid w:val="00464505"/>
    <w:rsid w:val="004E73DB"/>
    <w:rsid w:val="004F3602"/>
    <w:rsid w:val="004F79BD"/>
    <w:rsid w:val="00525953"/>
    <w:rsid w:val="005409DD"/>
    <w:rsid w:val="005446C3"/>
    <w:rsid w:val="005500A2"/>
    <w:rsid w:val="00565168"/>
    <w:rsid w:val="00586709"/>
    <w:rsid w:val="00596B11"/>
    <w:rsid w:val="005E2BB7"/>
    <w:rsid w:val="005E7664"/>
    <w:rsid w:val="005F5263"/>
    <w:rsid w:val="006204FF"/>
    <w:rsid w:val="00635A7C"/>
    <w:rsid w:val="00670742"/>
    <w:rsid w:val="0068594A"/>
    <w:rsid w:val="00686B79"/>
    <w:rsid w:val="006A7008"/>
    <w:rsid w:val="006B30CF"/>
    <w:rsid w:val="006F2D8D"/>
    <w:rsid w:val="006F6A84"/>
    <w:rsid w:val="0071066D"/>
    <w:rsid w:val="00752988"/>
    <w:rsid w:val="007624B3"/>
    <w:rsid w:val="007D1B51"/>
    <w:rsid w:val="00802913"/>
    <w:rsid w:val="0082067A"/>
    <w:rsid w:val="00822E3B"/>
    <w:rsid w:val="00831C1A"/>
    <w:rsid w:val="00837773"/>
    <w:rsid w:val="0088552B"/>
    <w:rsid w:val="008B241D"/>
    <w:rsid w:val="008E7A71"/>
    <w:rsid w:val="00910E55"/>
    <w:rsid w:val="00934EB1"/>
    <w:rsid w:val="009B057C"/>
    <w:rsid w:val="009D271C"/>
    <w:rsid w:val="009E0BF1"/>
    <w:rsid w:val="00A1462B"/>
    <w:rsid w:val="00A16292"/>
    <w:rsid w:val="00AA1FF1"/>
    <w:rsid w:val="00AA3599"/>
    <w:rsid w:val="00AB1213"/>
    <w:rsid w:val="00AD2110"/>
    <w:rsid w:val="00AF63AD"/>
    <w:rsid w:val="00B06445"/>
    <w:rsid w:val="00B07545"/>
    <w:rsid w:val="00B44325"/>
    <w:rsid w:val="00B5371D"/>
    <w:rsid w:val="00B74F39"/>
    <w:rsid w:val="00BB6D23"/>
    <w:rsid w:val="00BD5CE6"/>
    <w:rsid w:val="00C13EAD"/>
    <w:rsid w:val="00C33259"/>
    <w:rsid w:val="00C541EE"/>
    <w:rsid w:val="00C62CEE"/>
    <w:rsid w:val="00C73370"/>
    <w:rsid w:val="00C76B6F"/>
    <w:rsid w:val="00CA62F5"/>
    <w:rsid w:val="00CE0D74"/>
    <w:rsid w:val="00D03991"/>
    <w:rsid w:val="00D1386A"/>
    <w:rsid w:val="00D544B4"/>
    <w:rsid w:val="00DF0F38"/>
    <w:rsid w:val="00DF3767"/>
    <w:rsid w:val="00E218E7"/>
    <w:rsid w:val="00E2704E"/>
    <w:rsid w:val="00E535CB"/>
    <w:rsid w:val="00EB4D84"/>
    <w:rsid w:val="00F008AF"/>
    <w:rsid w:val="00F55FDE"/>
    <w:rsid w:val="00F824E1"/>
    <w:rsid w:val="00FB0A6F"/>
    <w:rsid w:val="00FB1717"/>
    <w:rsid w:val="00FF71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86B79"/>
    <w:pPr>
      <w:tabs>
        <w:tab w:val="center" w:pos="4419"/>
        <w:tab w:val="right" w:pos="8838"/>
      </w:tabs>
    </w:pPr>
  </w:style>
  <w:style w:type="character" w:customStyle="1" w:styleId="EncabezadoCar">
    <w:name w:val="Encabezado Car"/>
    <w:basedOn w:val="Fuentedeprrafopredeter"/>
    <w:link w:val="Encabezado"/>
    <w:uiPriority w:val="99"/>
    <w:rsid w:val="00686B79"/>
    <w:rPr>
      <w:rFonts w:ascii="Arial" w:eastAsia="MS Mincho" w:hAnsi="Arial" w:cs="Times New Roman"/>
      <w:sz w:val="20"/>
      <w:szCs w:val="20"/>
      <w:lang w:eastAsia="pt-BR"/>
    </w:rPr>
  </w:style>
  <w:style w:type="paragraph" w:styleId="Piedepgina">
    <w:name w:val="footer"/>
    <w:basedOn w:val="Normal"/>
    <w:link w:val="PiedepginaCar"/>
    <w:uiPriority w:val="99"/>
    <w:rsid w:val="00686B79"/>
    <w:pPr>
      <w:tabs>
        <w:tab w:val="center" w:pos="4419"/>
        <w:tab w:val="right" w:pos="8838"/>
      </w:tabs>
    </w:pPr>
  </w:style>
  <w:style w:type="character" w:customStyle="1" w:styleId="PiedepginaCar">
    <w:name w:val="Pie de página Car"/>
    <w:basedOn w:val="Fuentedeprrafopredeter"/>
    <w:link w:val="Piedepgina"/>
    <w:uiPriority w:val="99"/>
    <w:rsid w:val="00686B79"/>
    <w:rPr>
      <w:rFonts w:ascii="Arial" w:eastAsia="MS Mincho" w:hAnsi="Arial" w:cs="Times New Roman"/>
      <w:sz w:val="20"/>
      <w:szCs w:val="20"/>
      <w:lang w:eastAsia="pt-BR"/>
    </w:rPr>
  </w:style>
  <w:style w:type="character" w:styleId="Textoennegrita">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ipervnculo">
    <w:name w:val="Hyperlink"/>
    <w:basedOn w:val="Fuentedeprrafopredeter"/>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ar"/>
    <w:qFormat/>
    <w:rsid w:val="00686B79"/>
    <w:pPr>
      <w:spacing w:line="360" w:lineRule="auto"/>
      <w:jc w:val="center"/>
      <w:outlineLvl w:val="0"/>
    </w:pPr>
    <w:rPr>
      <w:rFonts w:eastAsia="Times New Roman"/>
      <w:b/>
      <w:bCs/>
      <w:caps/>
      <w:kern w:val="28"/>
      <w:sz w:val="28"/>
      <w:szCs w:val="32"/>
    </w:rPr>
  </w:style>
  <w:style w:type="character" w:customStyle="1" w:styleId="TtuloCar">
    <w:name w:val="Título Car"/>
    <w:basedOn w:val="Fuentedeprrafopredeter"/>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ar"/>
    <w:qFormat/>
    <w:rsid w:val="00686B79"/>
    <w:pPr>
      <w:ind w:left="2268"/>
    </w:pPr>
    <w:rPr>
      <w:rFonts w:eastAsia="Times New Roman"/>
      <w:szCs w:val="24"/>
    </w:rPr>
  </w:style>
  <w:style w:type="character" w:customStyle="1" w:styleId="SubttuloCar">
    <w:name w:val="Subtítulo Car"/>
    <w:aliases w:val="Citação Direta Car"/>
    <w:basedOn w:val="Fuentedeprrafopredeter"/>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inespaciad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globo">
    <w:name w:val="Balloon Text"/>
    <w:basedOn w:val="Normal"/>
    <w:link w:val="TextodegloboCar"/>
    <w:uiPriority w:val="99"/>
    <w:semiHidden/>
    <w:unhideWhenUsed/>
    <w:rsid w:val="000C3153"/>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153"/>
    <w:rPr>
      <w:rFonts w:ascii="Tahoma" w:eastAsia="MS Mincho" w:hAnsi="Tahoma" w:cs="Tahoma"/>
      <w:sz w:val="16"/>
      <w:szCs w:val="16"/>
      <w:lang w:eastAsia="pt-BR"/>
    </w:rPr>
  </w:style>
  <w:style w:type="paragraph" w:styleId="Prrafodelista">
    <w:name w:val="List Paragraph"/>
    <w:basedOn w:val="Normal"/>
    <w:uiPriority w:val="34"/>
    <w:qFormat/>
    <w:rsid w:val="00752988"/>
    <w:pPr>
      <w:ind w:left="720"/>
      <w:contextualSpacing/>
    </w:pPr>
  </w:style>
  <w:style w:type="character" w:customStyle="1" w:styleId="tlid-translation">
    <w:name w:val="tlid-translation"/>
    <w:basedOn w:val="Fuentedeprrafopredeter"/>
    <w:rsid w:val="002C426D"/>
  </w:style>
  <w:style w:type="character" w:customStyle="1" w:styleId="alt-edited">
    <w:name w:val="alt-edited"/>
    <w:basedOn w:val="Fuentedeprrafopredeter"/>
    <w:rsid w:val="002C4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86B79"/>
    <w:pPr>
      <w:tabs>
        <w:tab w:val="center" w:pos="4419"/>
        <w:tab w:val="right" w:pos="8838"/>
      </w:tabs>
    </w:pPr>
  </w:style>
  <w:style w:type="character" w:customStyle="1" w:styleId="EncabezadoCar">
    <w:name w:val="Encabezado Car"/>
    <w:basedOn w:val="Fuentedeprrafopredeter"/>
    <w:link w:val="Encabezado"/>
    <w:uiPriority w:val="99"/>
    <w:rsid w:val="00686B79"/>
    <w:rPr>
      <w:rFonts w:ascii="Arial" w:eastAsia="MS Mincho" w:hAnsi="Arial" w:cs="Times New Roman"/>
      <w:sz w:val="20"/>
      <w:szCs w:val="20"/>
      <w:lang w:eastAsia="pt-BR"/>
    </w:rPr>
  </w:style>
  <w:style w:type="paragraph" w:styleId="Piedepgina">
    <w:name w:val="footer"/>
    <w:basedOn w:val="Normal"/>
    <w:link w:val="PiedepginaCar"/>
    <w:uiPriority w:val="99"/>
    <w:rsid w:val="00686B79"/>
    <w:pPr>
      <w:tabs>
        <w:tab w:val="center" w:pos="4419"/>
        <w:tab w:val="right" w:pos="8838"/>
      </w:tabs>
    </w:pPr>
  </w:style>
  <w:style w:type="character" w:customStyle="1" w:styleId="PiedepginaCar">
    <w:name w:val="Pie de página Car"/>
    <w:basedOn w:val="Fuentedeprrafopredeter"/>
    <w:link w:val="Piedepgina"/>
    <w:uiPriority w:val="99"/>
    <w:rsid w:val="00686B79"/>
    <w:rPr>
      <w:rFonts w:ascii="Arial" w:eastAsia="MS Mincho" w:hAnsi="Arial" w:cs="Times New Roman"/>
      <w:sz w:val="20"/>
      <w:szCs w:val="20"/>
      <w:lang w:eastAsia="pt-BR"/>
    </w:rPr>
  </w:style>
  <w:style w:type="character" w:styleId="Textoennegrita">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ipervnculo">
    <w:name w:val="Hyperlink"/>
    <w:basedOn w:val="Fuentedeprrafopredeter"/>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ar"/>
    <w:qFormat/>
    <w:rsid w:val="00686B79"/>
    <w:pPr>
      <w:spacing w:line="360" w:lineRule="auto"/>
      <w:jc w:val="center"/>
      <w:outlineLvl w:val="0"/>
    </w:pPr>
    <w:rPr>
      <w:rFonts w:eastAsia="Times New Roman"/>
      <w:b/>
      <w:bCs/>
      <w:caps/>
      <w:kern w:val="28"/>
      <w:sz w:val="28"/>
      <w:szCs w:val="32"/>
    </w:rPr>
  </w:style>
  <w:style w:type="character" w:customStyle="1" w:styleId="TtuloCar">
    <w:name w:val="Título Car"/>
    <w:basedOn w:val="Fuentedeprrafopredeter"/>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ar"/>
    <w:qFormat/>
    <w:rsid w:val="00686B79"/>
    <w:pPr>
      <w:ind w:left="2268"/>
    </w:pPr>
    <w:rPr>
      <w:rFonts w:eastAsia="Times New Roman"/>
      <w:szCs w:val="24"/>
    </w:rPr>
  </w:style>
  <w:style w:type="character" w:customStyle="1" w:styleId="SubttuloCar">
    <w:name w:val="Subtítulo Car"/>
    <w:aliases w:val="Citação Direta Car"/>
    <w:basedOn w:val="Fuentedeprrafopredeter"/>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inespaciad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globo">
    <w:name w:val="Balloon Text"/>
    <w:basedOn w:val="Normal"/>
    <w:link w:val="TextodegloboCar"/>
    <w:uiPriority w:val="99"/>
    <w:semiHidden/>
    <w:unhideWhenUsed/>
    <w:rsid w:val="000C3153"/>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153"/>
    <w:rPr>
      <w:rFonts w:ascii="Tahoma" w:eastAsia="MS Mincho" w:hAnsi="Tahoma" w:cs="Tahoma"/>
      <w:sz w:val="16"/>
      <w:szCs w:val="16"/>
      <w:lang w:eastAsia="pt-BR"/>
    </w:rPr>
  </w:style>
  <w:style w:type="paragraph" w:styleId="Prrafodelista">
    <w:name w:val="List Paragraph"/>
    <w:basedOn w:val="Normal"/>
    <w:uiPriority w:val="34"/>
    <w:qFormat/>
    <w:rsid w:val="00752988"/>
    <w:pPr>
      <w:ind w:left="720"/>
      <w:contextualSpacing/>
    </w:pPr>
  </w:style>
  <w:style w:type="character" w:customStyle="1" w:styleId="tlid-translation">
    <w:name w:val="tlid-translation"/>
    <w:basedOn w:val="Fuentedeprrafopredeter"/>
    <w:rsid w:val="002C426D"/>
  </w:style>
  <w:style w:type="character" w:customStyle="1" w:styleId="alt-edited">
    <w:name w:val="alt-edited"/>
    <w:basedOn w:val="Fuentedeprrafopredeter"/>
    <w:rsid w:val="002C4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5531">
      <w:bodyDiv w:val="1"/>
      <w:marLeft w:val="0"/>
      <w:marRight w:val="0"/>
      <w:marTop w:val="0"/>
      <w:marBottom w:val="0"/>
      <w:divBdr>
        <w:top w:val="none" w:sz="0" w:space="0" w:color="auto"/>
        <w:left w:val="none" w:sz="0" w:space="0" w:color="auto"/>
        <w:bottom w:val="none" w:sz="0" w:space="0" w:color="auto"/>
        <w:right w:val="none" w:sz="0" w:space="0" w:color="auto"/>
      </w:divBdr>
      <w:divsChild>
        <w:div w:id="1849446041">
          <w:marLeft w:val="0"/>
          <w:marRight w:val="0"/>
          <w:marTop w:val="0"/>
          <w:marBottom w:val="0"/>
          <w:divBdr>
            <w:top w:val="none" w:sz="0" w:space="0" w:color="auto"/>
            <w:left w:val="none" w:sz="0" w:space="0" w:color="auto"/>
            <w:bottom w:val="none" w:sz="0" w:space="0" w:color="auto"/>
            <w:right w:val="none" w:sz="0" w:space="0" w:color="auto"/>
          </w:divBdr>
          <w:divsChild>
            <w:div w:id="2029484343">
              <w:marLeft w:val="0"/>
              <w:marRight w:val="0"/>
              <w:marTop w:val="0"/>
              <w:marBottom w:val="0"/>
              <w:divBdr>
                <w:top w:val="none" w:sz="0" w:space="0" w:color="auto"/>
                <w:left w:val="none" w:sz="0" w:space="0" w:color="auto"/>
                <w:bottom w:val="none" w:sz="0" w:space="0" w:color="auto"/>
                <w:right w:val="none" w:sz="0" w:space="0" w:color="auto"/>
              </w:divBdr>
              <w:divsChild>
                <w:div w:id="731999386">
                  <w:marLeft w:val="0"/>
                  <w:marRight w:val="0"/>
                  <w:marTop w:val="0"/>
                  <w:marBottom w:val="0"/>
                  <w:divBdr>
                    <w:top w:val="none" w:sz="0" w:space="0" w:color="auto"/>
                    <w:left w:val="none" w:sz="0" w:space="0" w:color="auto"/>
                    <w:bottom w:val="none" w:sz="0" w:space="0" w:color="auto"/>
                    <w:right w:val="none" w:sz="0" w:space="0" w:color="auto"/>
                  </w:divBdr>
                  <w:divsChild>
                    <w:div w:id="10527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02">
          <w:marLeft w:val="0"/>
          <w:marRight w:val="0"/>
          <w:marTop w:val="0"/>
          <w:marBottom w:val="0"/>
          <w:divBdr>
            <w:top w:val="none" w:sz="0" w:space="0" w:color="auto"/>
            <w:left w:val="none" w:sz="0" w:space="0" w:color="auto"/>
            <w:bottom w:val="none" w:sz="0" w:space="0" w:color="auto"/>
            <w:right w:val="none" w:sz="0" w:space="0" w:color="auto"/>
          </w:divBdr>
          <w:divsChild>
            <w:div w:id="1355694875">
              <w:marLeft w:val="0"/>
              <w:marRight w:val="0"/>
              <w:marTop w:val="0"/>
              <w:marBottom w:val="0"/>
              <w:divBdr>
                <w:top w:val="none" w:sz="0" w:space="0" w:color="auto"/>
                <w:left w:val="none" w:sz="0" w:space="0" w:color="auto"/>
                <w:bottom w:val="none" w:sz="0" w:space="0" w:color="auto"/>
                <w:right w:val="none" w:sz="0" w:space="0" w:color="auto"/>
              </w:divBdr>
            </w:div>
          </w:divsChild>
        </w:div>
        <w:div w:id="1648197544">
          <w:marLeft w:val="0"/>
          <w:marRight w:val="0"/>
          <w:marTop w:val="0"/>
          <w:marBottom w:val="0"/>
          <w:divBdr>
            <w:top w:val="none" w:sz="0" w:space="0" w:color="auto"/>
            <w:left w:val="none" w:sz="0" w:space="0" w:color="auto"/>
            <w:bottom w:val="none" w:sz="0" w:space="0" w:color="auto"/>
            <w:right w:val="none" w:sz="0" w:space="0" w:color="auto"/>
          </w:divBdr>
        </w:div>
      </w:divsChild>
    </w:div>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3904</Words>
  <Characters>21085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2020-10-16T18:12:00Z</dcterms:created>
  <dcterms:modified xsi:type="dcterms:W3CDTF">2020-11-05T13:30:00Z</dcterms:modified>
</cp:coreProperties>
</file>