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before="60" w:line="240" w:lineRule="auto"/>
        <w:ind w:right="142"/>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Área temática: </w:t>
      </w:r>
      <w:r w:rsidDel="00000000" w:rsidR="00000000" w:rsidRPr="00000000">
        <w:rPr>
          <w:rFonts w:ascii="Arial" w:cs="Arial" w:eastAsia="Arial" w:hAnsi="Arial"/>
          <w:rtl w:val="0"/>
        </w:rPr>
        <w:t xml:space="preserve">Ciências Biológicas</w:t>
      </w:r>
      <w:r w:rsidDel="00000000" w:rsidR="00000000" w:rsidRPr="00000000">
        <w:rPr>
          <w:rtl w:val="0"/>
        </w:rPr>
      </w:r>
    </w:p>
    <w:p w:rsidR="00000000" w:rsidDel="00000000" w:rsidP="00000000" w:rsidRDefault="00000000" w:rsidRPr="00000000" w14:paraId="00000002">
      <w:pPr>
        <w:spacing w:after="60" w:before="60" w:line="240" w:lineRule="auto"/>
        <w:ind w:right="142"/>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3">
      <w:pPr>
        <w:spacing w:after="80" w:before="80" w:line="240" w:lineRule="auto"/>
        <w:jc w:val="center"/>
        <w:rPr>
          <w:rFonts w:ascii="Arial" w:cs="Arial" w:eastAsia="Arial" w:hAnsi="Arial"/>
          <w:sz w:val="26"/>
          <w:szCs w:val="26"/>
          <w:vertAlign w:val="baseline"/>
        </w:rPr>
      </w:pPr>
      <w:r w:rsidDel="00000000" w:rsidR="00000000" w:rsidRPr="00000000">
        <w:rPr>
          <w:rFonts w:ascii="Arial" w:cs="Arial" w:eastAsia="Arial" w:hAnsi="Arial"/>
          <w:b w:val="1"/>
          <w:sz w:val="26"/>
          <w:szCs w:val="26"/>
          <w:rtl w:val="0"/>
        </w:rPr>
        <w:t xml:space="preserve">Fidelidade de botos-cinza (</w:t>
      </w:r>
      <w:r w:rsidDel="00000000" w:rsidR="00000000" w:rsidRPr="00000000">
        <w:rPr>
          <w:rFonts w:ascii="Arial" w:cs="Arial" w:eastAsia="Arial" w:hAnsi="Arial"/>
          <w:b w:val="1"/>
          <w:i w:val="1"/>
          <w:sz w:val="26"/>
          <w:szCs w:val="26"/>
          <w:rtl w:val="0"/>
        </w:rPr>
        <w:t xml:space="preserve">Sotalia guianensis</w:t>
      </w:r>
      <w:r w:rsidDel="00000000" w:rsidR="00000000" w:rsidRPr="00000000">
        <w:rPr>
          <w:rFonts w:ascii="Arial" w:cs="Arial" w:eastAsia="Arial" w:hAnsi="Arial"/>
          <w:b w:val="1"/>
          <w:sz w:val="26"/>
          <w:szCs w:val="26"/>
          <w:rtl w:val="0"/>
        </w:rPr>
        <w:t xml:space="preserve"> Van Benédén, 1864) (Cetacea, Delphinidae) na Reserva de Fauna Costeira de Tibau do Sul (REFAUTS), Rio Grande do Norte</w:t>
      </w:r>
      <w:r w:rsidDel="00000000" w:rsidR="00000000" w:rsidRPr="00000000">
        <w:rPr>
          <w:rtl w:val="0"/>
        </w:rPr>
      </w:r>
    </w:p>
    <w:p w:rsidR="00000000" w:rsidDel="00000000" w:rsidP="00000000" w:rsidRDefault="00000000" w:rsidRPr="00000000" w14:paraId="00000004">
      <w:pPr>
        <w:spacing w:after="60" w:before="60" w:line="240" w:lineRule="auto"/>
        <w:ind w:right="142"/>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spacing w:after="80" w:before="80" w:line="240" w:lineRule="auto"/>
        <w:jc w:val="center"/>
        <w:rPr>
          <w:rFonts w:ascii="Arial" w:cs="Arial" w:eastAsia="Arial" w:hAnsi="Arial"/>
          <w:vertAlign w:val="baseline"/>
        </w:rPr>
      </w:pPr>
      <w:r w:rsidDel="00000000" w:rsidR="00000000" w:rsidRPr="00000000">
        <w:rPr>
          <w:rFonts w:ascii="Arial" w:cs="Arial" w:eastAsia="Arial" w:hAnsi="Arial"/>
          <w:rtl w:val="0"/>
        </w:rPr>
        <w:t xml:space="preserve">Kaio Cesar de Carvalho Menezes</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Maria Gabriela Fernandes Martins de Medeiros</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Gessica Rafaelly Dantas da Silva, Vitor de Oliveira Lunardi, Diana Gonçalves Lunardi</w:t>
      </w:r>
      <w:r w:rsidDel="00000000" w:rsidR="00000000" w:rsidRPr="00000000">
        <w:rPr>
          <w:rtl w:val="0"/>
        </w:rPr>
      </w:r>
    </w:p>
    <w:p w:rsidR="00000000" w:rsidDel="00000000" w:rsidP="00000000" w:rsidRDefault="00000000" w:rsidRPr="00000000" w14:paraId="00000006">
      <w:pPr>
        <w:spacing w:after="60" w:before="60" w:line="240" w:lineRule="auto"/>
        <w:ind w:right="142"/>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spacing w:after="80" w:before="80" w:line="240" w:lineRule="auto"/>
        <w:jc w:val="both"/>
        <w:rPr>
          <w:rFonts w:ascii="Arial" w:cs="Arial" w:eastAsia="Arial" w:hAnsi="Arial"/>
          <w:vertAlign w:val="baseline"/>
        </w:rPr>
      </w:pPr>
      <w:r w:rsidDel="00000000" w:rsidR="00000000" w:rsidRPr="00000000">
        <w:rPr>
          <w:rFonts w:ascii="Arial" w:cs="Arial" w:eastAsia="Arial" w:hAnsi="Arial"/>
          <w:rtl w:val="0"/>
        </w:rPr>
        <w:t xml:space="preserve">A Reserva de Fauna Costeira de Tibau do Sul (REFAUTS) é uma Unidade de Conservação de uso sustentável, localizada no Rio Grande do Norte, que foi criada com o objetivo de promover a conservação de botos-cinza (</w:t>
      </w:r>
      <w:r w:rsidDel="00000000" w:rsidR="00000000" w:rsidRPr="00000000">
        <w:rPr>
          <w:rFonts w:ascii="Arial" w:cs="Arial" w:eastAsia="Arial" w:hAnsi="Arial"/>
          <w:i w:val="1"/>
          <w:rtl w:val="0"/>
        </w:rPr>
        <w:t xml:space="preserve">Sotalia guianensis</w:t>
      </w:r>
      <w:r w:rsidDel="00000000" w:rsidR="00000000" w:rsidRPr="00000000">
        <w:rPr>
          <w:rFonts w:ascii="Arial" w:cs="Arial" w:eastAsia="Arial" w:hAnsi="Arial"/>
          <w:rtl w:val="0"/>
        </w:rPr>
        <w:t xml:space="preserve">), uma espécie atualmente ameaçada de extinção. A área da REFAUTS, inserida na praia de Pipa, vem sofrendo com a expansão desordenada da atividade turística, que representa uma das ameaças aos botos-cinza. Este estudo teve como objetivo analisar fotoidentificações de botos-cinza na REFAUTS, para subsidiar um estudo de fidelidade desse pequeno cetáceo à uma de suas áreas de ocorrência no litoral do Rio Grande do Norte. Os registros fotográficos de nadadeiras dorsais de boto-cinza foram realizados na zona de uso restrito da REFAUTS, mais especificamente, nas enseadas dos Golfinhos e do Madeiro, de 2013 a 2019. Esses registros foram realizados a partir de um ponto fixo na faixa de praia, entre 08:00h e 15:00h, com o auxílio de uma câmera semiprofissional, acoplada a uma lente telescópica de 150-600 mm, e um monopé. Para a análise de fotoidentificação, cada boto-cinza recebeu um código referente às marcas encontradas na sua nadadeira dorsal. Os indivíduos marcados foram categorizados com base na forma da nadadeira, características do bordo de ataque e evidências de padrões permanentes. No total, foram fotoidentificados 45 indivíduos. Destes, 22 indivíduos foram registrados em dois anos ou mais, enquanto 23 indivíduos foram registrados em apenas um ano de amostragem. Dois indivíduos foram registrados em cinco dos sete anos de amostragem. Dos indivíduos fotoidentificados, 16 foram registrados tanto na enseada dos Golfinhos, como na enseada do Madeiro, enquanto 29 indivíduos foram fotoidentificados apenas da enseada dos Golfinhos. Estes dados sugerem a fidelidade de alguns indivíduos de boto-cinza à REFAUTS e podem subsidiar estratégias de conservação da espécie em um cenário de expansão turística local, a partir do plano de manejo dessa Reserva.</w:t>
      </w:r>
      <w:r w:rsidDel="00000000" w:rsidR="00000000" w:rsidRPr="00000000">
        <w:rPr>
          <w:rtl w:val="0"/>
        </w:rPr>
      </w:r>
    </w:p>
    <w:p w:rsidR="00000000" w:rsidDel="00000000" w:rsidP="00000000" w:rsidRDefault="00000000" w:rsidRPr="00000000" w14:paraId="00000008">
      <w:pPr>
        <w:spacing w:after="60" w:before="60" w:line="240" w:lineRule="auto"/>
        <w:ind w:right="142"/>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9">
      <w:pPr>
        <w:spacing w:after="60" w:before="60" w:line="240" w:lineRule="auto"/>
        <w:ind w:right="14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Palavras-chave:</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Turismo, Conservação, Unidade de Conservação, Fotoidentificação, Praia de Pipa.</w:t>
      </w:r>
      <w:r w:rsidDel="00000000" w:rsidR="00000000" w:rsidRPr="00000000">
        <w:rPr>
          <w:rtl w:val="0"/>
        </w:rPr>
      </w:r>
    </w:p>
    <w:p w:rsidR="00000000" w:rsidDel="00000000" w:rsidP="00000000" w:rsidRDefault="00000000" w:rsidRPr="00000000" w14:paraId="0000000A">
      <w:pPr>
        <w:spacing w:after="60" w:before="60" w:line="240" w:lineRule="auto"/>
        <w:ind w:right="142"/>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Agência financiadora:</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Bolsista IC PIBIC – CNPq.</w:t>
      </w:r>
      <w:r w:rsidDel="00000000" w:rsidR="00000000" w:rsidRPr="00000000">
        <w:rPr>
          <w:rtl w:val="0"/>
        </w:rPr>
      </w:r>
    </w:p>
    <w:sectPr>
      <w:headerReference r:id="rId7" w:type="default"/>
      <w:footerReference r:id="rId8" w:type="default"/>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color="c45911" w:space="1" w:sz="12" w:val="single"/>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1f4e79"/>
        <w:sz w:val="20"/>
        <w:szCs w:val="20"/>
        <w:u w:val="none"/>
        <w:shd w:fill="auto" w:val="clear"/>
        <w:vertAlign w:val="baseline"/>
      </w:rPr>
    </w:pPr>
    <w:r w:rsidDel="00000000" w:rsidR="00000000" w:rsidRPr="00000000">
      <w:rPr>
        <w:rFonts w:ascii="Arial" w:cs="Arial" w:eastAsia="Arial" w:hAnsi="Arial"/>
        <w:b w:val="1"/>
        <w:i w:val="0"/>
        <w:smallCaps w:val="0"/>
        <w:strike w:val="0"/>
        <w:color w:val="1f4e79"/>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bl>
    <w:tblPr>
      <w:tblStyle w:val="Table1"/>
      <w:tblW w:w="9257.0" w:type="dxa"/>
      <w:jc w:val="left"/>
      <w:tblInd w:w="0.0" w:type="dxa"/>
      <w:tblBorders>
        <w:top w:color="000000" w:space="0" w:sz="0" w:val="nil"/>
        <w:left w:color="000000" w:space="0" w:sz="0" w:val="nil"/>
        <w:bottom w:color="c45911" w:space="0" w:sz="8" w:val="single"/>
        <w:right w:color="000000" w:space="0" w:sz="0" w:val="nil"/>
        <w:insideH w:color="000000" w:space="0" w:sz="0" w:val="nil"/>
        <w:insideV w:color="000000" w:space="0" w:sz="0" w:val="nil"/>
      </w:tblBorders>
      <w:tblLayout w:type="fixed"/>
      <w:tblLook w:val="0000"/>
    </w:tblPr>
    <w:tblGrid>
      <w:gridCol w:w="6958"/>
      <w:gridCol w:w="2299"/>
      <w:tblGridChange w:id="0">
        <w:tblGrid>
          <w:gridCol w:w="6958"/>
          <w:gridCol w:w="2299"/>
        </w:tblGrid>
      </w:tblGridChange>
    </w:tblGrid>
    <w:tr>
      <w:tc>
        <w:tcPr>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left"/>
            <w:rPr>
              <w:rFonts w:ascii="Arial" w:cs="Arial" w:eastAsia="Arial" w:hAnsi="Arial"/>
              <w:b w:val="0"/>
              <w:i w:val="0"/>
              <w:smallCaps w:val="0"/>
              <w:strike w:val="0"/>
              <w:color w:val="ed7d31"/>
              <w:sz w:val="20"/>
              <w:szCs w:val="20"/>
              <w:u w:val="none"/>
              <w:shd w:fill="auto" w:val="clear"/>
              <w:vertAlign w:val="baseline"/>
            </w:rPr>
          </w:pPr>
          <w:r w:rsidDel="00000000" w:rsidR="00000000" w:rsidRPr="00000000">
            <w:rPr>
              <w:rFonts w:ascii="Arial" w:cs="Arial" w:eastAsia="Arial" w:hAnsi="Arial"/>
              <w:b w:val="1"/>
              <w:i w:val="0"/>
              <w:smallCaps w:val="0"/>
              <w:strike w:val="0"/>
              <w:color w:val="ed7d31"/>
              <w:sz w:val="20"/>
              <w:szCs w:val="20"/>
              <w:u w:val="none"/>
              <w:shd w:fill="auto" w:val="clear"/>
              <w:vertAlign w:val="baseline"/>
            </w:rPr>
            <w:drawing>
              <wp:inline distB="0" distT="0" distL="114300" distR="114300">
                <wp:extent cx="3400425" cy="891540"/>
                <wp:effectExtent b="0" l="0" r="0" t="0"/>
                <wp:docPr id="102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400425" cy="89154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right"/>
            <w:rPr>
              <w:rFonts w:ascii="Arial" w:cs="Arial" w:eastAsia="Arial" w:hAnsi="Arial"/>
              <w:b w:val="0"/>
              <w:i w:val="0"/>
              <w:smallCaps w:val="0"/>
              <w:strike w:val="0"/>
              <w:color w:val="ed7d3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right"/>
            <w:rPr>
              <w:rFonts w:ascii="Arial" w:cs="Arial" w:eastAsia="Arial" w:hAnsi="Arial"/>
              <w:b w:val="0"/>
              <w:i w:val="0"/>
              <w:smallCaps w:val="0"/>
              <w:strike w:val="0"/>
              <w:color w:val="ed7d3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right"/>
            <w:rPr>
              <w:rFonts w:ascii="Arial" w:cs="Arial" w:eastAsia="Arial" w:hAnsi="Arial"/>
              <w:b w:val="0"/>
              <w:i w:val="0"/>
              <w:smallCaps w:val="0"/>
              <w:strike w:val="0"/>
              <w:color w:val="ed7d3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right"/>
            <w:rPr>
              <w:rFonts w:ascii="Arial" w:cs="Arial" w:eastAsia="Arial" w:hAnsi="Arial"/>
              <w:b w:val="0"/>
              <w:i w:val="0"/>
              <w:smallCaps w:val="0"/>
              <w:strike w:val="0"/>
              <w:color w:val="ed7d31"/>
              <w:sz w:val="20"/>
              <w:szCs w:val="20"/>
              <w:u w:val="none"/>
              <w:shd w:fill="auto" w:val="clear"/>
              <w:vertAlign w:val="baseline"/>
            </w:rPr>
          </w:pPr>
          <w:r w:rsidDel="00000000" w:rsidR="00000000" w:rsidRPr="00000000">
            <w:rPr>
              <w:rFonts w:ascii="Arial" w:cs="Arial" w:eastAsia="Arial" w:hAnsi="Arial"/>
              <w:b w:val="1"/>
              <w:i w:val="0"/>
              <w:smallCaps w:val="0"/>
              <w:strike w:val="0"/>
              <w:color w:val="ed7d31"/>
              <w:sz w:val="20"/>
              <w:szCs w:val="20"/>
              <w:u w:val="none"/>
              <w:shd w:fill="auto" w:val="clear"/>
              <w:vertAlign w:val="baseline"/>
              <w:rtl w:val="0"/>
            </w:rPr>
            <w:t xml:space="preserve">Anais 2020</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right"/>
            <w:rPr>
              <w:rFonts w:ascii="Arial" w:cs="Arial" w:eastAsia="Arial" w:hAnsi="Arial"/>
              <w:b w:val="0"/>
              <w:i w:val="0"/>
              <w:smallCaps w:val="0"/>
              <w:strike w:val="0"/>
              <w:color w:val="ed7d31"/>
              <w:sz w:val="20"/>
              <w:szCs w:val="20"/>
              <w:u w:val="none"/>
              <w:shd w:fill="auto" w:val="clear"/>
              <w:vertAlign w:val="baseline"/>
            </w:rPr>
          </w:pPr>
          <w:r w:rsidDel="00000000" w:rsidR="00000000" w:rsidRPr="00000000">
            <w:rPr>
              <w:rFonts w:ascii="Arial" w:cs="Arial" w:eastAsia="Arial" w:hAnsi="Arial"/>
              <w:b w:val="1"/>
              <w:i w:val="0"/>
              <w:smallCaps w:val="0"/>
              <w:strike w:val="0"/>
              <w:color w:val="ed7d31"/>
              <w:sz w:val="20"/>
              <w:szCs w:val="20"/>
              <w:u w:val="none"/>
              <w:shd w:fill="auto" w:val="clear"/>
              <w:vertAlign w:val="baseline"/>
              <w:rtl w:val="0"/>
            </w:rPr>
            <w:t xml:space="preserve">Mossoró-RN</w:t>
          </w:r>
          <w:r w:rsidDel="00000000" w:rsidR="00000000" w:rsidRPr="00000000">
            <w:rPr>
              <w:rtl w:val="0"/>
            </w:rPr>
          </w:r>
        </w:p>
      </w:tc>
    </w:tr>
  </w:tb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0"/>
      <w:jc w:val="left"/>
      <w:rPr>
        <w:rFonts w:ascii="Times New Roman" w:cs="Times New Roman" w:eastAsia="Times New Roman" w:hAnsi="Times New Roman"/>
        <w:b w:val="0"/>
        <w:i w:val="0"/>
        <w:smallCaps w:val="0"/>
        <w:strike w:val="0"/>
        <w:color w:val="ed7d31"/>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t-BR"/>
    </w:rPr>
  </w:style>
  <w:style w:type="paragraph" w:styleId="Título1">
    <w:name w:val="Título 1"/>
    <w:basedOn w:val="Normal"/>
    <w:next w:val="Normal"/>
    <w:autoRedefine w:val="0"/>
    <w:hidden w:val="0"/>
    <w:qFormat w:val="0"/>
    <w:pPr>
      <w:keepNext w:val="1"/>
      <w:keepLines w:val="1"/>
      <w:suppressAutoHyphens w:val="1"/>
      <w:spacing w:after="0" w:before="240" w:line="259" w:lineRule="auto"/>
      <w:ind w:leftChars="-1" w:rightChars="0" w:firstLineChars="-1"/>
      <w:textDirection w:val="btLr"/>
      <w:textAlignment w:val="top"/>
      <w:outlineLvl w:val="0"/>
    </w:pPr>
    <w:rPr>
      <w:rFonts w:ascii="Calibri Light" w:cs="Times New Roman" w:eastAsia="Times New Roman" w:hAnsi="Calibri Light"/>
      <w:color w:val="2e74b5"/>
      <w:w w:val="100"/>
      <w:position w:val="-1"/>
      <w:sz w:val="32"/>
      <w:szCs w:val="32"/>
      <w:effect w:val="none"/>
      <w:vertAlign w:val="baseline"/>
      <w:cs w:val="0"/>
      <w:em w:val="none"/>
      <w:lang w:bidi="ar-SA" w:eastAsia="en-US"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paragraph" w:styleId="Cabeçalho">
    <w:name w:val="Cabeçalho"/>
    <w:basedOn w:val="Normal"/>
    <w:next w:val="Cabeçalho"/>
    <w:autoRedefine w:val="0"/>
    <w:hidden w:val="0"/>
    <w:qFormat w:val="1"/>
    <w:pPr>
      <w:tabs>
        <w:tab w:val="center" w:leader="none" w:pos="4252"/>
        <w:tab w:val="right" w:leader="none" w:pos="8504"/>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t-BR"/>
    </w:rPr>
  </w:style>
  <w:style w:type="character" w:styleId="CabeçalhoChar">
    <w:name w:val="Cabeçalho Char"/>
    <w:basedOn w:val="Fonteparág.padrão"/>
    <w:next w:val="CabeçalhoChar"/>
    <w:autoRedefine w:val="0"/>
    <w:hidden w:val="0"/>
    <w:qFormat w:val="0"/>
    <w:rPr>
      <w:w w:val="100"/>
      <w:position w:val="-1"/>
      <w:effect w:val="none"/>
      <w:vertAlign w:val="baseline"/>
      <w:cs w:val="0"/>
      <w:em w:val="none"/>
      <w:lang/>
    </w:rPr>
  </w:style>
  <w:style w:type="paragraph" w:styleId="Rodapé">
    <w:name w:val="Rodapé"/>
    <w:basedOn w:val="Normal"/>
    <w:next w:val="Rodapé"/>
    <w:autoRedefine w:val="0"/>
    <w:hidden w:val="0"/>
    <w:qFormat w:val="1"/>
    <w:pPr>
      <w:tabs>
        <w:tab w:val="center" w:leader="none" w:pos="4252"/>
        <w:tab w:val="right" w:leader="none" w:pos="8504"/>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t-BR"/>
    </w:rPr>
  </w:style>
  <w:style w:type="character" w:styleId="RodapéChar">
    <w:name w:val="Rodapé Char"/>
    <w:basedOn w:val="Fonteparág.padrão"/>
    <w:next w:val="RodapéChar"/>
    <w:autoRedefine w:val="0"/>
    <w:hidden w:val="0"/>
    <w:qFormat w:val="0"/>
    <w:rPr>
      <w:w w:val="100"/>
      <w:position w:val="-1"/>
      <w:effect w:val="none"/>
      <w:vertAlign w:val="baseline"/>
      <w:cs w:val="0"/>
      <w:em w:val="none"/>
      <w:lang/>
    </w:rPr>
  </w:style>
  <w:style w:type="character" w:styleId="Título1Char">
    <w:name w:val="Título 1 Char"/>
    <w:next w:val="Título1Char"/>
    <w:autoRedefine w:val="0"/>
    <w:hidden w:val="0"/>
    <w:qFormat w:val="0"/>
    <w:rPr>
      <w:rFonts w:ascii="Calibri Light" w:cs="Times New Roman" w:eastAsia="Times New Roman" w:hAnsi="Calibri Light"/>
      <w:color w:val="2e74b5"/>
      <w:w w:val="100"/>
      <w:position w:val="-1"/>
      <w:sz w:val="32"/>
      <w:szCs w:val="32"/>
      <w:effect w:val="none"/>
      <w:vertAlign w:val="baseline"/>
      <w:cs w:val="0"/>
      <w:em w:val="none"/>
      <w:lang/>
    </w:rPr>
  </w:style>
  <w:style w:type="paragraph" w:styleId="CabeçalhodoSumário">
    <w:name w:val="Cabeçalho do Sumário"/>
    <w:basedOn w:val="Título1"/>
    <w:next w:val="Normal"/>
    <w:autoRedefine w:val="0"/>
    <w:hidden w:val="0"/>
    <w:qFormat w:val="1"/>
    <w:pPr>
      <w:keepNext w:val="1"/>
      <w:keepLines w:val="1"/>
      <w:suppressAutoHyphens w:val="1"/>
      <w:spacing w:after="0" w:before="240" w:line="259" w:lineRule="auto"/>
      <w:ind w:leftChars="-1" w:rightChars="0" w:firstLineChars="-1"/>
      <w:textDirection w:val="btLr"/>
      <w:textAlignment w:val="top"/>
      <w:outlineLvl w:val="9"/>
    </w:pPr>
    <w:rPr>
      <w:rFonts w:ascii="Calibri Light" w:cs="Times New Roman" w:eastAsia="Times New Roman" w:hAnsi="Calibri Light"/>
      <w:color w:val="2e74b5"/>
      <w:w w:val="100"/>
      <w:position w:val="-1"/>
      <w:sz w:val="32"/>
      <w:szCs w:val="32"/>
      <w:effect w:val="none"/>
      <w:vertAlign w:val="baseline"/>
      <w:cs w:val="0"/>
      <w:em w:val="none"/>
      <w:lang w:bidi="ar-SA" w:eastAsia="pt-BR" w:val="pt-BR"/>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ef.decomentário">
    <w:name w:val="Ref. de comentário"/>
    <w:next w:val="Ref.decomentário"/>
    <w:autoRedefine w:val="0"/>
    <w:hidden w:val="0"/>
    <w:qFormat w:val="1"/>
    <w:rPr>
      <w:w w:val="100"/>
      <w:position w:val="-1"/>
      <w:sz w:val="16"/>
      <w:szCs w:val="16"/>
      <w:effect w:val="none"/>
      <w:vertAlign w:val="baseline"/>
      <w:cs w:val="0"/>
      <w:em w:val="none"/>
      <w:lang/>
    </w:rPr>
  </w:style>
  <w:style w:type="paragraph" w:styleId="Textodecomentário">
    <w:name w:val="Texto de comentário"/>
    <w:basedOn w:val="Normal"/>
    <w:next w:val="Textodecomentário"/>
    <w:autoRedefine w:val="0"/>
    <w:hidden w:val="0"/>
    <w:qFormat w:val="1"/>
    <w:pPr>
      <w:suppressAutoHyphens w:val="1"/>
      <w:spacing w:after="160" w:line="259"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pt-BR"/>
    </w:rPr>
  </w:style>
  <w:style w:type="character" w:styleId="TextodecomentárioChar">
    <w:name w:val="Texto de comentário Char"/>
    <w:next w:val="TextodecomentárioChar"/>
    <w:autoRedefine w:val="0"/>
    <w:hidden w:val="0"/>
    <w:qFormat w:val="0"/>
    <w:rPr>
      <w:w w:val="100"/>
      <w:position w:val="-1"/>
      <w:effect w:val="none"/>
      <w:vertAlign w:val="baseline"/>
      <w:cs w:val="0"/>
      <w:em w:val="none"/>
      <w:lang w:eastAsia="en-US"/>
    </w:rPr>
  </w:style>
  <w:style w:type="paragraph" w:styleId="Assuntodocomentário">
    <w:name w:val="Assunto do comentário"/>
    <w:basedOn w:val="Textodecomentário"/>
    <w:next w:val="Textodecomentário"/>
    <w:autoRedefine w:val="0"/>
    <w:hidden w:val="0"/>
    <w:qFormat w:val="1"/>
    <w:pPr>
      <w:suppressAutoHyphens w:val="1"/>
      <w:spacing w:after="160" w:line="259"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pt-BR"/>
    </w:rPr>
  </w:style>
  <w:style w:type="character" w:styleId="AssuntodocomentárioChar">
    <w:name w:val="Assunto do comentário Char"/>
    <w:next w:val="AssuntodocomentárioChar"/>
    <w:autoRedefine w:val="0"/>
    <w:hidden w:val="0"/>
    <w:qFormat w:val="0"/>
    <w:rPr>
      <w:b w:val="1"/>
      <w:bCs w:val="1"/>
      <w:w w:val="100"/>
      <w:position w:val="-1"/>
      <w:effect w:val="none"/>
      <w:vertAlign w:val="baseline"/>
      <w:cs w:val="0"/>
      <w:em w:val="none"/>
      <w:lang w:eastAsia="en-US"/>
    </w:rPr>
  </w:style>
  <w:style w:type="paragraph" w:styleId="Textodebalão">
    <w:name w:val="Texto de balão"/>
    <w:basedOn w:val="Normal"/>
    <w:next w:val="Textodebalão"/>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pt-BR"/>
    </w:rPr>
  </w:style>
  <w:style w:type="character" w:styleId="TextodebalãoChar">
    <w:name w:val="Texto de balão Char"/>
    <w:next w:val="TextodebalãoChar"/>
    <w:autoRedefine w:val="0"/>
    <w:hidden w:val="0"/>
    <w:qFormat w:val="0"/>
    <w:rPr>
      <w:rFonts w:ascii="Segoe UI" w:cs="Segoe UI" w:hAnsi="Segoe UI"/>
      <w:w w:val="100"/>
      <w:position w:val="-1"/>
      <w:sz w:val="18"/>
      <w:szCs w:val="18"/>
      <w:effect w:val="none"/>
      <w:vertAlign w:val="baseline"/>
      <w:cs w:val="0"/>
      <w:em w:val="none"/>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nBk/Z0ZWnz6/PF2bMZIpDuyy5g==">AMUW2mUw9dcyeOIrrqJZ8QiBOV9aO46/78id9//8gUbUxkIC4ZJNhSnANLsyRyA7syP0twJms17IM6wZSQILatkYsHiWNdnVCGrQ8L0Yq0rwtpoIjOlR70Q=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2020-10-14T15:40:00Z</dcterms:created>
  <dc:creator>Thaiseany Freitas Rêgo</dc:creator>
</cp:coreProperties>
</file>