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C45911"/>
        </w:tblBorders>
        <w:tblLook w:val="04A0" w:firstRow="1" w:lastRow="0" w:firstColumn="1" w:lastColumn="0" w:noHBand="0" w:noVBand="1"/>
      </w:tblPr>
      <w:tblGrid>
        <w:gridCol w:w="6958"/>
        <w:gridCol w:w="2299"/>
      </w:tblGrid>
      <w:tr w:rsidR="00C64D8C" w14:paraId="4FB2A8B7" w14:textId="77777777" w:rsidTr="00C64D8C"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DF44E" w14:textId="3706CEF1" w:rsidR="00C64D8C" w:rsidRDefault="00C64D8C" w:rsidP="00C64D8C">
            <w:pPr>
              <w:pStyle w:val="Cabealho"/>
              <w:spacing w:before="60" w:after="60"/>
              <w:jc w:val="center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color w:val="ED7D31"/>
                <w:sz w:val="20"/>
                <w:szCs w:val="20"/>
                <w:lang w:eastAsia="pt-BR"/>
              </w:rPr>
              <w:drawing>
                <wp:inline distT="0" distB="0" distL="0" distR="0" wp14:anchorId="0B3A939F" wp14:editId="77749846">
                  <wp:extent cx="3400425" cy="895350"/>
                  <wp:effectExtent l="0" t="0" r="9525" b="0"/>
                  <wp:docPr id="1" name="Imagem 1" descr="logo_semic_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emic_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415C" w14:textId="77777777" w:rsidR="00C64D8C" w:rsidRDefault="00C64D8C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  <w:p w14:paraId="3D2224EA" w14:textId="77777777" w:rsidR="00C64D8C" w:rsidRDefault="00C64D8C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  <w:p w14:paraId="61EEEB37" w14:textId="77777777" w:rsidR="00C64D8C" w:rsidRDefault="00C64D8C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  <w:p w14:paraId="25C27E64" w14:textId="77777777" w:rsidR="00C64D8C" w:rsidRDefault="00C64D8C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Anais 2020</w:t>
            </w:r>
          </w:p>
          <w:p w14:paraId="31777AE6" w14:textId="77777777" w:rsidR="00C64D8C" w:rsidRDefault="00C64D8C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Mossoró-RN</w:t>
            </w:r>
          </w:p>
        </w:tc>
      </w:tr>
      <w:tr w:rsidR="00C64D8C" w14:paraId="2E53E9BC" w14:textId="77777777" w:rsidTr="00C64D8C">
        <w:tc>
          <w:tcPr>
            <w:tcW w:w="6958" w:type="dxa"/>
            <w:tcBorders>
              <w:top w:val="nil"/>
              <w:left w:val="nil"/>
              <w:bottom w:val="single" w:sz="8" w:space="0" w:color="C45911"/>
              <w:right w:val="nil"/>
            </w:tcBorders>
            <w:vAlign w:val="center"/>
          </w:tcPr>
          <w:p w14:paraId="358985E1" w14:textId="77777777" w:rsidR="00C64D8C" w:rsidRDefault="00C64D8C" w:rsidP="00C64D8C">
            <w:pPr>
              <w:pStyle w:val="Cabealho"/>
              <w:spacing w:before="60" w:after="60"/>
              <w:jc w:val="center"/>
              <w:rPr>
                <w:rFonts w:ascii="Arial" w:hAnsi="Arial" w:cs="Arial"/>
                <w:b/>
                <w:noProof/>
                <w:color w:val="ED7D31"/>
                <w:sz w:val="20"/>
                <w:szCs w:val="20"/>
                <w:lang w:eastAsia="pt-B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C45911"/>
              <w:right w:val="nil"/>
            </w:tcBorders>
            <w:vAlign w:val="center"/>
          </w:tcPr>
          <w:p w14:paraId="77E1D922" w14:textId="77777777" w:rsidR="00C64D8C" w:rsidRDefault="00C64D8C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</w:tc>
      </w:tr>
    </w:tbl>
    <w:p w14:paraId="21684D97" w14:textId="77777777" w:rsidR="00C64D8C" w:rsidRDefault="00C64D8C" w:rsidP="00C64D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1B415827" w:rsidR="002F112E" w:rsidRPr="00B279C1" w:rsidRDefault="00014F1E" w:rsidP="00C64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D8C">
        <w:rPr>
          <w:rFonts w:ascii="Times New Roman" w:hAnsi="Times New Roman" w:cs="Times New Roman"/>
          <w:b/>
          <w:sz w:val="24"/>
          <w:szCs w:val="24"/>
        </w:rPr>
        <w:t>Área temáti</w:t>
      </w:r>
      <w:r w:rsidR="00B279C1" w:rsidRPr="00C64D8C">
        <w:rPr>
          <w:rFonts w:ascii="Times New Roman" w:hAnsi="Times New Roman" w:cs="Times New Roman"/>
          <w:b/>
          <w:sz w:val="24"/>
          <w:szCs w:val="24"/>
        </w:rPr>
        <w:t>ca:</w:t>
      </w:r>
      <w:r w:rsidR="00B279C1">
        <w:rPr>
          <w:rFonts w:ascii="Times New Roman" w:hAnsi="Times New Roman" w:cs="Times New Roman"/>
          <w:sz w:val="24"/>
          <w:szCs w:val="24"/>
        </w:rPr>
        <w:t xml:space="preserve"> Linguística, Letras e Artes.</w:t>
      </w:r>
    </w:p>
    <w:p w14:paraId="00000002" w14:textId="77777777" w:rsidR="002F112E" w:rsidRPr="00B279C1" w:rsidRDefault="002F112E" w:rsidP="00C64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3" w14:textId="7AEAA2D0" w:rsidR="002F112E" w:rsidRPr="00C64D8C" w:rsidRDefault="00014F1E" w:rsidP="00C64D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8C">
        <w:rPr>
          <w:rFonts w:ascii="Times New Roman" w:hAnsi="Times New Roman" w:cs="Times New Roman"/>
          <w:b/>
          <w:sz w:val="24"/>
          <w:szCs w:val="24"/>
        </w:rPr>
        <w:t>TESSITURAS NARRATIVAS E CONSTRUÇÃO METAFICCIONAL EM A CAÇADA, DE LYGIA FAGUNDES TELLES</w:t>
      </w:r>
      <w:r w:rsidR="00B279C1" w:rsidRPr="00C64D8C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04" w14:textId="77777777" w:rsidR="002F112E" w:rsidRPr="00B279C1" w:rsidRDefault="002F112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34DF951A" w:rsidR="002F112E" w:rsidRPr="00B279C1" w:rsidRDefault="00014F1E" w:rsidP="00C64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9C1">
        <w:rPr>
          <w:rFonts w:ascii="Times New Roman" w:hAnsi="Times New Roman" w:cs="Times New Roman"/>
          <w:sz w:val="24"/>
          <w:szCs w:val="24"/>
        </w:rPr>
        <w:t>Karoline Margarida Fernandes Januário, Cícera Antoniele Cajazeiras da Silva</w:t>
      </w:r>
      <w:r w:rsidR="00C64D8C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77777777" w:rsidR="002F112E" w:rsidRPr="00B279C1" w:rsidRDefault="002F112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2F112E" w:rsidRPr="00B279C1" w:rsidRDefault="002F112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686A14B8" w:rsidR="002F112E" w:rsidRPr="00B279C1" w:rsidRDefault="00014F1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C1">
        <w:rPr>
          <w:rFonts w:ascii="Times New Roman" w:hAnsi="Times New Roman" w:cs="Times New Roman"/>
          <w:sz w:val="24"/>
          <w:szCs w:val="24"/>
        </w:rPr>
        <w:t xml:space="preserve">A presente pesquisa analisou aspectos metaficcionais presentes no conto </w:t>
      </w:r>
      <w:r w:rsidRPr="00B279C1">
        <w:rPr>
          <w:rFonts w:ascii="Times New Roman" w:hAnsi="Times New Roman" w:cs="Times New Roman"/>
          <w:i/>
          <w:sz w:val="24"/>
          <w:szCs w:val="24"/>
        </w:rPr>
        <w:t>A Caçada</w:t>
      </w:r>
      <w:r w:rsidRPr="00B279C1">
        <w:rPr>
          <w:rFonts w:ascii="Times New Roman" w:hAnsi="Times New Roman" w:cs="Times New Roman"/>
          <w:sz w:val="24"/>
          <w:szCs w:val="24"/>
        </w:rPr>
        <w:t xml:space="preserve"> (1970), de Ly</w:t>
      </w:r>
      <w:r w:rsidR="00B279C1">
        <w:rPr>
          <w:rFonts w:ascii="Times New Roman" w:hAnsi="Times New Roman" w:cs="Times New Roman"/>
          <w:sz w:val="24"/>
          <w:szCs w:val="24"/>
        </w:rPr>
        <w:t xml:space="preserve">gia Fagundes Telles, tendo </w:t>
      </w:r>
      <w:r w:rsidRPr="00B279C1">
        <w:rPr>
          <w:rFonts w:ascii="Times New Roman" w:hAnsi="Times New Roman" w:cs="Times New Roman"/>
          <w:sz w:val="24"/>
          <w:szCs w:val="24"/>
        </w:rPr>
        <w:t>o</w:t>
      </w:r>
      <w:r w:rsidR="00B279C1">
        <w:rPr>
          <w:rFonts w:ascii="Times New Roman" w:hAnsi="Times New Roman" w:cs="Times New Roman"/>
          <w:sz w:val="24"/>
          <w:szCs w:val="24"/>
        </w:rPr>
        <w:t xml:space="preserve"> elemento</w:t>
      </w:r>
      <w:r w:rsidRPr="00B279C1">
        <w:rPr>
          <w:rFonts w:ascii="Times New Roman" w:hAnsi="Times New Roman" w:cs="Times New Roman"/>
          <w:sz w:val="24"/>
          <w:szCs w:val="24"/>
        </w:rPr>
        <w:t xml:space="preserve"> tapet</w:t>
      </w:r>
      <w:r w:rsidR="00B279C1">
        <w:rPr>
          <w:rFonts w:ascii="Times New Roman" w:hAnsi="Times New Roman" w:cs="Times New Roman"/>
          <w:sz w:val="24"/>
          <w:szCs w:val="24"/>
        </w:rPr>
        <w:t>e como elemento norteador da aná</w:t>
      </w:r>
      <w:r w:rsidRPr="00B279C1">
        <w:rPr>
          <w:rFonts w:ascii="Times New Roman" w:hAnsi="Times New Roman" w:cs="Times New Roman"/>
          <w:sz w:val="24"/>
          <w:szCs w:val="24"/>
        </w:rPr>
        <w:t>lise. O processo de espelhamento torna visível a construção ficcional, havendo desdobrament</w:t>
      </w:r>
      <w:r w:rsidRPr="00B279C1">
        <w:rPr>
          <w:rFonts w:ascii="Times New Roman" w:hAnsi="Times New Roman" w:cs="Times New Roman"/>
          <w:sz w:val="24"/>
          <w:szCs w:val="24"/>
        </w:rPr>
        <w:t>os nas significações do texto literário. A duplicação ficcional expõe as camadas mais profundas da composição narrativa, exigindo um envolvimento mais dinâmico e perspicaz do leitor acerca da ficção. O caráter metaficcional do conto nos conduz a refletir s</w:t>
      </w:r>
      <w:r w:rsidRPr="00B279C1">
        <w:rPr>
          <w:rFonts w:ascii="Times New Roman" w:hAnsi="Times New Roman" w:cs="Times New Roman"/>
          <w:sz w:val="24"/>
          <w:szCs w:val="24"/>
        </w:rPr>
        <w:t xml:space="preserve">obre o processo da composição literária. Em </w:t>
      </w:r>
      <w:r w:rsidRPr="00B279C1">
        <w:rPr>
          <w:rFonts w:ascii="Times New Roman" w:hAnsi="Times New Roman" w:cs="Times New Roman"/>
          <w:i/>
          <w:sz w:val="24"/>
          <w:szCs w:val="24"/>
        </w:rPr>
        <w:t>A Caçada</w:t>
      </w:r>
      <w:r w:rsidRPr="00B279C1">
        <w:rPr>
          <w:rFonts w:ascii="Times New Roman" w:hAnsi="Times New Roman" w:cs="Times New Roman"/>
          <w:sz w:val="24"/>
          <w:szCs w:val="24"/>
        </w:rPr>
        <w:t xml:space="preserve"> percebe-se que o soturno paira sobre a narrativa; as personagens não são nomeadas, sabemos apenas o gênero das personagens que nos é dado pelo narrador onisciente, “o homem e a velha” essas são as person</w:t>
      </w:r>
      <w:r w:rsidRPr="00B279C1">
        <w:rPr>
          <w:rFonts w:ascii="Times New Roman" w:hAnsi="Times New Roman" w:cs="Times New Roman"/>
          <w:sz w:val="24"/>
          <w:szCs w:val="24"/>
        </w:rPr>
        <w:t>agens que movimentarão a narrativa.</w:t>
      </w:r>
    </w:p>
    <w:p w14:paraId="00000009" w14:textId="77777777" w:rsidR="002F112E" w:rsidRPr="00B279C1" w:rsidRDefault="00014F1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C1">
        <w:rPr>
          <w:rFonts w:ascii="Times New Roman" w:hAnsi="Times New Roman" w:cs="Times New Roman"/>
          <w:sz w:val="24"/>
          <w:szCs w:val="24"/>
        </w:rPr>
        <w:t xml:space="preserve">Ademais, utilizamos os contos </w:t>
      </w:r>
      <w:proofErr w:type="spellStart"/>
      <w:r w:rsidRPr="00B279C1">
        <w:rPr>
          <w:rFonts w:ascii="Times New Roman" w:hAnsi="Times New Roman" w:cs="Times New Roman"/>
          <w:i/>
          <w:sz w:val="24"/>
          <w:szCs w:val="24"/>
        </w:rPr>
        <w:t>Metzengerstein</w:t>
      </w:r>
      <w:proofErr w:type="spellEnd"/>
      <w:r w:rsidRPr="00B279C1">
        <w:rPr>
          <w:rFonts w:ascii="Times New Roman" w:hAnsi="Times New Roman" w:cs="Times New Roman"/>
          <w:sz w:val="24"/>
          <w:szCs w:val="24"/>
        </w:rPr>
        <w:t xml:space="preserve">, de Edgar Allan Poe e </w:t>
      </w:r>
      <w:r w:rsidRPr="00B279C1">
        <w:rPr>
          <w:rFonts w:ascii="Times New Roman" w:hAnsi="Times New Roman" w:cs="Times New Roman"/>
          <w:i/>
          <w:sz w:val="24"/>
          <w:szCs w:val="24"/>
        </w:rPr>
        <w:t>Tema para uma tapeçaria</w:t>
      </w:r>
      <w:r w:rsidRPr="00B279C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279C1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B279C1">
        <w:rPr>
          <w:rFonts w:ascii="Times New Roman" w:hAnsi="Times New Roman" w:cs="Times New Roman"/>
          <w:sz w:val="24"/>
          <w:szCs w:val="24"/>
        </w:rPr>
        <w:t xml:space="preserve"> Cortázar, pois nestes contos o Tapete é um elemento importante, desta maneira, estabelecemos um paralelo entre os conto</w:t>
      </w:r>
      <w:r w:rsidRPr="00B279C1">
        <w:rPr>
          <w:rFonts w:ascii="Times New Roman" w:hAnsi="Times New Roman" w:cs="Times New Roman"/>
          <w:sz w:val="24"/>
          <w:szCs w:val="24"/>
        </w:rPr>
        <w:t>s.</w:t>
      </w:r>
    </w:p>
    <w:p w14:paraId="0000000A" w14:textId="77777777" w:rsidR="002F112E" w:rsidRPr="00B279C1" w:rsidRDefault="002F112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2F112E" w:rsidRPr="00B279C1" w:rsidRDefault="002F112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C" w14:textId="48A9B88D" w:rsidR="002F112E" w:rsidRPr="00B279C1" w:rsidRDefault="00014F1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8C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B279C1">
        <w:rPr>
          <w:rFonts w:ascii="Times New Roman" w:hAnsi="Times New Roman" w:cs="Times New Roman"/>
          <w:sz w:val="24"/>
          <w:szCs w:val="24"/>
        </w:rPr>
        <w:t>: metaficção, a caçada, literatura</w:t>
      </w:r>
      <w:r w:rsidR="00B279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D" w14:textId="77777777" w:rsidR="002F112E" w:rsidRPr="00B279C1" w:rsidRDefault="002F112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5CC9E5B2" w:rsidR="002F112E" w:rsidRPr="00B279C1" w:rsidRDefault="00014F1E" w:rsidP="00B2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8C">
        <w:rPr>
          <w:rFonts w:ascii="Times New Roman" w:hAnsi="Times New Roman" w:cs="Times New Roman"/>
          <w:b/>
          <w:sz w:val="24"/>
          <w:szCs w:val="24"/>
        </w:rPr>
        <w:t>Agência financiadora:</w:t>
      </w:r>
      <w:r w:rsidRPr="00B279C1">
        <w:rPr>
          <w:rFonts w:ascii="Times New Roman" w:hAnsi="Times New Roman" w:cs="Times New Roman"/>
          <w:sz w:val="24"/>
          <w:szCs w:val="24"/>
        </w:rPr>
        <w:t xml:space="preserve"> não houve financiamento</w:t>
      </w:r>
      <w:r w:rsidR="00C64D8C">
        <w:rPr>
          <w:rFonts w:ascii="Times New Roman" w:hAnsi="Times New Roman" w:cs="Times New Roman"/>
          <w:sz w:val="24"/>
          <w:szCs w:val="24"/>
        </w:rPr>
        <w:t>.</w:t>
      </w:r>
    </w:p>
    <w:sectPr w:rsidR="002F112E" w:rsidRPr="00B279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112E"/>
    <w:rsid w:val="00014F1E"/>
    <w:rsid w:val="002F112E"/>
    <w:rsid w:val="00B279C1"/>
    <w:rsid w:val="00C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64D8C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64D8C"/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64D8C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64D8C"/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Fernandes</dc:creator>
  <cp:lastModifiedBy>Karoline Fernandes</cp:lastModifiedBy>
  <cp:revision>3</cp:revision>
  <dcterms:created xsi:type="dcterms:W3CDTF">2020-11-04T17:18:00Z</dcterms:created>
  <dcterms:modified xsi:type="dcterms:W3CDTF">2020-11-04T17:24:00Z</dcterms:modified>
</cp:coreProperties>
</file>