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92573" w14:textId="77777777" w:rsidR="006D2E39" w:rsidRDefault="006D2E39" w:rsidP="006D2E39">
      <w:pPr>
        <w:spacing w:after="0" w:line="240" w:lineRule="auto"/>
        <w:jc w:val="center"/>
        <w:rPr>
          <w:rFonts w:ascii="Times New Roman" w:eastAsia="Times New Roman" w:hAnsi="Times New Roman" w:cs="Times New Roman"/>
          <w:b/>
          <w:bCs/>
          <w:color w:val="000000"/>
          <w:sz w:val="28"/>
          <w:szCs w:val="28"/>
        </w:rPr>
      </w:pPr>
      <w:r w:rsidRPr="008A09B2">
        <w:rPr>
          <w:rFonts w:ascii="Times New Roman" w:eastAsia="Times New Roman" w:hAnsi="Times New Roman" w:cs="Times New Roman"/>
          <w:b/>
          <w:bCs/>
          <w:color w:val="000000"/>
          <w:sz w:val="28"/>
          <w:szCs w:val="28"/>
        </w:rPr>
        <w:t>AVALIAÇÃO DA IN</w:t>
      </w:r>
      <w:r>
        <w:rPr>
          <w:rFonts w:ascii="Times New Roman" w:eastAsia="Times New Roman" w:hAnsi="Times New Roman" w:cs="Times New Roman"/>
          <w:b/>
          <w:bCs/>
          <w:color w:val="000000"/>
          <w:sz w:val="28"/>
          <w:szCs w:val="28"/>
        </w:rPr>
        <w:t>(</w:t>
      </w:r>
      <w:r w:rsidRPr="008A09B2">
        <w:rPr>
          <w:rFonts w:ascii="Times New Roman" w:eastAsia="Times New Roman" w:hAnsi="Times New Roman" w:cs="Times New Roman"/>
          <w:b/>
          <w:bCs/>
          <w:color w:val="000000"/>
          <w:sz w:val="28"/>
          <w:szCs w:val="28"/>
        </w:rPr>
        <w:t xml:space="preserve">SEGURANÇA) ALIMENTAR EM DOMICÍLIOS </w:t>
      </w:r>
      <w:r>
        <w:rPr>
          <w:rFonts w:ascii="Times New Roman" w:eastAsia="Times New Roman" w:hAnsi="Times New Roman" w:cs="Times New Roman"/>
          <w:b/>
          <w:bCs/>
          <w:color w:val="000000"/>
          <w:sz w:val="28"/>
          <w:szCs w:val="28"/>
        </w:rPr>
        <w:t>D</w:t>
      </w:r>
      <w:r w:rsidRPr="008A09B2">
        <w:rPr>
          <w:rFonts w:ascii="Times New Roman" w:eastAsia="Times New Roman" w:hAnsi="Times New Roman" w:cs="Times New Roman"/>
          <w:b/>
          <w:bCs/>
          <w:color w:val="000000"/>
          <w:sz w:val="28"/>
          <w:szCs w:val="28"/>
        </w:rPr>
        <w:t>O INTERIOR DE SERGIPE</w:t>
      </w:r>
    </w:p>
    <w:p w14:paraId="731E9D51" w14:textId="77777777" w:rsidR="006D2E39" w:rsidRDefault="006D2E39" w:rsidP="006D2E39">
      <w:pPr>
        <w:spacing w:after="0" w:line="240" w:lineRule="auto"/>
        <w:jc w:val="center"/>
        <w:rPr>
          <w:rFonts w:ascii="Times New Roman" w:eastAsia="Times New Roman" w:hAnsi="Times New Roman" w:cs="Times New Roman"/>
          <w:b/>
          <w:bCs/>
          <w:color w:val="000000"/>
          <w:sz w:val="28"/>
          <w:szCs w:val="28"/>
        </w:rPr>
      </w:pPr>
      <w:r w:rsidRPr="008A09B2">
        <w:rPr>
          <w:rFonts w:ascii="Times New Roman" w:eastAsia="Times New Roman" w:hAnsi="Times New Roman" w:cs="Times New Roman"/>
          <w:b/>
          <w:bCs/>
          <w:color w:val="000000"/>
          <w:sz w:val="28"/>
          <w:szCs w:val="28"/>
        </w:rPr>
        <w:t> </w:t>
      </w:r>
    </w:p>
    <w:p w14:paraId="591907FC" w14:textId="77777777" w:rsidR="006D2E39" w:rsidRDefault="006D2E39" w:rsidP="006D2E39">
      <w:pPr>
        <w:spacing w:after="0" w:line="240" w:lineRule="auto"/>
        <w:jc w:val="both"/>
        <w:rPr>
          <w:rFonts w:ascii="Times New Roman" w:eastAsia="Times New Roman" w:hAnsi="Times New Roman" w:cs="Times New Roman"/>
          <w:b/>
          <w:bCs/>
          <w:color w:val="000000"/>
          <w:sz w:val="28"/>
          <w:szCs w:val="28"/>
        </w:rPr>
      </w:pPr>
    </w:p>
    <w:p w14:paraId="4D6DF99E" w14:textId="3D21E9F4" w:rsidR="006D2E39" w:rsidRPr="008A09B2" w:rsidRDefault="006D2E39" w:rsidP="006D2E39">
      <w:pPr>
        <w:spacing w:after="0" w:line="240" w:lineRule="auto"/>
        <w:jc w:val="both"/>
        <w:rPr>
          <w:rFonts w:ascii="Times New Roman" w:eastAsia="Times New Roman" w:hAnsi="Times New Roman" w:cs="Times New Roman"/>
          <w:sz w:val="24"/>
          <w:szCs w:val="24"/>
        </w:rPr>
      </w:pPr>
      <w:r w:rsidRPr="008A09B2">
        <w:rPr>
          <w:rFonts w:ascii="Times New Roman" w:eastAsia="Times New Roman" w:hAnsi="Times New Roman" w:cs="Times New Roman"/>
          <w:b/>
          <w:bCs/>
          <w:color w:val="000000"/>
          <w:sz w:val="24"/>
          <w:szCs w:val="24"/>
        </w:rPr>
        <w:t>RESUMO</w:t>
      </w:r>
    </w:p>
    <w:p w14:paraId="0F0DEDDB" w14:textId="77777777" w:rsidR="006D2E39" w:rsidRPr="008A09B2" w:rsidRDefault="006D2E39" w:rsidP="006D2E39">
      <w:pPr>
        <w:spacing w:after="0" w:line="240" w:lineRule="auto"/>
        <w:jc w:val="both"/>
        <w:rPr>
          <w:rFonts w:ascii="Times New Roman" w:eastAsia="Times New Roman" w:hAnsi="Times New Roman" w:cs="Times New Roman"/>
          <w:sz w:val="24"/>
          <w:szCs w:val="24"/>
        </w:rPr>
      </w:pPr>
    </w:p>
    <w:p w14:paraId="246A9AAA" w14:textId="786209D3" w:rsidR="006D2E39" w:rsidRPr="002D635A" w:rsidRDefault="006D2E39" w:rsidP="006D2E39">
      <w:pPr>
        <w:spacing w:after="0" w:line="240" w:lineRule="auto"/>
        <w:jc w:val="both"/>
        <w:rPr>
          <w:rFonts w:ascii="Times New Roman" w:eastAsia="Times New Roman" w:hAnsi="Times New Roman" w:cs="Times New Roman"/>
          <w:color w:val="000000"/>
          <w:sz w:val="24"/>
          <w:szCs w:val="24"/>
        </w:rPr>
      </w:pPr>
      <w:r w:rsidRPr="002D635A">
        <w:rPr>
          <w:rFonts w:ascii="Times New Roman" w:eastAsia="Times New Roman" w:hAnsi="Times New Roman" w:cs="Times New Roman"/>
          <w:color w:val="000000"/>
          <w:sz w:val="24"/>
          <w:szCs w:val="24"/>
        </w:rPr>
        <w:t xml:space="preserve">A Insegurança </w:t>
      </w:r>
      <w:r w:rsidR="006D5D9C" w:rsidRPr="002D635A">
        <w:rPr>
          <w:rFonts w:ascii="Times New Roman" w:eastAsia="Times New Roman" w:hAnsi="Times New Roman" w:cs="Times New Roman"/>
          <w:color w:val="000000"/>
          <w:sz w:val="24"/>
          <w:szCs w:val="24"/>
        </w:rPr>
        <w:t>Alimentar diz</w:t>
      </w:r>
      <w:r w:rsidRPr="002D635A">
        <w:rPr>
          <w:rFonts w:ascii="Times New Roman" w:eastAsia="Times New Roman" w:hAnsi="Times New Roman" w:cs="Times New Roman"/>
          <w:color w:val="000000"/>
          <w:sz w:val="24"/>
          <w:szCs w:val="24"/>
        </w:rPr>
        <w:t xml:space="preserve"> respeito a ausência da Segurança Alimentar e Nutricional</w:t>
      </w:r>
      <w:r>
        <w:rPr>
          <w:rFonts w:ascii="Times New Roman" w:eastAsia="Times New Roman" w:hAnsi="Times New Roman" w:cs="Times New Roman"/>
          <w:color w:val="000000"/>
          <w:sz w:val="24"/>
          <w:szCs w:val="24"/>
        </w:rPr>
        <w:t xml:space="preserve">, </w:t>
      </w:r>
      <w:r w:rsidRPr="002D635A">
        <w:rPr>
          <w:rFonts w:ascii="Times New Roman" w:eastAsia="Times New Roman" w:hAnsi="Times New Roman" w:cs="Times New Roman"/>
          <w:color w:val="000000"/>
          <w:sz w:val="24"/>
          <w:szCs w:val="24"/>
        </w:rPr>
        <w:t>a qual é entendida como a capacidade do indivíduo de ter acesso ao alimento não somente em quantidade, mas também em qualidade para a manutenção da saúde conforme demandas da</w:t>
      </w:r>
      <w:r w:rsidR="00561B3E">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 xml:space="preserve"> fase</w:t>
      </w:r>
      <w:r w:rsidR="00561B3E">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 xml:space="preserve"> da vida</w:t>
      </w:r>
      <w:r w:rsidR="006D5D9C">
        <w:rPr>
          <w:rFonts w:ascii="Times New Roman" w:eastAsia="Times New Roman" w:hAnsi="Times New Roman" w:cs="Times New Roman"/>
          <w:color w:val="000000"/>
          <w:sz w:val="24"/>
          <w:szCs w:val="24"/>
        </w:rPr>
        <w:t xml:space="preserve">. </w:t>
      </w:r>
      <w:r w:rsidRPr="002D635A">
        <w:rPr>
          <w:rFonts w:ascii="Times New Roman" w:eastAsia="Times New Roman" w:hAnsi="Times New Roman" w:cs="Times New Roman"/>
          <w:color w:val="000000"/>
          <w:sz w:val="24"/>
          <w:szCs w:val="24"/>
        </w:rPr>
        <w:t xml:space="preserve">O presente estudo justifica-se pela importância da mensuração da </w:t>
      </w:r>
      <w:r>
        <w:rPr>
          <w:rFonts w:ascii="Times New Roman" w:eastAsia="Times New Roman" w:hAnsi="Times New Roman" w:cs="Times New Roman"/>
          <w:color w:val="000000"/>
          <w:sz w:val="24"/>
          <w:szCs w:val="24"/>
        </w:rPr>
        <w:t>Segurança alimentar e nutricional</w:t>
      </w:r>
      <w:r w:rsidRPr="002D635A">
        <w:rPr>
          <w:rFonts w:ascii="Times New Roman" w:eastAsia="Times New Roman" w:hAnsi="Times New Roman" w:cs="Times New Roman"/>
          <w:color w:val="000000"/>
          <w:sz w:val="24"/>
          <w:szCs w:val="24"/>
        </w:rPr>
        <w:t xml:space="preserve"> bem como o dimensionamento d</w:t>
      </w:r>
      <w:r w:rsidR="00AA40F5">
        <w:rPr>
          <w:rFonts w:ascii="Times New Roman" w:eastAsia="Times New Roman" w:hAnsi="Times New Roman" w:cs="Times New Roman"/>
          <w:color w:val="000000"/>
          <w:sz w:val="24"/>
          <w:szCs w:val="24"/>
        </w:rPr>
        <w:t xml:space="preserve">o </w:t>
      </w:r>
      <w:r w:rsidRPr="002D635A">
        <w:rPr>
          <w:rFonts w:ascii="Times New Roman" w:eastAsia="Times New Roman" w:hAnsi="Times New Roman" w:cs="Times New Roman"/>
          <w:color w:val="000000"/>
          <w:sz w:val="24"/>
          <w:szCs w:val="24"/>
        </w:rPr>
        <w:t>Direito Humano à Alimentação Adequada</w:t>
      </w:r>
      <w:r w:rsidR="00860696">
        <w:rPr>
          <w:rFonts w:ascii="Times New Roman" w:eastAsia="Times New Roman" w:hAnsi="Times New Roman" w:cs="Times New Roman"/>
          <w:color w:val="000000"/>
          <w:sz w:val="24"/>
          <w:szCs w:val="24"/>
        </w:rPr>
        <w:t>.</w:t>
      </w:r>
      <w:r w:rsidRPr="002D635A">
        <w:rPr>
          <w:rFonts w:ascii="Times New Roman" w:eastAsia="Times New Roman" w:hAnsi="Times New Roman" w:cs="Times New Roman"/>
          <w:color w:val="000000"/>
          <w:sz w:val="24"/>
          <w:szCs w:val="24"/>
        </w:rPr>
        <w:t xml:space="preserve"> O objetivo desse estudo foi avaliar e caracterizar da Insegurança Alimentar em domicílios de uma cidade do interior de Sergipe. A amostra foi coletada em 94 domicílios, no município de Lagarto- SE</w:t>
      </w:r>
      <w:r w:rsidR="00FA3E86">
        <w:rPr>
          <w:rFonts w:ascii="Times New Roman" w:eastAsia="Times New Roman" w:hAnsi="Times New Roman" w:cs="Times New Roman"/>
          <w:color w:val="000000"/>
          <w:sz w:val="24"/>
          <w:szCs w:val="24"/>
        </w:rPr>
        <w:t>.</w:t>
      </w:r>
      <w:r w:rsidRPr="002D635A">
        <w:rPr>
          <w:rFonts w:ascii="Times New Roman" w:eastAsia="Times New Roman" w:hAnsi="Times New Roman" w:cs="Times New Roman"/>
          <w:color w:val="000000"/>
          <w:sz w:val="24"/>
          <w:szCs w:val="24"/>
        </w:rPr>
        <w:t xml:space="preserve"> Para a coleta de dados foram utilizados os seguintes questionários: Escala Brasileira de Insegurança Alimentar</w:t>
      </w:r>
      <w:r w:rsidR="00FA3E86">
        <w:rPr>
          <w:rFonts w:ascii="Times New Roman" w:eastAsia="Times New Roman" w:hAnsi="Times New Roman" w:cs="Times New Roman"/>
          <w:color w:val="000000"/>
          <w:sz w:val="24"/>
          <w:szCs w:val="24"/>
        </w:rPr>
        <w:t xml:space="preserve"> </w:t>
      </w:r>
      <w:r w:rsidRPr="002D635A">
        <w:rPr>
          <w:rFonts w:ascii="Times New Roman" w:eastAsia="Times New Roman" w:hAnsi="Times New Roman" w:cs="Times New Roman"/>
          <w:color w:val="000000"/>
          <w:sz w:val="24"/>
          <w:szCs w:val="24"/>
        </w:rPr>
        <w:t xml:space="preserve">e um questionário socioambiental que continha perguntas acerca do perfil demográfico e da renda familiar. </w:t>
      </w:r>
      <w:r w:rsidR="006D5D9C">
        <w:rPr>
          <w:rFonts w:ascii="Times New Roman" w:eastAsia="Times New Roman" w:hAnsi="Times New Roman" w:cs="Times New Roman"/>
          <w:color w:val="000000"/>
          <w:sz w:val="24"/>
          <w:szCs w:val="24"/>
        </w:rPr>
        <w:t xml:space="preserve">Para a análise dos dados foi utilizado o </w:t>
      </w:r>
      <w:r w:rsidRPr="002D635A">
        <w:rPr>
          <w:rFonts w:ascii="Times New Roman" w:eastAsia="Times New Roman" w:hAnsi="Times New Roman" w:cs="Times New Roman"/>
          <w:color w:val="000000"/>
          <w:sz w:val="24"/>
          <w:szCs w:val="24"/>
        </w:rPr>
        <w:t xml:space="preserve">Programa </w:t>
      </w:r>
      <w:proofErr w:type="spellStart"/>
      <w:r w:rsidRPr="002D635A">
        <w:rPr>
          <w:rFonts w:ascii="Times New Roman" w:eastAsia="Times New Roman" w:hAnsi="Times New Roman" w:cs="Times New Roman"/>
          <w:color w:val="000000"/>
          <w:sz w:val="24"/>
          <w:szCs w:val="24"/>
        </w:rPr>
        <w:t>Statistical</w:t>
      </w:r>
      <w:proofErr w:type="spellEnd"/>
      <w:r w:rsidRPr="002D635A">
        <w:rPr>
          <w:rFonts w:ascii="Times New Roman" w:eastAsia="Times New Roman" w:hAnsi="Times New Roman" w:cs="Times New Roman"/>
          <w:i/>
          <w:iCs/>
          <w:color w:val="000000"/>
          <w:sz w:val="24"/>
          <w:szCs w:val="24"/>
        </w:rPr>
        <w:t xml:space="preserve"> </w:t>
      </w:r>
      <w:proofErr w:type="spellStart"/>
      <w:r w:rsidRPr="002D635A">
        <w:rPr>
          <w:rFonts w:ascii="Times New Roman" w:eastAsia="Times New Roman" w:hAnsi="Times New Roman" w:cs="Times New Roman"/>
          <w:i/>
          <w:iCs/>
          <w:color w:val="000000"/>
          <w:sz w:val="24"/>
          <w:szCs w:val="24"/>
        </w:rPr>
        <w:t>Package</w:t>
      </w:r>
      <w:proofErr w:type="spellEnd"/>
      <w:r w:rsidRPr="002D635A">
        <w:rPr>
          <w:rFonts w:ascii="Times New Roman" w:eastAsia="Times New Roman" w:hAnsi="Times New Roman" w:cs="Times New Roman"/>
          <w:i/>
          <w:iCs/>
          <w:color w:val="000000"/>
          <w:sz w:val="24"/>
          <w:szCs w:val="24"/>
        </w:rPr>
        <w:t xml:space="preserve"> for </w:t>
      </w:r>
      <w:proofErr w:type="spellStart"/>
      <w:r w:rsidRPr="002D635A">
        <w:rPr>
          <w:rFonts w:ascii="Times New Roman" w:eastAsia="Times New Roman" w:hAnsi="Times New Roman" w:cs="Times New Roman"/>
          <w:i/>
          <w:iCs/>
          <w:color w:val="000000"/>
          <w:sz w:val="24"/>
          <w:szCs w:val="24"/>
        </w:rPr>
        <w:t>the</w:t>
      </w:r>
      <w:proofErr w:type="spellEnd"/>
      <w:r w:rsidRPr="002D635A">
        <w:rPr>
          <w:rFonts w:ascii="Times New Roman" w:eastAsia="Times New Roman" w:hAnsi="Times New Roman" w:cs="Times New Roman"/>
          <w:i/>
          <w:iCs/>
          <w:color w:val="000000"/>
          <w:sz w:val="24"/>
          <w:szCs w:val="24"/>
        </w:rPr>
        <w:t xml:space="preserve"> Social Science </w:t>
      </w:r>
      <w:r w:rsidRPr="002D635A">
        <w:rPr>
          <w:rFonts w:ascii="Times New Roman" w:eastAsia="Times New Roman" w:hAnsi="Times New Roman" w:cs="Times New Roman"/>
          <w:color w:val="000000"/>
          <w:sz w:val="24"/>
          <w:szCs w:val="24"/>
        </w:rPr>
        <w:t>versão 20.0. Verificou-se os seguintes percentuais: Segurança alimentar (</w:t>
      </w:r>
      <w:r>
        <w:rPr>
          <w:rFonts w:ascii="Times New Roman" w:eastAsia="Times New Roman" w:hAnsi="Times New Roman" w:cs="Times New Roman"/>
          <w:color w:val="000000"/>
          <w:sz w:val="24"/>
          <w:szCs w:val="24"/>
        </w:rPr>
        <w:t>27,7%</w:t>
      </w:r>
      <w:r w:rsidRPr="002D635A">
        <w:rPr>
          <w:rFonts w:ascii="Times New Roman" w:eastAsia="Times New Roman" w:hAnsi="Times New Roman" w:cs="Times New Roman"/>
          <w:color w:val="000000"/>
          <w:sz w:val="24"/>
          <w:szCs w:val="24"/>
        </w:rPr>
        <w:t xml:space="preserve">), </w:t>
      </w:r>
      <w:r w:rsidR="00860696">
        <w:rPr>
          <w:rFonts w:ascii="Times New Roman" w:eastAsia="Times New Roman" w:hAnsi="Times New Roman" w:cs="Times New Roman"/>
          <w:color w:val="000000"/>
          <w:sz w:val="24"/>
          <w:szCs w:val="24"/>
        </w:rPr>
        <w:t>insegurança alimentar</w:t>
      </w:r>
      <w:r w:rsidRPr="002D635A">
        <w:rPr>
          <w:rFonts w:ascii="Times New Roman" w:eastAsia="Times New Roman" w:hAnsi="Times New Roman" w:cs="Times New Roman"/>
          <w:color w:val="000000"/>
          <w:sz w:val="24"/>
          <w:szCs w:val="24"/>
        </w:rPr>
        <w:t xml:space="preserve"> leve (</w:t>
      </w:r>
      <w:r>
        <w:rPr>
          <w:rFonts w:ascii="Times New Roman" w:eastAsia="Times New Roman" w:hAnsi="Times New Roman" w:cs="Times New Roman"/>
          <w:color w:val="000000"/>
          <w:sz w:val="24"/>
          <w:szCs w:val="24"/>
        </w:rPr>
        <w:t>51,1</w:t>
      </w:r>
      <w:r w:rsidRPr="002D635A">
        <w:rPr>
          <w:rFonts w:ascii="Times New Roman" w:eastAsia="Times New Roman" w:hAnsi="Times New Roman" w:cs="Times New Roman"/>
          <w:color w:val="000000"/>
          <w:sz w:val="24"/>
          <w:szCs w:val="24"/>
        </w:rPr>
        <w:t xml:space="preserve">%), </w:t>
      </w:r>
      <w:r w:rsidR="00860696">
        <w:rPr>
          <w:rFonts w:ascii="Times New Roman" w:eastAsia="Times New Roman" w:hAnsi="Times New Roman" w:cs="Times New Roman"/>
          <w:color w:val="000000"/>
          <w:sz w:val="24"/>
          <w:szCs w:val="24"/>
        </w:rPr>
        <w:t>insegurança alimentar</w:t>
      </w:r>
      <w:r w:rsidRPr="002D635A">
        <w:rPr>
          <w:rFonts w:ascii="Times New Roman" w:eastAsia="Times New Roman" w:hAnsi="Times New Roman" w:cs="Times New Roman"/>
          <w:color w:val="000000"/>
          <w:sz w:val="24"/>
          <w:szCs w:val="24"/>
        </w:rPr>
        <w:t xml:space="preserve"> moderada</w:t>
      </w:r>
      <w:r>
        <w:rPr>
          <w:rFonts w:ascii="Times New Roman" w:eastAsia="Times New Roman" w:hAnsi="Times New Roman" w:cs="Times New Roman"/>
          <w:color w:val="000000"/>
          <w:sz w:val="24"/>
          <w:szCs w:val="24"/>
        </w:rPr>
        <w:t xml:space="preserve"> (12,8</w:t>
      </w:r>
      <w:r w:rsidRPr="002D635A">
        <w:rPr>
          <w:rFonts w:ascii="Times New Roman" w:eastAsia="Times New Roman" w:hAnsi="Times New Roman" w:cs="Times New Roman"/>
          <w:color w:val="000000"/>
          <w:sz w:val="24"/>
          <w:szCs w:val="24"/>
        </w:rPr>
        <w:t>),</w:t>
      </w:r>
      <w:r w:rsidR="00860696">
        <w:rPr>
          <w:rFonts w:ascii="Times New Roman" w:eastAsia="Times New Roman" w:hAnsi="Times New Roman" w:cs="Times New Roman"/>
          <w:color w:val="000000"/>
          <w:sz w:val="24"/>
          <w:szCs w:val="24"/>
        </w:rPr>
        <w:t xml:space="preserve"> insegurança alimentar</w:t>
      </w:r>
      <w:r w:rsidRPr="002D635A">
        <w:rPr>
          <w:rFonts w:ascii="Times New Roman" w:eastAsia="Times New Roman" w:hAnsi="Times New Roman" w:cs="Times New Roman"/>
          <w:color w:val="000000"/>
          <w:sz w:val="24"/>
          <w:szCs w:val="24"/>
        </w:rPr>
        <w:t xml:space="preserve"> grave (8</w:t>
      </w:r>
      <w:r>
        <w:rPr>
          <w:rFonts w:ascii="Times New Roman" w:eastAsia="Times New Roman" w:hAnsi="Times New Roman" w:cs="Times New Roman"/>
          <w:color w:val="000000"/>
          <w:sz w:val="24"/>
          <w:szCs w:val="24"/>
        </w:rPr>
        <w:t>,5</w:t>
      </w:r>
      <w:r w:rsidRPr="002D635A">
        <w:rPr>
          <w:rFonts w:ascii="Times New Roman" w:eastAsia="Times New Roman" w:hAnsi="Times New Roman" w:cs="Times New Roman"/>
          <w:color w:val="000000"/>
          <w:sz w:val="24"/>
          <w:szCs w:val="24"/>
        </w:rPr>
        <w:t>%)</w:t>
      </w:r>
      <w:r w:rsidR="00860696">
        <w:rPr>
          <w:rFonts w:ascii="Times New Roman" w:eastAsia="Times New Roman" w:hAnsi="Times New Roman" w:cs="Times New Roman"/>
          <w:color w:val="000000"/>
          <w:sz w:val="24"/>
          <w:szCs w:val="24"/>
        </w:rPr>
        <w:t>. A</w:t>
      </w:r>
      <w:r w:rsidRPr="002D635A">
        <w:rPr>
          <w:rFonts w:ascii="Times New Roman" w:eastAsia="Times New Roman" w:hAnsi="Times New Roman" w:cs="Times New Roman"/>
          <w:color w:val="000000"/>
          <w:sz w:val="24"/>
          <w:szCs w:val="24"/>
        </w:rPr>
        <w:t xml:space="preserve"> Insegurança alimentar entre o</w:t>
      </w:r>
      <w:r w:rsidR="00FA3E86">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 xml:space="preserve"> chefe</w:t>
      </w:r>
      <w:r w:rsidR="00FA3E86">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 xml:space="preserve"> de família</w:t>
      </w:r>
      <w:r w:rsidR="00860696">
        <w:rPr>
          <w:rFonts w:ascii="Times New Roman" w:eastAsia="Times New Roman" w:hAnsi="Times New Roman" w:cs="Times New Roman"/>
          <w:color w:val="000000"/>
          <w:sz w:val="24"/>
          <w:szCs w:val="24"/>
        </w:rPr>
        <w:t xml:space="preserve"> do sexo</w:t>
      </w:r>
      <w:r w:rsidRPr="002D635A">
        <w:rPr>
          <w:rFonts w:ascii="Times New Roman" w:eastAsia="Times New Roman" w:hAnsi="Times New Roman" w:cs="Times New Roman"/>
          <w:color w:val="000000"/>
          <w:sz w:val="24"/>
          <w:szCs w:val="24"/>
        </w:rPr>
        <w:t xml:space="preserve"> </w:t>
      </w:r>
      <w:r w:rsidR="00860696">
        <w:rPr>
          <w:rFonts w:ascii="Times New Roman" w:eastAsia="Times New Roman" w:hAnsi="Times New Roman" w:cs="Times New Roman"/>
          <w:color w:val="000000"/>
          <w:sz w:val="24"/>
          <w:szCs w:val="24"/>
        </w:rPr>
        <w:t>f</w:t>
      </w:r>
      <w:r w:rsidRPr="002D635A">
        <w:rPr>
          <w:rFonts w:ascii="Times New Roman" w:eastAsia="Times New Roman" w:hAnsi="Times New Roman" w:cs="Times New Roman"/>
          <w:color w:val="000000"/>
          <w:sz w:val="24"/>
          <w:szCs w:val="24"/>
        </w:rPr>
        <w:t>eminino</w:t>
      </w:r>
      <w:r w:rsidR="00860696">
        <w:rPr>
          <w:rFonts w:ascii="Times New Roman" w:eastAsia="Times New Roman" w:hAnsi="Times New Roman" w:cs="Times New Roman"/>
          <w:color w:val="000000"/>
          <w:sz w:val="24"/>
          <w:szCs w:val="24"/>
        </w:rPr>
        <w:t xml:space="preserve"> foi de</w:t>
      </w:r>
      <w:r w:rsidRPr="002D635A">
        <w:rPr>
          <w:rFonts w:ascii="Times New Roman" w:eastAsia="Times New Roman" w:hAnsi="Times New Roman" w:cs="Times New Roman"/>
          <w:color w:val="000000"/>
          <w:sz w:val="24"/>
          <w:szCs w:val="24"/>
        </w:rPr>
        <w:t xml:space="preserve"> (87,2%) e </w:t>
      </w:r>
      <w:r w:rsidR="00860696">
        <w:rPr>
          <w:rFonts w:ascii="Times New Roman" w:eastAsia="Times New Roman" w:hAnsi="Times New Roman" w:cs="Times New Roman"/>
          <w:color w:val="000000"/>
          <w:sz w:val="24"/>
          <w:szCs w:val="24"/>
        </w:rPr>
        <w:t>m</w:t>
      </w:r>
      <w:r w:rsidRPr="002D635A">
        <w:rPr>
          <w:rFonts w:ascii="Times New Roman" w:eastAsia="Times New Roman" w:hAnsi="Times New Roman" w:cs="Times New Roman"/>
          <w:color w:val="000000"/>
          <w:sz w:val="24"/>
          <w:szCs w:val="24"/>
        </w:rPr>
        <w:t xml:space="preserve">asculino (12,8%), e </w:t>
      </w:r>
      <w:r w:rsidR="00860696">
        <w:rPr>
          <w:rFonts w:ascii="Times New Roman" w:eastAsia="Times New Roman" w:hAnsi="Times New Roman" w:cs="Times New Roman"/>
          <w:color w:val="000000"/>
          <w:sz w:val="24"/>
          <w:szCs w:val="24"/>
        </w:rPr>
        <w:t>i</w:t>
      </w:r>
      <w:r w:rsidRPr="002D635A">
        <w:rPr>
          <w:rFonts w:ascii="Times New Roman" w:eastAsia="Times New Roman" w:hAnsi="Times New Roman" w:cs="Times New Roman"/>
          <w:color w:val="000000"/>
          <w:sz w:val="24"/>
          <w:szCs w:val="24"/>
        </w:rPr>
        <w:t xml:space="preserve">nsegurança alimentar de acordo com a cor: </w:t>
      </w:r>
      <w:r w:rsidR="00860696">
        <w:rPr>
          <w:rFonts w:ascii="Times New Roman" w:eastAsia="Times New Roman" w:hAnsi="Times New Roman" w:cs="Times New Roman"/>
          <w:color w:val="000000"/>
          <w:sz w:val="24"/>
          <w:szCs w:val="24"/>
        </w:rPr>
        <w:t>b</w:t>
      </w:r>
      <w:r w:rsidRPr="002D635A">
        <w:rPr>
          <w:rFonts w:ascii="Times New Roman" w:eastAsia="Times New Roman" w:hAnsi="Times New Roman" w:cs="Times New Roman"/>
          <w:color w:val="000000"/>
          <w:sz w:val="24"/>
          <w:szCs w:val="24"/>
        </w:rPr>
        <w:t xml:space="preserve">ranco (18,1%), </w:t>
      </w:r>
      <w:r w:rsidR="00860696">
        <w:rPr>
          <w:rFonts w:ascii="Times New Roman" w:eastAsia="Times New Roman" w:hAnsi="Times New Roman" w:cs="Times New Roman"/>
          <w:color w:val="000000"/>
          <w:sz w:val="24"/>
          <w:szCs w:val="24"/>
        </w:rPr>
        <w:t>p</w:t>
      </w:r>
      <w:r w:rsidRPr="002D635A">
        <w:rPr>
          <w:rFonts w:ascii="Times New Roman" w:eastAsia="Times New Roman" w:hAnsi="Times New Roman" w:cs="Times New Roman"/>
          <w:color w:val="000000"/>
          <w:sz w:val="24"/>
          <w:szCs w:val="24"/>
        </w:rPr>
        <w:t xml:space="preserve">ardo (69,1%), </w:t>
      </w:r>
      <w:r w:rsidR="00860696">
        <w:rPr>
          <w:rFonts w:ascii="Times New Roman" w:eastAsia="Times New Roman" w:hAnsi="Times New Roman" w:cs="Times New Roman"/>
          <w:color w:val="000000"/>
          <w:sz w:val="24"/>
          <w:szCs w:val="24"/>
        </w:rPr>
        <w:t>n</w:t>
      </w:r>
      <w:r w:rsidRPr="002D635A">
        <w:rPr>
          <w:rFonts w:ascii="Times New Roman" w:eastAsia="Times New Roman" w:hAnsi="Times New Roman" w:cs="Times New Roman"/>
          <w:color w:val="000000"/>
          <w:sz w:val="24"/>
          <w:szCs w:val="24"/>
        </w:rPr>
        <w:t xml:space="preserve">egro (11,7%) </w:t>
      </w:r>
      <w:r w:rsidR="00860696" w:rsidRPr="002D635A">
        <w:rPr>
          <w:rFonts w:ascii="Times New Roman" w:eastAsia="Times New Roman" w:hAnsi="Times New Roman" w:cs="Times New Roman"/>
          <w:color w:val="000000"/>
          <w:sz w:val="24"/>
          <w:szCs w:val="24"/>
        </w:rPr>
        <w:t>e indígena</w:t>
      </w:r>
      <w:r w:rsidRPr="002D635A">
        <w:rPr>
          <w:rFonts w:ascii="Times New Roman" w:eastAsia="Times New Roman" w:hAnsi="Times New Roman" w:cs="Times New Roman"/>
          <w:color w:val="000000"/>
          <w:sz w:val="24"/>
          <w:szCs w:val="24"/>
        </w:rPr>
        <w:t xml:space="preserve"> (1,1%). A maioria dos domicílios avaliados apresentavam algum nível de </w:t>
      </w:r>
      <w:r w:rsidR="00FA3E86">
        <w:rPr>
          <w:rFonts w:ascii="Times New Roman" w:eastAsia="Times New Roman" w:hAnsi="Times New Roman" w:cs="Times New Roman"/>
          <w:color w:val="000000"/>
          <w:sz w:val="24"/>
          <w:szCs w:val="24"/>
        </w:rPr>
        <w:t>insegurança alimentar</w:t>
      </w:r>
      <w:r w:rsidRPr="002D635A">
        <w:rPr>
          <w:rFonts w:ascii="Times New Roman" w:eastAsia="Times New Roman" w:hAnsi="Times New Roman" w:cs="Times New Roman"/>
          <w:color w:val="000000"/>
          <w:sz w:val="24"/>
          <w:szCs w:val="24"/>
        </w:rPr>
        <w:t xml:space="preserve">, e as variáveis demográficas: sexo e cor do chefe da família possivelmente determinavam a </w:t>
      </w:r>
      <w:r w:rsidR="00FA3E86">
        <w:rPr>
          <w:rFonts w:ascii="Times New Roman" w:eastAsia="Times New Roman" w:hAnsi="Times New Roman" w:cs="Times New Roman"/>
          <w:color w:val="000000"/>
          <w:sz w:val="24"/>
          <w:szCs w:val="24"/>
        </w:rPr>
        <w:t>insegurança alimentar e nutricional</w:t>
      </w:r>
      <w:r w:rsidRPr="002D635A">
        <w:rPr>
          <w:rFonts w:ascii="Times New Roman" w:eastAsia="Times New Roman" w:hAnsi="Times New Roman" w:cs="Times New Roman"/>
          <w:color w:val="000000"/>
          <w:sz w:val="24"/>
          <w:szCs w:val="24"/>
        </w:rPr>
        <w:t xml:space="preserve"> desses domicílios.</w:t>
      </w:r>
    </w:p>
    <w:p w14:paraId="28BC36C3" w14:textId="77777777" w:rsidR="006D2E39" w:rsidRDefault="006D2E39" w:rsidP="006D2E39">
      <w:pPr>
        <w:spacing w:after="0" w:line="240" w:lineRule="auto"/>
        <w:jc w:val="both"/>
        <w:rPr>
          <w:rFonts w:ascii="Times New Roman" w:eastAsia="Times New Roman" w:hAnsi="Times New Roman" w:cs="Times New Roman"/>
          <w:color w:val="000000"/>
          <w:sz w:val="24"/>
          <w:szCs w:val="24"/>
        </w:rPr>
      </w:pPr>
      <w:r w:rsidRPr="002D635A">
        <w:rPr>
          <w:rFonts w:ascii="Times New Roman" w:eastAsia="Times New Roman" w:hAnsi="Times New Roman" w:cs="Times New Roman"/>
          <w:b/>
          <w:bCs/>
          <w:color w:val="000000"/>
          <w:sz w:val="24"/>
          <w:szCs w:val="24"/>
        </w:rPr>
        <w:t>Palavras-chaves: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Fatores Socioeconômicos, Segurança Alimentar e Nutricional, Escala Brasileira de Insegurança Alimentar.</w:t>
      </w:r>
    </w:p>
    <w:p w14:paraId="578DA9DC" w14:textId="77777777" w:rsidR="006D2E39" w:rsidRDefault="006D2E39" w:rsidP="006D2E39">
      <w:pPr>
        <w:spacing w:after="0" w:line="240" w:lineRule="auto"/>
        <w:jc w:val="both"/>
        <w:rPr>
          <w:rFonts w:ascii="Times New Roman" w:eastAsia="Times New Roman" w:hAnsi="Times New Roman" w:cs="Times New Roman"/>
          <w:color w:val="000000"/>
          <w:sz w:val="24"/>
          <w:szCs w:val="24"/>
        </w:rPr>
      </w:pPr>
    </w:p>
    <w:p w14:paraId="70BA40A6" w14:textId="77777777" w:rsidR="006D2E39" w:rsidRDefault="006D2E39" w:rsidP="006D2E39">
      <w:pPr>
        <w:spacing w:after="0" w:line="240" w:lineRule="auto"/>
        <w:jc w:val="both"/>
        <w:rPr>
          <w:rFonts w:ascii="Times New Roman" w:eastAsia="Times New Roman" w:hAnsi="Times New Roman" w:cs="Times New Roman"/>
          <w:color w:val="000000"/>
          <w:sz w:val="24"/>
          <w:szCs w:val="24"/>
        </w:rPr>
      </w:pPr>
    </w:p>
    <w:p w14:paraId="344F1771" w14:textId="3C914368" w:rsidR="006D2E39" w:rsidRPr="008A09B2" w:rsidRDefault="00B97C60" w:rsidP="00B97C60">
      <w:pPr>
        <w:pStyle w:val="PargrafodaLista"/>
        <w:numPr>
          <w:ilvl w:val="0"/>
          <w:numId w:val="38"/>
        </w:numPr>
        <w:tabs>
          <w:tab w:val="left" w:pos="142"/>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6D2E39" w:rsidRPr="008A09B2">
        <w:rPr>
          <w:rFonts w:ascii="Times New Roman" w:eastAsia="Times New Roman" w:hAnsi="Times New Roman" w:cs="Times New Roman"/>
          <w:b/>
          <w:bCs/>
          <w:color w:val="000000"/>
          <w:sz w:val="24"/>
          <w:szCs w:val="24"/>
        </w:rPr>
        <w:t>INTRODUÇÃO</w:t>
      </w:r>
    </w:p>
    <w:p w14:paraId="59431CB2" w14:textId="77777777" w:rsidR="006D2E39" w:rsidRPr="008A09B2" w:rsidRDefault="006D2E39" w:rsidP="006D2E39">
      <w:pPr>
        <w:spacing w:after="0" w:line="240" w:lineRule="auto"/>
        <w:jc w:val="both"/>
        <w:rPr>
          <w:rFonts w:ascii="Times New Roman" w:eastAsia="Times New Roman" w:hAnsi="Times New Roman" w:cs="Times New Roman"/>
          <w:sz w:val="24"/>
          <w:szCs w:val="24"/>
        </w:rPr>
      </w:pPr>
      <w:r w:rsidRPr="008A09B2">
        <w:rPr>
          <w:rFonts w:ascii="Times New Roman" w:eastAsia="Times New Roman" w:hAnsi="Times New Roman" w:cs="Times New Roman"/>
          <w:b/>
          <w:bCs/>
          <w:color w:val="000000"/>
          <w:sz w:val="24"/>
          <w:szCs w:val="24"/>
        </w:rPr>
        <w:t> </w:t>
      </w:r>
    </w:p>
    <w:p w14:paraId="7EB0BFE9" w14:textId="5D8B8FAB" w:rsidR="006D2E39" w:rsidRPr="008A09B2" w:rsidRDefault="006D2E39" w:rsidP="00AA40F5">
      <w:pPr>
        <w:spacing w:after="0" w:line="360" w:lineRule="auto"/>
        <w:ind w:firstLine="720"/>
        <w:jc w:val="both"/>
        <w:rPr>
          <w:rFonts w:ascii="Times New Roman" w:eastAsia="Times New Roman" w:hAnsi="Times New Roman" w:cs="Times New Roman"/>
          <w:sz w:val="24"/>
          <w:szCs w:val="24"/>
        </w:rPr>
      </w:pPr>
      <w:r w:rsidRPr="008A09B2">
        <w:rPr>
          <w:rFonts w:ascii="Times New Roman" w:eastAsia="Times New Roman" w:hAnsi="Times New Roman" w:cs="Times New Roman"/>
          <w:color w:val="000000"/>
          <w:sz w:val="24"/>
          <w:szCs w:val="24"/>
        </w:rPr>
        <w:t xml:space="preserve">A Insegurança Alimentar (IA) diz respeito a ausência da Segurança Alimentar e Nutricional (SAN), a qual é entendida como a capacidade do indivíduo de ter acesso ao alimento não somente em quantidade, mas também em qualidade para a manutenção da saúde conforme </w:t>
      </w:r>
      <w:r w:rsidR="00AA40F5">
        <w:rPr>
          <w:rFonts w:ascii="Times New Roman" w:eastAsia="Times New Roman" w:hAnsi="Times New Roman" w:cs="Times New Roman"/>
          <w:color w:val="000000"/>
          <w:sz w:val="24"/>
          <w:szCs w:val="24"/>
        </w:rPr>
        <w:t xml:space="preserve">as </w:t>
      </w:r>
      <w:r w:rsidRPr="008A09B2">
        <w:rPr>
          <w:rFonts w:ascii="Times New Roman" w:eastAsia="Times New Roman" w:hAnsi="Times New Roman" w:cs="Times New Roman"/>
          <w:color w:val="000000"/>
          <w:sz w:val="24"/>
          <w:szCs w:val="24"/>
        </w:rPr>
        <w:t>demandas da</w:t>
      </w:r>
      <w:r w:rsidR="00AA40F5">
        <w:rPr>
          <w:rFonts w:ascii="Times New Roman" w:eastAsia="Times New Roman" w:hAnsi="Times New Roman" w:cs="Times New Roman"/>
          <w:color w:val="000000"/>
          <w:sz w:val="24"/>
          <w:szCs w:val="24"/>
        </w:rPr>
        <w:t>s</w:t>
      </w:r>
      <w:r w:rsidRPr="008A09B2">
        <w:rPr>
          <w:rFonts w:ascii="Times New Roman" w:eastAsia="Times New Roman" w:hAnsi="Times New Roman" w:cs="Times New Roman"/>
          <w:color w:val="000000"/>
          <w:sz w:val="24"/>
          <w:szCs w:val="24"/>
        </w:rPr>
        <w:t xml:space="preserve"> fase</w:t>
      </w:r>
      <w:r w:rsidR="00AA40F5">
        <w:rPr>
          <w:rFonts w:ascii="Times New Roman" w:eastAsia="Times New Roman" w:hAnsi="Times New Roman" w:cs="Times New Roman"/>
          <w:color w:val="000000"/>
          <w:sz w:val="24"/>
          <w:szCs w:val="24"/>
        </w:rPr>
        <w:t>s</w:t>
      </w:r>
      <w:r w:rsidRPr="008A09B2">
        <w:rPr>
          <w:rFonts w:ascii="Times New Roman" w:eastAsia="Times New Roman" w:hAnsi="Times New Roman" w:cs="Times New Roman"/>
          <w:color w:val="000000"/>
          <w:sz w:val="24"/>
          <w:szCs w:val="24"/>
        </w:rPr>
        <w:t xml:space="preserve"> da vida em que es</w:t>
      </w:r>
      <w:r w:rsidR="00DE10C2">
        <w:rPr>
          <w:rFonts w:ascii="Times New Roman" w:eastAsia="Times New Roman" w:hAnsi="Times New Roman" w:cs="Times New Roman"/>
          <w:color w:val="000000"/>
          <w:sz w:val="24"/>
          <w:szCs w:val="24"/>
        </w:rPr>
        <w:t>te</w:t>
      </w:r>
      <w:r w:rsidRPr="008A09B2">
        <w:rPr>
          <w:rFonts w:ascii="Times New Roman" w:eastAsia="Times New Roman" w:hAnsi="Times New Roman" w:cs="Times New Roman"/>
          <w:color w:val="000000"/>
          <w:sz w:val="24"/>
          <w:szCs w:val="24"/>
        </w:rPr>
        <w:t xml:space="preserve"> se encontra</w:t>
      </w:r>
      <w:r w:rsidR="006D5D9C">
        <w:rPr>
          <w:rFonts w:ascii="Times New Roman" w:eastAsia="Times New Roman" w:hAnsi="Times New Roman" w:cs="Times New Roman"/>
          <w:color w:val="000000"/>
          <w:sz w:val="24"/>
          <w:szCs w:val="24"/>
        </w:rPr>
        <w:t>,</w:t>
      </w:r>
      <w:r w:rsidRPr="008A09B2">
        <w:rPr>
          <w:rFonts w:ascii="Times New Roman" w:eastAsia="Times New Roman" w:hAnsi="Times New Roman" w:cs="Times New Roman"/>
          <w:color w:val="000000"/>
          <w:sz w:val="24"/>
          <w:szCs w:val="24"/>
        </w:rPr>
        <w:t xml:space="preserve"> sem</w:t>
      </w:r>
      <w:r w:rsidR="00AA40F5">
        <w:rPr>
          <w:rFonts w:ascii="Times New Roman" w:eastAsia="Times New Roman" w:hAnsi="Times New Roman" w:cs="Times New Roman"/>
          <w:color w:val="000000"/>
          <w:sz w:val="24"/>
          <w:szCs w:val="24"/>
        </w:rPr>
        <w:t xml:space="preserve"> </w:t>
      </w:r>
      <w:r w:rsidRPr="008A09B2">
        <w:rPr>
          <w:rFonts w:ascii="Times New Roman" w:eastAsia="Times New Roman" w:hAnsi="Times New Roman" w:cs="Times New Roman"/>
          <w:color w:val="000000"/>
          <w:sz w:val="24"/>
          <w:szCs w:val="24"/>
        </w:rPr>
        <w:t>comprometer o acesso a outras necessidades essenciais,  preservando também</w:t>
      </w:r>
      <w:r w:rsidR="00AA40F5">
        <w:rPr>
          <w:rFonts w:ascii="Times New Roman" w:eastAsia="Times New Roman" w:hAnsi="Times New Roman" w:cs="Times New Roman"/>
          <w:color w:val="000000"/>
          <w:sz w:val="24"/>
          <w:szCs w:val="24"/>
        </w:rPr>
        <w:t xml:space="preserve"> as </w:t>
      </w:r>
      <w:r w:rsidRPr="008A09B2">
        <w:rPr>
          <w:rFonts w:ascii="Times New Roman" w:eastAsia="Times New Roman" w:hAnsi="Times New Roman" w:cs="Times New Roman"/>
          <w:color w:val="000000"/>
          <w:sz w:val="24"/>
          <w:szCs w:val="24"/>
        </w:rPr>
        <w:t>práticas alimentares promotoras de saúde que respeitem a diversidade cultural e que sejam ambiental, cultural, econômica e socialmente sustentáveis</w:t>
      </w:r>
      <w:r w:rsidR="00AA40F5">
        <w:rPr>
          <w:rFonts w:ascii="Times New Roman" w:eastAsia="Times New Roman" w:hAnsi="Times New Roman" w:cs="Times New Roman"/>
          <w:color w:val="000000"/>
          <w:sz w:val="24"/>
          <w:szCs w:val="24"/>
        </w:rPr>
        <w:t xml:space="preserve">, </w:t>
      </w:r>
      <w:r w:rsidR="00AA40F5" w:rsidRPr="008A09B2">
        <w:rPr>
          <w:rFonts w:ascii="Times New Roman" w:eastAsia="Times New Roman" w:hAnsi="Times New Roman" w:cs="Times New Roman"/>
          <w:color w:val="000000"/>
          <w:sz w:val="24"/>
          <w:szCs w:val="24"/>
        </w:rPr>
        <w:t>conforme</w:t>
      </w:r>
      <w:r w:rsidR="00AA40F5">
        <w:rPr>
          <w:rFonts w:ascii="Times New Roman" w:eastAsia="Times New Roman" w:hAnsi="Times New Roman" w:cs="Times New Roman"/>
          <w:color w:val="000000"/>
          <w:sz w:val="24"/>
          <w:szCs w:val="24"/>
        </w:rPr>
        <w:t xml:space="preserve"> diz</w:t>
      </w:r>
      <w:r w:rsidR="00AA40F5" w:rsidRPr="008A09B2">
        <w:rPr>
          <w:rFonts w:ascii="Times New Roman" w:eastAsia="Times New Roman" w:hAnsi="Times New Roman" w:cs="Times New Roman"/>
          <w:color w:val="000000"/>
          <w:sz w:val="24"/>
          <w:szCs w:val="24"/>
        </w:rPr>
        <w:t xml:space="preserve"> a Lei Orgânica de Segurança alimentar e Nutricional </w:t>
      </w:r>
      <w:r w:rsidRPr="008A09B2">
        <w:rPr>
          <w:rFonts w:ascii="Times New Roman" w:eastAsia="Times New Roman" w:hAnsi="Times New Roman" w:cs="Times New Roman"/>
          <w:color w:val="000000"/>
          <w:sz w:val="24"/>
          <w:szCs w:val="24"/>
        </w:rPr>
        <w:t>(BRASIL, 2006).</w:t>
      </w:r>
    </w:p>
    <w:p w14:paraId="5DBF5962" w14:textId="3D6936A8" w:rsidR="006D2E39" w:rsidRPr="008A09B2" w:rsidRDefault="006D2E39" w:rsidP="00AA40F5">
      <w:pPr>
        <w:spacing w:after="0" w:line="360" w:lineRule="auto"/>
        <w:ind w:firstLine="720"/>
        <w:jc w:val="both"/>
        <w:rPr>
          <w:rFonts w:ascii="Times New Roman" w:eastAsia="Times New Roman" w:hAnsi="Times New Roman" w:cs="Times New Roman"/>
          <w:sz w:val="24"/>
          <w:szCs w:val="24"/>
        </w:rPr>
      </w:pPr>
      <w:r w:rsidRPr="008A09B2">
        <w:rPr>
          <w:rFonts w:ascii="Times New Roman" w:eastAsia="Times New Roman" w:hAnsi="Times New Roman" w:cs="Times New Roman"/>
          <w:color w:val="000000"/>
          <w:sz w:val="24"/>
          <w:szCs w:val="24"/>
        </w:rPr>
        <w:t>Este conceito de SAN contempla as dimensões de disponibilidade, acesso físico e econômico ao alimento, utilização biológica dos nutrientes e a estabilidade da disponibilidade, acesso e utilização dos alimentos, que se constitui como uma dimensão transversal e elemento temporal das três dimensões (</w:t>
      </w:r>
      <w:r w:rsidR="00B97C60" w:rsidRPr="009800C3">
        <w:rPr>
          <w:rFonts w:ascii="Times New Roman" w:eastAsiaTheme="minorHAnsi" w:hAnsi="Times New Roman" w:cs="Times New Roman"/>
          <w:color w:val="000000" w:themeColor="text1"/>
          <w:lang w:eastAsia="en-US"/>
        </w:rPr>
        <w:t>BURITY</w:t>
      </w:r>
      <w:r w:rsidR="00B97C60">
        <w:rPr>
          <w:rFonts w:ascii="Times New Roman" w:eastAsia="Times New Roman" w:hAnsi="Times New Roman" w:cs="Times New Roman"/>
          <w:color w:val="000000"/>
          <w:sz w:val="24"/>
          <w:szCs w:val="24"/>
        </w:rPr>
        <w:t xml:space="preserve">, 2010). </w:t>
      </w:r>
      <w:r w:rsidRPr="008A09B2">
        <w:rPr>
          <w:rFonts w:ascii="Times New Roman" w:eastAsia="Times New Roman" w:hAnsi="Times New Roman" w:cs="Times New Roman"/>
          <w:color w:val="000000"/>
          <w:sz w:val="24"/>
          <w:szCs w:val="24"/>
        </w:rPr>
        <w:t xml:space="preserve">Conforme estabelecimento dessas dimensões </w:t>
      </w:r>
      <w:r w:rsidRPr="008A09B2">
        <w:rPr>
          <w:rFonts w:ascii="Times New Roman" w:eastAsia="Times New Roman" w:hAnsi="Times New Roman" w:cs="Times New Roman"/>
          <w:color w:val="000000"/>
          <w:sz w:val="24"/>
          <w:szCs w:val="24"/>
        </w:rPr>
        <w:lastRenderedPageBreak/>
        <w:t>inerentes à SAN, o Conselho Nacional de Segurança Alimentar e Nutricional (CONSEA) dispõe de indicadores para a identificação e determinação de SAN nessas diferentes dimensões, entre os quais está a Escala Brasileira de Insegurança Alimentar e Nutricional (EBIA), que é um indicador direto de SAN da dimensão do acesso aos alimentos (CONSEA, 2004).</w:t>
      </w:r>
    </w:p>
    <w:p w14:paraId="10D4FBAA" w14:textId="0DE2C1F2" w:rsidR="006D2E39" w:rsidRPr="008A09B2" w:rsidRDefault="006D2E39" w:rsidP="00AA40F5">
      <w:pPr>
        <w:spacing w:after="0" w:line="360" w:lineRule="auto"/>
        <w:ind w:firstLine="720"/>
        <w:jc w:val="both"/>
        <w:rPr>
          <w:rFonts w:ascii="Times New Roman" w:eastAsia="Times New Roman" w:hAnsi="Times New Roman" w:cs="Times New Roman"/>
          <w:sz w:val="24"/>
          <w:szCs w:val="24"/>
        </w:rPr>
      </w:pPr>
      <w:r w:rsidRPr="008A09B2">
        <w:rPr>
          <w:rFonts w:ascii="Times New Roman" w:eastAsia="Times New Roman" w:hAnsi="Times New Roman" w:cs="Times New Roman"/>
          <w:color w:val="000000"/>
          <w:sz w:val="24"/>
          <w:szCs w:val="24"/>
        </w:rPr>
        <w:t>Desde a validação, a EBIA tem sido utilizada em pesquisas como as Pesquisas Nacionais por Amostra de Domicílios (PNAD) no país</w:t>
      </w:r>
      <w:r w:rsidR="006D5D9C">
        <w:rPr>
          <w:rFonts w:ascii="Times New Roman" w:eastAsia="Times New Roman" w:hAnsi="Times New Roman" w:cs="Times New Roman"/>
          <w:color w:val="000000"/>
          <w:sz w:val="24"/>
          <w:szCs w:val="24"/>
        </w:rPr>
        <w:t xml:space="preserve">, </w:t>
      </w:r>
      <w:r w:rsidRPr="008A09B2">
        <w:rPr>
          <w:rFonts w:ascii="Times New Roman" w:eastAsia="Times New Roman" w:hAnsi="Times New Roman" w:cs="Times New Roman"/>
          <w:color w:val="000000"/>
          <w:sz w:val="24"/>
          <w:szCs w:val="24"/>
        </w:rPr>
        <w:t>auxilia</w:t>
      </w:r>
      <w:r w:rsidR="006D5D9C">
        <w:rPr>
          <w:rFonts w:ascii="Times New Roman" w:eastAsia="Times New Roman" w:hAnsi="Times New Roman" w:cs="Times New Roman"/>
          <w:color w:val="000000"/>
          <w:sz w:val="24"/>
          <w:szCs w:val="24"/>
        </w:rPr>
        <w:t>n</w:t>
      </w:r>
      <w:r w:rsidRPr="008A09B2">
        <w:rPr>
          <w:rFonts w:ascii="Times New Roman" w:eastAsia="Times New Roman" w:hAnsi="Times New Roman" w:cs="Times New Roman"/>
          <w:color w:val="000000"/>
          <w:sz w:val="24"/>
          <w:szCs w:val="24"/>
        </w:rPr>
        <w:t xml:space="preserve">do na identificação, em diferentes segmentos populacionais, de tendências à maior prevalência e vulnerabilidade para a IA, como domicílios que têm mulheres como chefe do lar, </w:t>
      </w:r>
      <w:r w:rsidR="006D5D9C">
        <w:rPr>
          <w:rFonts w:ascii="Times New Roman" w:eastAsia="Times New Roman" w:hAnsi="Times New Roman" w:cs="Times New Roman"/>
          <w:color w:val="000000"/>
          <w:sz w:val="24"/>
          <w:szCs w:val="24"/>
        </w:rPr>
        <w:t xml:space="preserve">com </w:t>
      </w:r>
      <w:r w:rsidRPr="008A09B2">
        <w:rPr>
          <w:rFonts w:ascii="Times New Roman" w:eastAsia="Times New Roman" w:hAnsi="Times New Roman" w:cs="Times New Roman"/>
          <w:color w:val="000000"/>
          <w:sz w:val="24"/>
          <w:szCs w:val="24"/>
        </w:rPr>
        <w:t xml:space="preserve"> baixa escolaridade, cuja etnia dos moradores fosse diferente da branca e nos quais residem moradores menores de 18 anos  (SANTOS </w:t>
      </w:r>
      <w:r w:rsidRPr="008A09B2">
        <w:rPr>
          <w:rFonts w:ascii="Times New Roman" w:eastAsia="Times New Roman" w:hAnsi="Times New Roman" w:cs="Times New Roman"/>
          <w:i/>
          <w:iCs/>
          <w:color w:val="000000"/>
          <w:sz w:val="24"/>
          <w:szCs w:val="24"/>
        </w:rPr>
        <w:t>et al.,</w:t>
      </w:r>
      <w:r w:rsidRPr="008A09B2">
        <w:rPr>
          <w:rFonts w:ascii="Times New Roman" w:eastAsia="Times New Roman" w:hAnsi="Times New Roman" w:cs="Times New Roman"/>
          <w:color w:val="000000"/>
          <w:sz w:val="24"/>
          <w:szCs w:val="24"/>
        </w:rPr>
        <w:t xml:space="preserve"> 2018). </w:t>
      </w:r>
    </w:p>
    <w:p w14:paraId="55C77449" w14:textId="77777777" w:rsidR="006D2E39" w:rsidRPr="008A09B2" w:rsidRDefault="006D2E39" w:rsidP="00AA40F5">
      <w:pPr>
        <w:spacing w:after="0" w:line="360" w:lineRule="auto"/>
        <w:ind w:firstLine="720"/>
        <w:jc w:val="both"/>
        <w:rPr>
          <w:rFonts w:ascii="Times New Roman" w:eastAsia="Times New Roman" w:hAnsi="Times New Roman" w:cs="Times New Roman"/>
          <w:sz w:val="24"/>
          <w:szCs w:val="24"/>
        </w:rPr>
      </w:pPr>
      <w:r w:rsidRPr="008A09B2">
        <w:rPr>
          <w:rFonts w:ascii="Times New Roman" w:eastAsia="Times New Roman" w:hAnsi="Times New Roman" w:cs="Times New Roman"/>
          <w:color w:val="000000"/>
          <w:sz w:val="24"/>
          <w:szCs w:val="24"/>
        </w:rPr>
        <w:t>Neste contexto, o presente estudo teve como fundamental objetivo a avaliação e caracterização da IA em domicílios de uma cidade do interior de Sergipe para compreender a prevalência de SAN na localidade, bem como dimensionar a garantia do cumprimento do Direito Humano à Alimentação Adequada (DHAA), o qual é a base para o estabelecimento e vivência de situação de SAN.</w:t>
      </w:r>
    </w:p>
    <w:p w14:paraId="5FC4F1F4" w14:textId="77777777" w:rsidR="006D2E39" w:rsidRDefault="006D2E39" w:rsidP="006D2E39">
      <w:pPr>
        <w:spacing w:after="0" w:line="240" w:lineRule="auto"/>
        <w:jc w:val="both"/>
        <w:rPr>
          <w:rFonts w:ascii="Times New Roman" w:eastAsia="Times New Roman" w:hAnsi="Times New Roman" w:cs="Times New Roman"/>
          <w:sz w:val="24"/>
          <w:szCs w:val="24"/>
        </w:rPr>
      </w:pPr>
    </w:p>
    <w:p w14:paraId="21830AE3" w14:textId="77777777" w:rsidR="006D2E39" w:rsidRPr="008A09B2" w:rsidRDefault="006D2E39" w:rsidP="006D2E39">
      <w:pPr>
        <w:pStyle w:val="PargrafodaLista"/>
        <w:numPr>
          <w:ilvl w:val="0"/>
          <w:numId w:val="38"/>
        </w:numPr>
        <w:spacing w:after="0" w:line="240" w:lineRule="auto"/>
        <w:ind w:left="284" w:hanging="284"/>
        <w:jc w:val="both"/>
        <w:rPr>
          <w:rFonts w:ascii="Times New Roman" w:eastAsia="Times New Roman" w:hAnsi="Times New Roman" w:cs="Times New Roman"/>
          <w:sz w:val="24"/>
          <w:szCs w:val="24"/>
        </w:rPr>
      </w:pPr>
      <w:r w:rsidRPr="008A09B2">
        <w:rPr>
          <w:rFonts w:ascii="Times New Roman" w:eastAsia="Times New Roman" w:hAnsi="Times New Roman" w:cs="Times New Roman"/>
          <w:b/>
          <w:bCs/>
          <w:color w:val="000000"/>
          <w:sz w:val="24"/>
          <w:szCs w:val="24"/>
        </w:rPr>
        <w:t>MATERIAIS E MÉTODOS </w:t>
      </w:r>
    </w:p>
    <w:p w14:paraId="3B4579DC" w14:textId="77777777" w:rsidR="006D2E39" w:rsidRPr="008A09B2" w:rsidRDefault="006D2E39" w:rsidP="006D2E39">
      <w:pPr>
        <w:spacing w:after="0" w:line="240" w:lineRule="auto"/>
        <w:rPr>
          <w:rFonts w:ascii="Times New Roman" w:eastAsia="Times New Roman" w:hAnsi="Times New Roman" w:cs="Times New Roman"/>
          <w:sz w:val="24"/>
          <w:szCs w:val="24"/>
        </w:rPr>
      </w:pPr>
    </w:p>
    <w:p w14:paraId="7360CD21" w14:textId="276F9FC3" w:rsidR="006D2E39" w:rsidRPr="002D635A" w:rsidRDefault="006D2E39" w:rsidP="00AA40F5">
      <w:pPr>
        <w:spacing w:after="0" w:line="360" w:lineRule="auto"/>
        <w:ind w:firstLine="720"/>
        <w:jc w:val="both"/>
        <w:rPr>
          <w:rFonts w:ascii="Times New Roman" w:eastAsia="Times New Roman" w:hAnsi="Times New Roman" w:cs="Times New Roman"/>
          <w:sz w:val="24"/>
          <w:szCs w:val="24"/>
        </w:rPr>
      </w:pPr>
      <w:r w:rsidRPr="000E59B0">
        <w:rPr>
          <w:rFonts w:ascii="Times New Roman" w:eastAsia="Times New Roman" w:hAnsi="Times New Roman" w:cs="Times New Roman"/>
          <w:color w:val="000000"/>
          <w:sz w:val="24"/>
          <w:szCs w:val="24"/>
        </w:rPr>
        <w:t>Trata-se</w:t>
      </w:r>
      <w:r w:rsidRPr="002D635A">
        <w:rPr>
          <w:rFonts w:ascii="Times New Roman" w:eastAsia="Times New Roman" w:hAnsi="Times New Roman" w:cs="Times New Roman"/>
          <w:i/>
          <w:iCs/>
          <w:color w:val="000000"/>
          <w:sz w:val="24"/>
          <w:szCs w:val="24"/>
        </w:rPr>
        <w:t xml:space="preserve"> </w:t>
      </w:r>
      <w:r w:rsidRPr="00AA40F5">
        <w:rPr>
          <w:rFonts w:ascii="Times New Roman" w:eastAsia="Times New Roman" w:hAnsi="Times New Roman" w:cs="Times New Roman"/>
          <w:color w:val="000000"/>
          <w:sz w:val="24"/>
          <w:szCs w:val="24"/>
        </w:rPr>
        <w:t>de</w:t>
      </w:r>
      <w:r w:rsidRPr="002D635A">
        <w:rPr>
          <w:rFonts w:ascii="Times New Roman" w:eastAsia="Times New Roman" w:hAnsi="Times New Roman" w:cs="Times New Roman"/>
          <w:i/>
          <w:iCs/>
          <w:color w:val="000000"/>
          <w:sz w:val="24"/>
          <w:szCs w:val="24"/>
        </w:rPr>
        <w:t xml:space="preserve"> </w:t>
      </w:r>
      <w:r w:rsidRPr="002D635A">
        <w:rPr>
          <w:rFonts w:ascii="Times New Roman" w:eastAsia="Times New Roman" w:hAnsi="Times New Roman" w:cs="Times New Roman"/>
          <w:color w:val="000000"/>
          <w:sz w:val="24"/>
          <w:szCs w:val="24"/>
        </w:rPr>
        <w:t>um estudo do tipo transversal descritivo de análise quantitativa de dados.</w:t>
      </w:r>
      <w:r w:rsidRPr="002D635A">
        <w:rPr>
          <w:rFonts w:ascii="Times New Roman" w:eastAsia="Times New Roman" w:hAnsi="Times New Roman" w:cs="Times New Roman"/>
          <w:sz w:val="24"/>
          <w:szCs w:val="24"/>
        </w:rPr>
        <w:t xml:space="preserve"> </w:t>
      </w:r>
      <w:r w:rsidRPr="002D635A">
        <w:rPr>
          <w:rFonts w:ascii="Times New Roman" w:eastAsia="Times New Roman" w:hAnsi="Times New Roman" w:cs="Times New Roman"/>
          <w:color w:val="000000"/>
          <w:sz w:val="24"/>
          <w:szCs w:val="24"/>
        </w:rPr>
        <w:t xml:space="preserve">A execução do projeto foi no município de </w:t>
      </w:r>
      <w:proofErr w:type="spellStart"/>
      <w:r w:rsidRPr="002D635A">
        <w:rPr>
          <w:rFonts w:ascii="Times New Roman" w:eastAsia="Times New Roman" w:hAnsi="Times New Roman" w:cs="Times New Roman"/>
          <w:color w:val="000000"/>
          <w:sz w:val="24"/>
          <w:szCs w:val="24"/>
        </w:rPr>
        <w:t>Lagarto-SE</w:t>
      </w:r>
      <w:proofErr w:type="spellEnd"/>
      <w:r w:rsidRPr="002D635A">
        <w:rPr>
          <w:rFonts w:ascii="Times New Roman" w:eastAsia="Times New Roman" w:hAnsi="Times New Roman" w:cs="Times New Roman"/>
          <w:color w:val="000000"/>
          <w:sz w:val="24"/>
          <w:szCs w:val="24"/>
        </w:rPr>
        <w:t>, em 94 domicílios, estes foram selecionados a partir da amostra calculada de 350 domicílios, utilizando-se o método de amostragem probabilístico simples, considerando o erro amostral de 5% e graus de confiança de 95%. A identificação do domicílio na sua área e microárea se deu através de sorteio para garantir aleatoriedade, com auxílio da Secretaria de Saúde do município, obteve-se o total de famílias cadastradas por área e microárea, nas seis Unidade</w:t>
      </w:r>
      <w:r w:rsidR="00AA40F5">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 xml:space="preserve"> Básicas de Saúde</w:t>
      </w:r>
      <w:r w:rsidR="00561B3E">
        <w:rPr>
          <w:rFonts w:ascii="Times New Roman" w:eastAsia="Times New Roman" w:hAnsi="Times New Roman" w:cs="Times New Roman"/>
          <w:color w:val="000000"/>
          <w:sz w:val="24"/>
          <w:szCs w:val="24"/>
        </w:rPr>
        <w:t xml:space="preserve"> (UBS)</w:t>
      </w:r>
      <w:r w:rsidRPr="002D635A">
        <w:rPr>
          <w:rFonts w:ascii="Times New Roman" w:eastAsia="Times New Roman" w:hAnsi="Times New Roman" w:cs="Times New Roman"/>
          <w:color w:val="000000"/>
          <w:sz w:val="24"/>
          <w:szCs w:val="24"/>
        </w:rPr>
        <w:t xml:space="preserve"> da zona urbana. Todas essas informações foram confirmadas e atualizadas em reunião prévia com enfermeiro e/ou </w:t>
      </w:r>
      <w:r w:rsidR="00561B3E">
        <w:rPr>
          <w:rFonts w:ascii="Times New Roman" w:eastAsia="Times New Roman" w:hAnsi="Times New Roman" w:cs="Times New Roman"/>
          <w:color w:val="000000"/>
          <w:sz w:val="24"/>
          <w:szCs w:val="24"/>
        </w:rPr>
        <w:t>A</w:t>
      </w:r>
      <w:r w:rsidRPr="002D635A">
        <w:rPr>
          <w:rFonts w:ascii="Times New Roman" w:eastAsia="Times New Roman" w:hAnsi="Times New Roman" w:cs="Times New Roman"/>
          <w:color w:val="000000"/>
          <w:sz w:val="24"/>
          <w:szCs w:val="24"/>
        </w:rPr>
        <w:t xml:space="preserve">gentes </w:t>
      </w:r>
      <w:r w:rsidR="00561B3E">
        <w:rPr>
          <w:rFonts w:ascii="Times New Roman" w:eastAsia="Times New Roman" w:hAnsi="Times New Roman" w:cs="Times New Roman"/>
          <w:color w:val="000000"/>
          <w:sz w:val="24"/>
          <w:szCs w:val="24"/>
        </w:rPr>
        <w:t>C</w:t>
      </w:r>
      <w:r w:rsidRPr="002D635A">
        <w:rPr>
          <w:rFonts w:ascii="Times New Roman" w:eastAsia="Times New Roman" w:hAnsi="Times New Roman" w:cs="Times New Roman"/>
          <w:color w:val="000000"/>
          <w:sz w:val="24"/>
          <w:szCs w:val="24"/>
        </w:rPr>
        <w:t xml:space="preserve">omunitários de </w:t>
      </w:r>
      <w:r w:rsidR="00561B3E">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aúde (ACS) que acompanhavam as famílias na zona urbana da cidade.</w:t>
      </w:r>
    </w:p>
    <w:p w14:paraId="63AA4D84" w14:textId="594E93E1" w:rsidR="006D2E39" w:rsidRPr="002D635A" w:rsidRDefault="006D2E39" w:rsidP="00AA40F5">
      <w:pPr>
        <w:spacing w:after="0" w:line="360" w:lineRule="auto"/>
        <w:ind w:firstLine="720"/>
        <w:jc w:val="both"/>
        <w:rPr>
          <w:rFonts w:ascii="Times New Roman" w:eastAsia="Times New Roman" w:hAnsi="Times New Roman" w:cs="Times New Roman"/>
          <w:sz w:val="24"/>
          <w:szCs w:val="24"/>
        </w:rPr>
      </w:pPr>
      <w:r w:rsidRPr="002D635A">
        <w:rPr>
          <w:rFonts w:ascii="Times New Roman" w:eastAsia="Times New Roman" w:hAnsi="Times New Roman" w:cs="Times New Roman"/>
          <w:color w:val="000000"/>
          <w:sz w:val="24"/>
          <w:szCs w:val="24"/>
        </w:rPr>
        <w:t>Para análise da Insegurança Alimentar utilizou-se a EBIA. É uma escala psicométrica que mede diretamente a dimensão de acesso ao</w:t>
      </w:r>
      <w:r w:rsidR="00AA40F5">
        <w:rPr>
          <w:rFonts w:ascii="Times New Roman" w:eastAsia="Times New Roman" w:hAnsi="Times New Roman" w:cs="Times New Roman"/>
          <w:color w:val="000000"/>
          <w:sz w:val="24"/>
          <w:szCs w:val="24"/>
        </w:rPr>
        <w:t>s</w:t>
      </w:r>
      <w:r w:rsidRPr="002D635A">
        <w:rPr>
          <w:rFonts w:ascii="Times New Roman" w:eastAsia="Times New Roman" w:hAnsi="Times New Roman" w:cs="Times New Roman"/>
          <w:color w:val="000000"/>
          <w:sz w:val="24"/>
          <w:szCs w:val="24"/>
        </w:rPr>
        <w:t xml:space="preserve"> alimentos, e através dos pontos as classificam: Quando não obtêm nenhum ponto, considera-se que a família está em segurança alimentar, quando obtêm-se a soma dos pontos, a família pode ser classificada como em insegurança alimentar leve (1-5) com menores de 18 anos ou (1-3) sem menores de 18 anos, insegurança alimentar moderada(6-9) com menores de 18 anos ou (4-5) com menores de 18 anos ou </w:t>
      </w:r>
      <w:r w:rsidRPr="002D635A">
        <w:rPr>
          <w:rFonts w:ascii="Times New Roman" w:eastAsia="Times New Roman" w:hAnsi="Times New Roman" w:cs="Times New Roman"/>
          <w:color w:val="000000"/>
          <w:sz w:val="24"/>
          <w:szCs w:val="24"/>
        </w:rPr>
        <w:lastRenderedPageBreak/>
        <w:t>insegurança alimentar grave (10-14) com menores de 18 anos ou (6-8) sem menores de 18 anos. Para caracterizar o perfil demográfico dos chefes da família e o total de renda familiar, aplicou-se o questionário socioambiental que continham essas informações</w:t>
      </w:r>
      <w:r w:rsidR="00AA40F5">
        <w:rPr>
          <w:rFonts w:ascii="Times New Roman" w:eastAsia="Times New Roman" w:hAnsi="Times New Roman" w:cs="Times New Roman"/>
          <w:color w:val="000000"/>
          <w:sz w:val="24"/>
          <w:szCs w:val="24"/>
        </w:rPr>
        <w:t>.</w:t>
      </w:r>
    </w:p>
    <w:p w14:paraId="176CBBC3" w14:textId="5BA307F2" w:rsidR="006D2E39" w:rsidRPr="002D635A" w:rsidRDefault="006D2E39" w:rsidP="00AA40F5">
      <w:pPr>
        <w:spacing w:after="0" w:line="360" w:lineRule="auto"/>
        <w:ind w:firstLine="709"/>
        <w:jc w:val="both"/>
        <w:rPr>
          <w:rFonts w:ascii="Times New Roman" w:hAnsi="Times New Roman" w:cs="Times New Roman"/>
          <w:sz w:val="24"/>
          <w:szCs w:val="24"/>
          <w:lang w:eastAsia="x-none"/>
        </w:rPr>
      </w:pPr>
      <w:r w:rsidRPr="002D635A">
        <w:rPr>
          <w:rFonts w:ascii="Times New Roman" w:hAnsi="Times New Roman" w:cs="Times New Roman"/>
          <w:sz w:val="24"/>
          <w:szCs w:val="24"/>
          <w:lang w:eastAsia="x-none"/>
        </w:rPr>
        <w:t>A coleta foi realizada em 94 domicílios com famílias acompanhadas por três Unidades Básicas de Saúde</w:t>
      </w:r>
      <w:r w:rsidRPr="002D635A">
        <w:rPr>
          <w:rFonts w:ascii="Times New Roman" w:hAnsi="Times New Roman" w:cs="Times New Roman"/>
          <w:sz w:val="24"/>
          <w:szCs w:val="24"/>
          <w:shd w:val="clear" w:color="auto" w:fill="FFFFFF"/>
        </w:rPr>
        <w:t xml:space="preserve"> (UBS Dr. Davi Marcos de Lima, UBS Antônio Maroto, UBS</w:t>
      </w:r>
      <w:r w:rsidRPr="002D635A">
        <w:rPr>
          <w:rFonts w:ascii="Times New Roman" w:hAnsi="Times New Roman" w:cs="Times New Roman"/>
          <w:sz w:val="24"/>
          <w:szCs w:val="24"/>
        </w:rPr>
        <w:t xml:space="preserve"> </w:t>
      </w:r>
      <w:r w:rsidRPr="002D635A">
        <w:rPr>
          <w:rFonts w:ascii="Times New Roman" w:hAnsi="Times New Roman" w:cs="Times New Roman"/>
          <w:sz w:val="24"/>
          <w:szCs w:val="24"/>
          <w:shd w:val="clear" w:color="auto" w:fill="FFFFFF"/>
        </w:rPr>
        <w:t>Ademar de Carvalho)</w:t>
      </w:r>
      <w:r w:rsidRPr="002D635A">
        <w:rPr>
          <w:rFonts w:ascii="Times New Roman" w:hAnsi="Times New Roman" w:cs="Times New Roman"/>
          <w:sz w:val="24"/>
          <w:szCs w:val="24"/>
          <w:lang w:eastAsia="x-none"/>
        </w:rPr>
        <w:t>, no período de novembro</w:t>
      </w:r>
      <w:r w:rsidRPr="002D635A">
        <w:rPr>
          <w:rFonts w:ascii="Times New Roman" w:hAnsi="Times New Roman" w:cs="Times New Roman"/>
          <w:sz w:val="24"/>
          <w:szCs w:val="24"/>
        </w:rPr>
        <w:t xml:space="preserve"> de dois mil e dezoito a junho de dois mil e dezenove, </w:t>
      </w:r>
      <w:r w:rsidRPr="002D635A">
        <w:rPr>
          <w:rFonts w:ascii="Times New Roman" w:hAnsi="Times New Roman" w:cs="Times New Roman"/>
          <w:sz w:val="24"/>
          <w:szCs w:val="24"/>
          <w:lang w:eastAsia="x-none"/>
        </w:rPr>
        <w:t>nas micro áreas das Unidades Básicas de Saúde, além de 14 aplicações do estudo piloto estes sendo coletados por estudante</w:t>
      </w:r>
      <w:r w:rsidR="00AA40F5">
        <w:rPr>
          <w:rFonts w:ascii="Times New Roman" w:hAnsi="Times New Roman" w:cs="Times New Roman"/>
          <w:sz w:val="24"/>
          <w:szCs w:val="24"/>
          <w:lang w:eastAsia="x-none"/>
        </w:rPr>
        <w:t>s</w:t>
      </w:r>
      <w:r w:rsidRPr="002D635A">
        <w:rPr>
          <w:rFonts w:ascii="Times New Roman" w:hAnsi="Times New Roman" w:cs="Times New Roman"/>
          <w:sz w:val="24"/>
          <w:szCs w:val="24"/>
          <w:lang w:eastAsia="x-none"/>
        </w:rPr>
        <w:t xml:space="preserve"> previamente treinados. Antes de iniciar a coleta de dados eram realizadas reunião prévia com enfermeiros e ACS, para que coordenador explicasse o projeto e entrevistadores pudesse combinar uma data prévia que estivesse já no cronograma de visita ao domicilio pelo ACS, para que não afetasse a sua rotina de trabalho, para tanto solicitava o número do telefone para contato.  Nesse momento o coordenador confirmava os dados sobre área e microárea dos domicílios, assim como a zona (rural e urbana) de forma a promover um sorteio. Pois em alguns momentos os cadastros não estavam atualizados e naquelas áreas que não tinham cadastro a coleta de dados não foi realizada. </w:t>
      </w:r>
    </w:p>
    <w:p w14:paraId="416BF684" w14:textId="77777777" w:rsidR="006D2E39" w:rsidRPr="002D635A" w:rsidRDefault="006D2E39" w:rsidP="00AA40F5">
      <w:pPr>
        <w:spacing w:after="0" w:line="360" w:lineRule="auto"/>
        <w:ind w:firstLine="720"/>
        <w:jc w:val="both"/>
        <w:rPr>
          <w:rFonts w:ascii="Times New Roman" w:eastAsia="Times New Roman" w:hAnsi="Times New Roman" w:cs="Times New Roman"/>
          <w:sz w:val="24"/>
          <w:szCs w:val="24"/>
        </w:rPr>
      </w:pPr>
      <w:r w:rsidRPr="002D635A">
        <w:rPr>
          <w:rFonts w:ascii="Times New Roman" w:eastAsia="Times New Roman" w:hAnsi="Times New Roman" w:cs="Times New Roman"/>
          <w:color w:val="000000"/>
          <w:sz w:val="24"/>
          <w:szCs w:val="24"/>
        </w:rPr>
        <w:t xml:space="preserve">As análises estatísticas descritivas, frequências absolutas e relativas, mediana, máximo e mínimo da idade e dos ganhos totais da família, foram obtidas no programa </w:t>
      </w:r>
      <w:proofErr w:type="spellStart"/>
      <w:r w:rsidRPr="002D635A">
        <w:rPr>
          <w:rFonts w:ascii="Times New Roman" w:eastAsia="Times New Roman" w:hAnsi="Times New Roman" w:cs="Times New Roman"/>
          <w:color w:val="000000"/>
          <w:sz w:val="24"/>
          <w:szCs w:val="24"/>
        </w:rPr>
        <w:t>Statistical</w:t>
      </w:r>
      <w:proofErr w:type="spellEnd"/>
      <w:r w:rsidRPr="002D635A">
        <w:rPr>
          <w:rFonts w:ascii="Times New Roman" w:eastAsia="Times New Roman" w:hAnsi="Times New Roman" w:cs="Times New Roman"/>
          <w:color w:val="000000"/>
          <w:sz w:val="24"/>
          <w:szCs w:val="24"/>
        </w:rPr>
        <w:t xml:space="preserve"> </w:t>
      </w:r>
      <w:proofErr w:type="spellStart"/>
      <w:r w:rsidRPr="002D635A">
        <w:rPr>
          <w:rFonts w:ascii="Times New Roman" w:eastAsia="Times New Roman" w:hAnsi="Times New Roman" w:cs="Times New Roman"/>
          <w:color w:val="000000"/>
          <w:sz w:val="24"/>
          <w:szCs w:val="24"/>
        </w:rPr>
        <w:t>Package</w:t>
      </w:r>
      <w:proofErr w:type="spellEnd"/>
      <w:r w:rsidRPr="002D635A">
        <w:rPr>
          <w:rFonts w:ascii="Times New Roman" w:eastAsia="Times New Roman" w:hAnsi="Times New Roman" w:cs="Times New Roman"/>
          <w:color w:val="000000"/>
          <w:sz w:val="24"/>
          <w:szCs w:val="24"/>
        </w:rPr>
        <w:t xml:space="preserve"> for </w:t>
      </w:r>
      <w:proofErr w:type="spellStart"/>
      <w:r w:rsidRPr="002D635A">
        <w:rPr>
          <w:rFonts w:ascii="Times New Roman" w:eastAsia="Times New Roman" w:hAnsi="Times New Roman" w:cs="Times New Roman"/>
          <w:color w:val="000000"/>
          <w:sz w:val="24"/>
          <w:szCs w:val="24"/>
        </w:rPr>
        <w:t>the</w:t>
      </w:r>
      <w:proofErr w:type="spellEnd"/>
      <w:r w:rsidRPr="002D635A">
        <w:rPr>
          <w:rFonts w:ascii="Times New Roman" w:eastAsia="Times New Roman" w:hAnsi="Times New Roman" w:cs="Times New Roman"/>
          <w:color w:val="000000"/>
          <w:sz w:val="24"/>
          <w:szCs w:val="24"/>
        </w:rPr>
        <w:t xml:space="preserve"> Social Science (SPSS) versão 20.0.</w:t>
      </w:r>
    </w:p>
    <w:p w14:paraId="65DCF526" w14:textId="77777777" w:rsidR="006D2E39" w:rsidRPr="002D635A" w:rsidRDefault="006D2E39" w:rsidP="00AA40F5">
      <w:pPr>
        <w:spacing w:after="0" w:line="360" w:lineRule="auto"/>
        <w:ind w:firstLine="720"/>
        <w:jc w:val="both"/>
        <w:rPr>
          <w:rFonts w:ascii="Times New Roman" w:eastAsia="Times New Roman" w:hAnsi="Times New Roman" w:cs="Times New Roman"/>
          <w:sz w:val="24"/>
          <w:szCs w:val="24"/>
        </w:rPr>
      </w:pPr>
      <w:r w:rsidRPr="002D635A">
        <w:rPr>
          <w:rFonts w:ascii="Times New Roman" w:eastAsia="Times New Roman" w:hAnsi="Times New Roman" w:cs="Times New Roman"/>
          <w:color w:val="000000"/>
          <w:sz w:val="24"/>
          <w:szCs w:val="24"/>
        </w:rPr>
        <w:t>A participação da pesquisa pelos os indivíduos são por meio da assinatura do TCLE. Sendo que esta segue a resolução nº 466/2012 de pesquisas envolvendo seres humanos, que foi submetido e aprovado pelo Comitê de Ética em pesquisa da Universidade Federal de Sergipe (CAAE: 92208318.1.0000.55.46 / PARECER: 2.802.364).</w:t>
      </w:r>
    </w:p>
    <w:p w14:paraId="68B5B2C8" w14:textId="77777777" w:rsidR="006D2E39" w:rsidRDefault="006D2E39" w:rsidP="00AA40F5">
      <w:pPr>
        <w:spacing w:after="0" w:line="240" w:lineRule="auto"/>
        <w:jc w:val="both"/>
        <w:rPr>
          <w:rFonts w:ascii="Times New Roman" w:eastAsia="Times New Roman" w:hAnsi="Times New Roman" w:cs="Times New Roman"/>
          <w:b/>
          <w:bCs/>
          <w:color w:val="000000"/>
          <w:sz w:val="24"/>
          <w:szCs w:val="24"/>
        </w:rPr>
      </w:pPr>
    </w:p>
    <w:p w14:paraId="1D9885CA" w14:textId="77777777" w:rsidR="006D2E39" w:rsidRPr="002D635A" w:rsidRDefault="006D2E39" w:rsidP="006D2E39">
      <w:pPr>
        <w:pStyle w:val="PargrafodaLista"/>
        <w:numPr>
          <w:ilvl w:val="0"/>
          <w:numId w:val="38"/>
        </w:numPr>
        <w:spacing w:after="0" w:line="240" w:lineRule="auto"/>
        <w:ind w:left="284" w:hanging="284"/>
        <w:jc w:val="both"/>
        <w:rPr>
          <w:rFonts w:ascii="Times New Roman" w:eastAsia="Times New Roman" w:hAnsi="Times New Roman" w:cs="Times New Roman"/>
          <w:sz w:val="24"/>
          <w:szCs w:val="24"/>
        </w:rPr>
      </w:pPr>
      <w:r w:rsidRPr="008A09B2">
        <w:rPr>
          <w:rFonts w:ascii="Times New Roman" w:eastAsia="Times New Roman" w:hAnsi="Times New Roman" w:cs="Times New Roman"/>
          <w:b/>
          <w:bCs/>
          <w:color w:val="000000"/>
          <w:sz w:val="24"/>
          <w:szCs w:val="24"/>
        </w:rPr>
        <w:t>RESULTADOS E DISCUSSÃO</w:t>
      </w:r>
    </w:p>
    <w:p w14:paraId="7F5155C5" w14:textId="77777777" w:rsidR="006D2E39" w:rsidRPr="008A09B2" w:rsidRDefault="006D2E39" w:rsidP="006D2E39">
      <w:pPr>
        <w:pStyle w:val="PargrafodaLista"/>
        <w:spacing w:after="0" w:line="240" w:lineRule="auto"/>
        <w:ind w:left="284"/>
        <w:jc w:val="both"/>
        <w:rPr>
          <w:rFonts w:ascii="Times New Roman" w:eastAsia="Times New Roman" w:hAnsi="Times New Roman" w:cs="Times New Roman"/>
          <w:sz w:val="24"/>
          <w:szCs w:val="24"/>
        </w:rPr>
      </w:pPr>
    </w:p>
    <w:p w14:paraId="350EBB4D" w14:textId="368BFA4D" w:rsidR="006D2E39" w:rsidRDefault="006D2E39" w:rsidP="006D2E39">
      <w:pPr>
        <w:spacing w:line="360" w:lineRule="auto"/>
        <w:ind w:firstLine="709"/>
        <w:jc w:val="both"/>
        <w:rPr>
          <w:rFonts w:ascii="Times New Roman" w:hAnsi="Times New Roman" w:cs="Times New Roman"/>
          <w:sz w:val="24"/>
          <w:szCs w:val="24"/>
        </w:rPr>
      </w:pPr>
      <w:r w:rsidRPr="00F40D90">
        <w:rPr>
          <w:rFonts w:ascii="Times New Roman" w:eastAsia="Times New Roman" w:hAnsi="Times New Roman" w:cs="Times New Roman"/>
          <w:b/>
          <w:bCs/>
          <w:color w:val="000000"/>
          <w:sz w:val="24"/>
          <w:szCs w:val="24"/>
        </w:rPr>
        <w:t> </w:t>
      </w:r>
      <w:bookmarkStart w:id="0" w:name="_Hlk13945681"/>
      <w:r w:rsidRPr="002D635A">
        <w:rPr>
          <w:rFonts w:ascii="Times New Roman" w:hAnsi="Times New Roman" w:cs="Times New Roman"/>
          <w:sz w:val="24"/>
          <w:szCs w:val="24"/>
        </w:rPr>
        <w:t>A amostra foi constituída por 94 chefes de família do sexo feminino (82) 87,2% e dois do sexo masculino (12) 12,8%</w:t>
      </w:r>
      <w:bookmarkEnd w:id="0"/>
      <w:r>
        <w:rPr>
          <w:rFonts w:ascii="Times New Roman" w:hAnsi="Times New Roman" w:cs="Times New Roman"/>
          <w:sz w:val="24"/>
          <w:szCs w:val="24"/>
        </w:rPr>
        <w:t xml:space="preserve">. </w:t>
      </w:r>
      <w:r w:rsidRPr="002D635A">
        <w:rPr>
          <w:rFonts w:ascii="Times New Roman" w:hAnsi="Times New Roman" w:cs="Times New Roman"/>
          <w:sz w:val="24"/>
          <w:szCs w:val="24"/>
        </w:rPr>
        <w:t xml:space="preserve">No que diz respeito ao estado civil responderam predominantemente que são solteiros, sendo (32) 34,0%. Em relação a ocupação, (23) 24,5% responderam que trabalham e (71) 75,5% não trabalham. Quanto a idade, os 94 chefes de família correspondem a mediana de 44 anos de idade, tendo como mínimo 17 anos de idade e 95 anos o máximo de idade sendo que os ganhos dos chefes de família recebiam em média 950,00 reais, o mínimo de 100,00 reais e o máximo 5454,00 reais (Tabela </w:t>
      </w:r>
      <w:r>
        <w:rPr>
          <w:rFonts w:ascii="Times New Roman" w:hAnsi="Times New Roman" w:cs="Times New Roman"/>
          <w:sz w:val="24"/>
          <w:szCs w:val="24"/>
        </w:rPr>
        <w:t>1</w:t>
      </w:r>
      <w:r w:rsidRPr="002D635A">
        <w:rPr>
          <w:rFonts w:ascii="Times New Roman" w:hAnsi="Times New Roman" w:cs="Times New Roman"/>
          <w:sz w:val="24"/>
          <w:szCs w:val="24"/>
        </w:rPr>
        <w:t>).</w:t>
      </w:r>
    </w:p>
    <w:p w14:paraId="330E3477" w14:textId="77777777" w:rsidR="00561B3E" w:rsidRPr="002D635A" w:rsidRDefault="00561B3E" w:rsidP="006D2E39">
      <w:pPr>
        <w:spacing w:line="360" w:lineRule="auto"/>
        <w:ind w:firstLine="709"/>
        <w:jc w:val="both"/>
        <w:rPr>
          <w:rFonts w:ascii="Times New Roman" w:hAnsi="Times New Roman" w:cs="Times New Roman"/>
          <w:sz w:val="24"/>
          <w:szCs w:val="24"/>
        </w:rPr>
      </w:pPr>
    </w:p>
    <w:p w14:paraId="1C182CBE" w14:textId="77777777" w:rsidR="006D2E39" w:rsidRPr="00F40D90" w:rsidRDefault="006D2E39" w:rsidP="006D2E39">
      <w:pPr>
        <w:spacing w:line="240" w:lineRule="auto"/>
        <w:rPr>
          <w:rFonts w:ascii="Times New Roman" w:hAnsi="Times New Roman" w:cs="Times New Roman"/>
          <w:sz w:val="20"/>
          <w:szCs w:val="20"/>
        </w:rPr>
      </w:pPr>
      <w:r w:rsidRPr="00860696">
        <w:rPr>
          <w:rFonts w:ascii="Times New Roman" w:hAnsi="Times New Roman" w:cs="Times New Roman"/>
          <w:bCs/>
          <w:sz w:val="20"/>
          <w:szCs w:val="20"/>
        </w:rPr>
        <w:lastRenderedPageBreak/>
        <w:t>Tabela 1</w:t>
      </w:r>
      <w:r w:rsidRPr="00F40D90">
        <w:rPr>
          <w:rFonts w:ascii="Times New Roman" w:hAnsi="Times New Roman" w:cs="Times New Roman"/>
          <w:sz w:val="20"/>
          <w:szCs w:val="20"/>
        </w:rPr>
        <w:t xml:space="preserve"> – Características Demográficas dos entrevistados pelo questionário sociodemográfico, Lagarto, Sergipe, Brasil, 2019.                                                                                                                </w:t>
      </w:r>
    </w:p>
    <w:tbl>
      <w:tblPr>
        <w:tblStyle w:val="Tabelacomgrade"/>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491"/>
        <w:gridCol w:w="1443"/>
        <w:gridCol w:w="1204"/>
        <w:gridCol w:w="1204"/>
        <w:gridCol w:w="1204"/>
      </w:tblGrid>
      <w:tr w:rsidR="006D2E39" w:rsidRPr="00F40D90" w14:paraId="46E607DE" w14:textId="77777777" w:rsidTr="000B6C78">
        <w:tc>
          <w:tcPr>
            <w:tcW w:w="1948" w:type="dxa"/>
            <w:tcBorders>
              <w:top w:val="single" w:sz="4" w:space="0" w:color="auto"/>
              <w:bottom w:val="single" w:sz="4" w:space="0" w:color="auto"/>
            </w:tcBorders>
          </w:tcPr>
          <w:p w14:paraId="66792DE4"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b/>
                <w:sz w:val="20"/>
                <w:szCs w:val="20"/>
              </w:rPr>
              <w:t xml:space="preserve">Caraterísticas  </w:t>
            </w:r>
          </w:p>
        </w:tc>
        <w:tc>
          <w:tcPr>
            <w:tcW w:w="1491" w:type="dxa"/>
            <w:tcBorders>
              <w:top w:val="single" w:sz="4" w:space="0" w:color="auto"/>
              <w:bottom w:val="single" w:sz="4" w:space="0" w:color="auto"/>
            </w:tcBorders>
          </w:tcPr>
          <w:p w14:paraId="51E27EDC" w14:textId="77777777" w:rsidR="006D2E39" w:rsidRPr="00F40D90" w:rsidRDefault="006D2E39" w:rsidP="000B6C78">
            <w:pPr>
              <w:jc w:val="center"/>
              <w:rPr>
                <w:rFonts w:ascii="Times New Roman" w:hAnsi="Times New Roman" w:cs="Times New Roman"/>
                <w:b/>
                <w:bCs/>
                <w:sz w:val="20"/>
                <w:szCs w:val="20"/>
              </w:rPr>
            </w:pPr>
            <w:r w:rsidRPr="00F40D90">
              <w:rPr>
                <w:rFonts w:ascii="Times New Roman" w:hAnsi="Times New Roman" w:cs="Times New Roman"/>
                <w:b/>
                <w:bCs/>
                <w:sz w:val="20"/>
                <w:szCs w:val="20"/>
              </w:rPr>
              <w:t>N</w:t>
            </w:r>
          </w:p>
        </w:tc>
        <w:tc>
          <w:tcPr>
            <w:tcW w:w="1443" w:type="dxa"/>
            <w:tcBorders>
              <w:top w:val="single" w:sz="4" w:space="0" w:color="auto"/>
              <w:bottom w:val="single" w:sz="4" w:space="0" w:color="auto"/>
            </w:tcBorders>
          </w:tcPr>
          <w:p w14:paraId="7929A180" w14:textId="77777777" w:rsidR="006D2E39" w:rsidRPr="00F40D90" w:rsidRDefault="006D2E39" w:rsidP="000B6C78">
            <w:pPr>
              <w:jc w:val="center"/>
              <w:rPr>
                <w:rFonts w:ascii="Times New Roman" w:hAnsi="Times New Roman" w:cs="Times New Roman"/>
                <w:b/>
                <w:bCs/>
                <w:sz w:val="20"/>
                <w:szCs w:val="20"/>
              </w:rPr>
            </w:pPr>
            <w:r w:rsidRPr="00F40D90">
              <w:rPr>
                <w:rFonts w:ascii="Times New Roman" w:hAnsi="Times New Roman" w:cs="Times New Roman"/>
                <w:b/>
                <w:bCs/>
                <w:sz w:val="20"/>
                <w:szCs w:val="20"/>
              </w:rPr>
              <w:t>%</w:t>
            </w:r>
          </w:p>
        </w:tc>
        <w:tc>
          <w:tcPr>
            <w:tcW w:w="1204" w:type="dxa"/>
            <w:tcBorders>
              <w:top w:val="single" w:sz="4" w:space="0" w:color="auto"/>
              <w:bottom w:val="single" w:sz="4" w:space="0" w:color="auto"/>
            </w:tcBorders>
          </w:tcPr>
          <w:p w14:paraId="4D2594B3" w14:textId="77777777" w:rsidR="006D2E39" w:rsidRPr="00F40D90" w:rsidRDefault="006D2E39" w:rsidP="000B6C78">
            <w:pPr>
              <w:jc w:val="center"/>
              <w:rPr>
                <w:rFonts w:ascii="Times New Roman" w:hAnsi="Times New Roman" w:cs="Times New Roman"/>
                <w:b/>
                <w:bCs/>
                <w:sz w:val="20"/>
                <w:szCs w:val="20"/>
              </w:rPr>
            </w:pPr>
            <w:r w:rsidRPr="00F40D90">
              <w:rPr>
                <w:rFonts w:ascii="Times New Roman" w:hAnsi="Times New Roman" w:cs="Times New Roman"/>
                <w:b/>
                <w:bCs/>
                <w:sz w:val="20"/>
                <w:szCs w:val="20"/>
              </w:rPr>
              <w:t>MD</w:t>
            </w:r>
          </w:p>
        </w:tc>
        <w:tc>
          <w:tcPr>
            <w:tcW w:w="1204" w:type="dxa"/>
            <w:tcBorders>
              <w:top w:val="single" w:sz="4" w:space="0" w:color="auto"/>
              <w:bottom w:val="single" w:sz="4" w:space="0" w:color="auto"/>
            </w:tcBorders>
          </w:tcPr>
          <w:p w14:paraId="35C671C4" w14:textId="77777777" w:rsidR="006D2E39" w:rsidRPr="00F40D90" w:rsidRDefault="006D2E39" w:rsidP="000B6C78">
            <w:pPr>
              <w:jc w:val="center"/>
              <w:rPr>
                <w:rFonts w:ascii="Times New Roman" w:hAnsi="Times New Roman" w:cs="Times New Roman"/>
                <w:b/>
                <w:bCs/>
                <w:sz w:val="20"/>
                <w:szCs w:val="20"/>
              </w:rPr>
            </w:pPr>
            <w:proofErr w:type="spellStart"/>
            <w:r w:rsidRPr="00F40D90">
              <w:rPr>
                <w:rFonts w:ascii="Times New Roman" w:hAnsi="Times New Roman" w:cs="Times New Roman"/>
                <w:b/>
                <w:bCs/>
                <w:sz w:val="20"/>
                <w:szCs w:val="20"/>
              </w:rPr>
              <w:t>Mín</w:t>
            </w:r>
            <w:proofErr w:type="spellEnd"/>
          </w:p>
        </w:tc>
        <w:tc>
          <w:tcPr>
            <w:tcW w:w="1204" w:type="dxa"/>
            <w:tcBorders>
              <w:top w:val="single" w:sz="4" w:space="0" w:color="auto"/>
              <w:bottom w:val="single" w:sz="4" w:space="0" w:color="auto"/>
            </w:tcBorders>
          </w:tcPr>
          <w:p w14:paraId="190744C5" w14:textId="77777777" w:rsidR="006D2E39" w:rsidRPr="00F40D90" w:rsidRDefault="006D2E39" w:rsidP="000B6C78">
            <w:pPr>
              <w:jc w:val="center"/>
              <w:rPr>
                <w:rFonts w:ascii="Times New Roman" w:hAnsi="Times New Roman" w:cs="Times New Roman"/>
                <w:b/>
                <w:bCs/>
                <w:sz w:val="20"/>
                <w:szCs w:val="20"/>
              </w:rPr>
            </w:pPr>
            <w:proofErr w:type="spellStart"/>
            <w:r w:rsidRPr="00F40D90">
              <w:rPr>
                <w:rFonts w:ascii="Times New Roman" w:hAnsi="Times New Roman" w:cs="Times New Roman"/>
                <w:b/>
                <w:bCs/>
                <w:sz w:val="20"/>
                <w:szCs w:val="20"/>
              </w:rPr>
              <w:t>Máx</w:t>
            </w:r>
            <w:proofErr w:type="spellEnd"/>
          </w:p>
        </w:tc>
      </w:tr>
      <w:tr w:rsidR="006D2E39" w:rsidRPr="00F40D90" w14:paraId="5A21F32A" w14:textId="77777777" w:rsidTr="000B6C78">
        <w:tc>
          <w:tcPr>
            <w:tcW w:w="1948" w:type="dxa"/>
            <w:tcBorders>
              <w:top w:val="single" w:sz="4" w:space="0" w:color="auto"/>
            </w:tcBorders>
          </w:tcPr>
          <w:p w14:paraId="01C8A260" w14:textId="77777777" w:rsidR="006D2E39" w:rsidRPr="00F40D90" w:rsidRDefault="006D2E39" w:rsidP="000B6C78">
            <w:pPr>
              <w:rPr>
                <w:rFonts w:ascii="Times New Roman" w:hAnsi="Times New Roman" w:cs="Times New Roman"/>
                <w:b/>
                <w:bCs/>
                <w:sz w:val="20"/>
                <w:szCs w:val="20"/>
              </w:rPr>
            </w:pPr>
            <w:r w:rsidRPr="00F40D90">
              <w:rPr>
                <w:rFonts w:ascii="Times New Roman" w:hAnsi="Times New Roman" w:cs="Times New Roman"/>
                <w:b/>
                <w:bCs/>
                <w:sz w:val="20"/>
                <w:szCs w:val="20"/>
              </w:rPr>
              <w:t>Sexo</w:t>
            </w:r>
          </w:p>
        </w:tc>
        <w:tc>
          <w:tcPr>
            <w:tcW w:w="1491" w:type="dxa"/>
            <w:tcBorders>
              <w:top w:val="single" w:sz="4" w:space="0" w:color="auto"/>
            </w:tcBorders>
          </w:tcPr>
          <w:p w14:paraId="0909DE5F" w14:textId="77777777" w:rsidR="006D2E39" w:rsidRPr="00F40D90" w:rsidRDefault="006D2E39" w:rsidP="000B6C78">
            <w:pPr>
              <w:rPr>
                <w:rFonts w:ascii="Times New Roman" w:hAnsi="Times New Roman" w:cs="Times New Roman"/>
                <w:sz w:val="20"/>
                <w:szCs w:val="20"/>
              </w:rPr>
            </w:pPr>
          </w:p>
        </w:tc>
        <w:tc>
          <w:tcPr>
            <w:tcW w:w="1443" w:type="dxa"/>
            <w:tcBorders>
              <w:top w:val="single" w:sz="4" w:space="0" w:color="auto"/>
            </w:tcBorders>
          </w:tcPr>
          <w:p w14:paraId="5AA49D68" w14:textId="77777777" w:rsidR="006D2E39" w:rsidRPr="00F40D90" w:rsidRDefault="006D2E39" w:rsidP="000B6C78">
            <w:pPr>
              <w:rPr>
                <w:rFonts w:ascii="Times New Roman" w:hAnsi="Times New Roman" w:cs="Times New Roman"/>
                <w:sz w:val="20"/>
                <w:szCs w:val="20"/>
              </w:rPr>
            </w:pPr>
          </w:p>
        </w:tc>
        <w:tc>
          <w:tcPr>
            <w:tcW w:w="1204" w:type="dxa"/>
            <w:tcBorders>
              <w:top w:val="single" w:sz="4" w:space="0" w:color="auto"/>
            </w:tcBorders>
          </w:tcPr>
          <w:p w14:paraId="783786C5" w14:textId="77777777" w:rsidR="006D2E39" w:rsidRPr="00F40D90" w:rsidRDefault="006D2E39" w:rsidP="000B6C78">
            <w:pPr>
              <w:rPr>
                <w:rFonts w:ascii="Times New Roman" w:hAnsi="Times New Roman" w:cs="Times New Roman"/>
                <w:sz w:val="20"/>
                <w:szCs w:val="20"/>
              </w:rPr>
            </w:pPr>
          </w:p>
        </w:tc>
        <w:tc>
          <w:tcPr>
            <w:tcW w:w="1204" w:type="dxa"/>
            <w:tcBorders>
              <w:top w:val="single" w:sz="4" w:space="0" w:color="auto"/>
            </w:tcBorders>
          </w:tcPr>
          <w:p w14:paraId="053A28FC" w14:textId="77777777" w:rsidR="006D2E39" w:rsidRPr="00F40D90" w:rsidRDefault="006D2E39" w:rsidP="000B6C78">
            <w:pPr>
              <w:rPr>
                <w:rFonts w:ascii="Times New Roman" w:hAnsi="Times New Roman" w:cs="Times New Roman"/>
                <w:sz w:val="20"/>
                <w:szCs w:val="20"/>
              </w:rPr>
            </w:pPr>
          </w:p>
        </w:tc>
        <w:tc>
          <w:tcPr>
            <w:tcW w:w="1204" w:type="dxa"/>
            <w:tcBorders>
              <w:top w:val="single" w:sz="4" w:space="0" w:color="auto"/>
            </w:tcBorders>
          </w:tcPr>
          <w:p w14:paraId="2342F0F0" w14:textId="77777777" w:rsidR="006D2E39" w:rsidRPr="00F40D90" w:rsidRDefault="006D2E39" w:rsidP="000B6C78">
            <w:pPr>
              <w:rPr>
                <w:rFonts w:ascii="Times New Roman" w:hAnsi="Times New Roman" w:cs="Times New Roman"/>
                <w:sz w:val="20"/>
                <w:szCs w:val="20"/>
              </w:rPr>
            </w:pPr>
          </w:p>
        </w:tc>
      </w:tr>
      <w:tr w:rsidR="006D2E39" w:rsidRPr="00F40D90" w14:paraId="12CA2F74" w14:textId="77777777" w:rsidTr="000B6C78">
        <w:tc>
          <w:tcPr>
            <w:tcW w:w="1948" w:type="dxa"/>
          </w:tcPr>
          <w:p w14:paraId="637A7323"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Feminino</w:t>
            </w:r>
          </w:p>
        </w:tc>
        <w:tc>
          <w:tcPr>
            <w:tcW w:w="1491" w:type="dxa"/>
          </w:tcPr>
          <w:p w14:paraId="6BA00098"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82</w:t>
            </w:r>
          </w:p>
        </w:tc>
        <w:tc>
          <w:tcPr>
            <w:tcW w:w="1443" w:type="dxa"/>
          </w:tcPr>
          <w:p w14:paraId="7443C33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87,2</w:t>
            </w:r>
          </w:p>
        </w:tc>
        <w:tc>
          <w:tcPr>
            <w:tcW w:w="1204" w:type="dxa"/>
          </w:tcPr>
          <w:p w14:paraId="66A5533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6F7692B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32E83F1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1F7D7353" w14:textId="77777777" w:rsidTr="000B6C78">
        <w:tc>
          <w:tcPr>
            <w:tcW w:w="1948" w:type="dxa"/>
          </w:tcPr>
          <w:p w14:paraId="718B288A"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Masculino</w:t>
            </w:r>
          </w:p>
        </w:tc>
        <w:tc>
          <w:tcPr>
            <w:tcW w:w="1491" w:type="dxa"/>
          </w:tcPr>
          <w:p w14:paraId="029F273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12</w:t>
            </w:r>
          </w:p>
        </w:tc>
        <w:tc>
          <w:tcPr>
            <w:tcW w:w="1443" w:type="dxa"/>
          </w:tcPr>
          <w:p w14:paraId="2EAFAD1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12,8</w:t>
            </w:r>
          </w:p>
        </w:tc>
        <w:tc>
          <w:tcPr>
            <w:tcW w:w="1204" w:type="dxa"/>
          </w:tcPr>
          <w:p w14:paraId="2491065C"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6AADB336"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24C11CE0"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2912FFC1" w14:textId="77777777" w:rsidTr="000B6C78">
        <w:tc>
          <w:tcPr>
            <w:tcW w:w="1948" w:type="dxa"/>
          </w:tcPr>
          <w:p w14:paraId="2ABE089A" w14:textId="77777777" w:rsidR="006D2E39" w:rsidRPr="00F40D90" w:rsidRDefault="006D2E39" w:rsidP="000B6C78">
            <w:pPr>
              <w:rPr>
                <w:rFonts w:ascii="Times New Roman" w:hAnsi="Times New Roman" w:cs="Times New Roman"/>
                <w:b/>
                <w:bCs/>
                <w:sz w:val="20"/>
                <w:szCs w:val="20"/>
              </w:rPr>
            </w:pPr>
            <w:r w:rsidRPr="00F40D90">
              <w:rPr>
                <w:rFonts w:ascii="Times New Roman" w:hAnsi="Times New Roman" w:cs="Times New Roman"/>
                <w:b/>
                <w:bCs/>
                <w:sz w:val="20"/>
                <w:szCs w:val="20"/>
              </w:rPr>
              <w:t>Cor</w:t>
            </w:r>
          </w:p>
        </w:tc>
        <w:tc>
          <w:tcPr>
            <w:tcW w:w="1491" w:type="dxa"/>
          </w:tcPr>
          <w:p w14:paraId="575CC06E" w14:textId="77777777" w:rsidR="006D2E39" w:rsidRPr="00F40D90" w:rsidRDefault="006D2E39" w:rsidP="000B6C78">
            <w:pPr>
              <w:jc w:val="center"/>
              <w:rPr>
                <w:rFonts w:ascii="Times New Roman" w:hAnsi="Times New Roman" w:cs="Times New Roman"/>
                <w:sz w:val="20"/>
                <w:szCs w:val="20"/>
              </w:rPr>
            </w:pPr>
          </w:p>
        </w:tc>
        <w:tc>
          <w:tcPr>
            <w:tcW w:w="1443" w:type="dxa"/>
          </w:tcPr>
          <w:p w14:paraId="1C4F168D" w14:textId="77777777" w:rsidR="006D2E39" w:rsidRPr="00F40D90" w:rsidRDefault="006D2E39" w:rsidP="000B6C78">
            <w:pPr>
              <w:jc w:val="center"/>
              <w:rPr>
                <w:rFonts w:ascii="Times New Roman" w:hAnsi="Times New Roman" w:cs="Times New Roman"/>
                <w:sz w:val="20"/>
                <w:szCs w:val="20"/>
              </w:rPr>
            </w:pPr>
          </w:p>
        </w:tc>
        <w:tc>
          <w:tcPr>
            <w:tcW w:w="1204" w:type="dxa"/>
          </w:tcPr>
          <w:p w14:paraId="2120E9DA" w14:textId="77777777" w:rsidR="006D2E39" w:rsidRPr="00F40D90" w:rsidRDefault="006D2E39" w:rsidP="000B6C78">
            <w:pPr>
              <w:jc w:val="center"/>
              <w:rPr>
                <w:rFonts w:ascii="Times New Roman" w:hAnsi="Times New Roman" w:cs="Times New Roman"/>
                <w:sz w:val="20"/>
                <w:szCs w:val="20"/>
              </w:rPr>
            </w:pPr>
          </w:p>
        </w:tc>
        <w:tc>
          <w:tcPr>
            <w:tcW w:w="1204" w:type="dxa"/>
          </w:tcPr>
          <w:p w14:paraId="06B826BE" w14:textId="77777777" w:rsidR="006D2E39" w:rsidRPr="00F40D90" w:rsidRDefault="006D2E39" w:rsidP="000B6C78">
            <w:pPr>
              <w:jc w:val="center"/>
              <w:rPr>
                <w:rFonts w:ascii="Times New Roman" w:hAnsi="Times New Roman" w:cs="Times New Roman"/>
                <w:sz w:val="20"/>
                <w:szCs w:val="20"/>
              </w:rPr>
            </w:pPr>
          </w:p>
        </w:tc>
        <w:tc>
          <w:tcPr>
            <w:tcW w:w="1204" w:type="dxa"/>
          </w:tcPr>
          <w:p w14:paraId="61B2F2A1" w14:textId="77777777" w:rsidR="006D2E39" w:rsidRPr="00F40D90" w:rsidRDefault="006D2E39" w:rsidP="000B6C78">
            <w:pPr>
              <w:jc w:val="center"/>
              <w:rPr>
                <w:rFonts w:ascii="Times New Roman" w:hAnsi="Times New Roman" w:cs="Times New Roman"/>
                <w:sz w:val="20"/>
                <w:szCs w:val="20"/>
              </w:rPr>
            </w:pPr>
          </w:p>
        </w:tc>
      </w:tr>
      <w:tr w:rsidR="006D2E39" w:rsidRPr="00F40D90" w14:paraId="7B5C0E26" w14:textId="77777777" w:rsidTr="000B6C78">
        <w:tc>
          <w:tcPr>
            <w:tcW w:w="1948" w:type="dxa"/>
          </w:tcPr>
          <w:p w14:paraId="58EA4CDA"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Branco</w:t>
            </w:r>
          </w:p>
        </w:tc>
        <w:tc>
          <w:tcPr>
            <w:tcW w:w="1491" w:type="dxa"/>
          </w:tcPr>
          <w:p w14:paraId="2F933AD0"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17</w:t>
            </w:r>
          </w:p>
        </w:tc>
        <w:tc>
          <w:tcPr>
            <w:tcW w:w="1443" w:type="dxa"/>
          </w:tcPr>
          <w:p w14:paraId="3E43FB7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18,1</w:t>
            </w:r>
          </w:p>
        </w:tc>
        <w:tc>
          <w:tcPr>
            <w:tcW w:w="1204" w:type="dxa"/>
          </w:tcPr>
          <w:p w14:paraId="51126C5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4AD2AE87"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0F7E4CFC"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14C7F1CE" w14:textId="77777777" w:rsidTr="000B6C78">
        <w:tc>
          <w:tcPr>
            <w:tcW w:w="1948" w:type="dxa"/>
          </w:tcPr>
          <w:p w14:paraId="1597C743"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Pardo</w:t>
            </w:r>
          </w:p>
        </w:tc>
        <w:tc>
          <w:tcPr>
            <w:tcW w:w="1491" w:type="dxa"/>
          </w:tcPr>
          <w:p w14:paraId="7AC407C3"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65</w:t>
            </w:r>
          </w:p>
        </w:tc>
        <w:tc>
          <w:tcPr>
            <w:tcW w:w="1443" w:type="dxa"/>
          </w:tcPr>
          <w:p w14:paraId="4D6ACD68"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69,1</w:t>
            </w:r>
          </w:p>
        </w:tc>
        <w:tc>
          <w:tcPr>
            <w:tcW w:w="1204" w:type="dxa"/>
          </w:tcPr>
          <w:p w14:paraId="1556FB8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44FB4CD8"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77BFD128"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7A0B3E99" w14:textId="77777777" w:rsidTr="000B6C78">
        <w:tc>
          <w:tcPr>
            <w:tcW w:w="1948" w:type="dxa"/>
          </w:tcPr>
          <w:p w14:paraId="5594327E"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Negro</w:t>
            </w:r>
          </w:p>
        </w:tc>
        <w:tc>
          <w:tcPr>
            <w:tcW w:w="1491" w:type="dxa"/>
          </w:tcPr>
          <w:p w14:paraId="3161F0A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11</w:t>
            </w:r>
          </w:p>
        </w:tc>
        <w:tc>
          <w:tcPr>
            <w:tcW w:w="1443" w:type="dxa"/>
          </w:tcPr>
          <w:p w14:paraId="155916B3"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11,7</w:t>
            </w:r>
          </w:p>
        </w:tc>
        <w:tc>
          <w:tcPr>
            <w:tcW w:w="1204" w:type="dxa"/>
          </w:tcPr>
          <w:p w14:paraId="15C88C13"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49B26D7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D1E9A1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7C82345D" w14:textId="77777777" w:rsidTr="000B6C78">
        <w:tc>
          <w:tcPr>
            <w:tcW w:w="1948" w:type="dxa"/>
          </w:tcPr>
          <w:p w14:paraId="1C6D5B49"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Indígena</w:t>
            </w:r>
          </w:p>
        </w:tc>
        <w:tc>
          <w:tcPr>
            <w:tcW w:w="1491" w:type="dxa"/>
          </w:tcPr>
          <w:p w14:paraId="2A53C1FC"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w:t>
            </w:r>
          </w:p>
        </w:tc>
        <w:tc>
          <w:tcPr>
            <w:tcW w:w="1443" w:type="dxa"/>
          </w:tcPr>
          <w:p w14:paraId="6A45987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1,1</w:t>
            </w:r>
          </w:p>
        </w:tc>
        <w:tc>
          <w:tcPr>
            <w:tcW w:w="1204" w:type="dxa"/>
          </w:tcPr>
          <w:p w14:paraId="0AF6143A"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1D729B23"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0B64BA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2BE80AD8" w14:textId="77777777" w:rsidTr="000B6C78">
        <w:tc>
          <w:tcPr>
            <w:tcW w:w="1948" w:type="dxa"/>
          </w:tcPr>
          <w:p w14:paraId="2A1FD20A" w14:textId="77777777" w:rsidR="006D2E39" w:rsidRPr="00F40D90" w:rsidRDefault="006D2E39" w:rsidP="000B6C78">
            <w:pPr>
              <w:rPr>
                <w:rFonts w:ascii="Times New Roman" w:hAnsi="Times New Roman" w:cs="Times New Roman"/>
                <w:b/>
                <w:bCs/>
                <w:sz w:val="20"/>
                <w:szCs w:val="20"/>
              </w:rPr>
            </w:pPr>
            <w:r w:rsidRPr="00F40D90">
              <w:rPr>
                <w:rFonts w:ascii="Times New Roman" w:hAnsi="Times New Roman" w:cs="Times New Roman"/>
                <w:b/>
                <w:bCs/>
                <w:sz w:val="20"/>
                <w:szCs w:val="20"/>
              </w:rPr>
              <w:t>Estado Civil</w:t>
            </w:r>
          </w:p>
        </w:tc>
        <w:tc>
          <w:tcPr>
            <w:tcW w:w="1491" w:type="dxa"/>
          </w:tcPr>
          <w:p w14:paraId="21C9A606" w14:textId="77777777" w:rsidR="006D2E39" w:rsidRPr="00F40D90" w:rsidRDefault="006D2E39" w:rsidP="000B6C78">
            <w:pPr>
              <w:jc w:val="center"/>
              <w:rPr>
                <w:rFonts w:ascii="Times New Roman" w:hAnsi="Times New Roman" w:cs="Times New Roman"/>
                <w:sz w:val="20"/>
                <w:szCs w:val="20"/>
              </w:rPr>
            </w:pPr>
          </w:p>
        </w:tc>
        <w:tc>
          <w:tcPr>
            <w:tcW w:w="1443" w:type="dxa"/>
          </w:tcPr>
          <w:p w14:paraId="4FF2E63B" w14:textId="77777777" w:rsidR="006D2E39" w:rsidRPr="00F40D90" w:rsidRDefault="006D2E39" w:rsidP="000B6C78">
            <w:pPr>
              <w:jc w:val="center"/>
              <w:rPr>
                <w:rFonts w:ascii="Times New Roman" w:hAnsi="Times New Roman" w:cs="Times New Roman"/>
                <w:sz w:val="20"/>
                <w:szCs w:val="20"/>
              </w:rPr>
            </w:pPr>
          </w:p>
        </w:tc>
        <w:tc>
          <w:tcPr>
            <w:tcW w:w="1204" w:type="dxa"/>
          </w:tcPr>
          <w:p w14:paraId="34774C29" w14:textId="77777777" w:rsidR="006D2E39" w:rsidRPr="00F40D90" w:rsidRDefault="006D2E39" w:rsidP="000B6C78">
            <w:pPr>
              <w:jc w:val="center"/>
              <w:rPr>
                <w:rFonts w:ascii="Times New Roman" w:hAnsi="Times New Roman" w:cs="Times New Roman"/>
                <w:sz w:val="20"/>
                <w:szCs w:val="20"/>
              </w:rPr>
            </w:pPr>
          </w:p>
        </w:tc>
        <w:tc>
          <w:tcPr>
            <w:tcW w:w="1204" w:type="dxa"/>
          </w:tcPr>
          <w:p w14:paraId="5FB19BDB" w14:textId="77777777" w:rsidR="006D2E39" w:rsidRPr="00F40D90" w:rsidRDefault="006D2E39" w:rsidP="000B6C78">
            <w:pPr>
              <w:jc w:val="center"/>
              <w:rPr>
                <w:rFonts w:ascii="Times New Roman" w:hAnsi="Times New Roman" w:cs="Times New Roman"/>
                <w:sz w:val="20"/>
                <w:szCs w:val="20"/>
              </w:rPr>
            </w:pPr>
          </w:p>
        </w:tc>
        <w:tc>
          <w:tcPr>
            <w:tcW w:w="1204" w:type="dxa"/>
          </w:tcPr>
          <w:p w14:paraId="3BB50E08" w14:textId="77777777" w:rsidR="006D2E39" w:rsidRPr="00F40D90" w:rsidRDefault="006D2E39" w:rsidP="000B6C78">
            <w:pPr>
              <w:jc w:val="center"/>
              <w:rPr>
                <w:rFonts w:ascii="Times New Roman" w:hAnsi="Times New Roman" w:cs="Times New Roman"/>
                <w:sz w:val="20"/>
                <w:szCs w:val="20"/>
              </w:rPr>
            </w:pPr>
          </w:p>
        </w:tc>
      </w:tr>
      <w:tr w:rsidR="006D2E39" w:rsidRPr="00F40D90" w14:paraId="15397C8C" w14:textId="77777777" w:rsidTr="000B6C78">
        <w:tc>
          <w:tcPr>
            <w:tcW w:w="1948" w:type="dxa"/>
          </w:tcPr>
          <w:p w14:paraId="7FF4D44F"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Solteira</w:t>
            </w:r>
          </w:p>
        </w:tc>
        <w:tc>
          <w:tcPr>
            <w:tcW w:w="1491" w:type="dxa"/>
          </w:tcPr>
          <w:p w14:paraId="6E81E4B7"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32</w:t>
            </w:r>
          </w:p>
        </w:tc>
        <w:tc>
          <w:tcPr>
            <w:tcW w:w="1443" w:type="dxa"/>
          </w:tcPr>
          <w:p w14:paraId="083030C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34</w:t>
            </w:r>
          </w:p>
        </w:tc>
        <w:tc>
          <w:tcPr>
            <w:tcW w:w="1204" w:type="dxa"/>
          </w:tcPr>
          <w:p w14:paraId="3BCCE6B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3EBCB85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68F835EC"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329B3B8A" w14:textId="77777777" w:rsidTr="000B6C78">
        <w:tc>
          <w:tcPr>
            <w:tcW w:w="1948" w:type="dxa"/>
          </w:tcPr>
          <w:p w14:paraId="596BCA38"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Casada</w:t>
            </w:r>
          </w:p>
        </w:tc>
        <w:tc>
          <w:tcPr>
            <w:tcW w:w="1491" w:type="dxa"/>
          </w:tcPr>
          <w:p w14:paraId="1739AB80"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26</w:t>
            </w:r>
          </w:p>
        </w:tc>
        <w:tc>
          <w:tcPr>
            <w:tcW w:w="1443" w:type="dxa"/>
          </w:tcPr>
          <w:p w14:paraId="1A750938"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27,7</w:t>
            </w:r>
          </w:p>
        </w:tc>
        <w:tc>
          <w:tcPr>
            <w:tcW w:w="1204" w:type="dxa"/>
          </w:tcPr>
          <w:p w14:paraId="16EF7A45"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7C326322"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341206CA"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66D7FA10" w14:textId="77777777" w:rsidTr="000B6C78">
        <w:tc>
          <w:tcPr>
            <w:tcW w:w="1948" w:type="dxa"/>
          </w:tcPr>
          <w:p w14:paraId="0847F3E7"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Viúva</w:t>
            </w:r>
          </w:p>
        </w:tc>
        <w:tc>
          <w:tcPr>
            <w:tcW w:w="1491" w:type="dxa"/>
          </w:tcPr>
          <w:p w14:paraId="4B64A56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w:t>
            </w:r>
          </w:p>
        </w:tc>
        <w:tc>
          <w:tcPr>
            <w:tcW w:w="1443" w:type="dxa"/>
          </w:tcPr>
          <w:p w14:paraId="6F2B55DC"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4,3</w:t>
            </w:r>
          </w:p>
        </w:tc>
        <w:tc>
          <w:tcPr>
            <w:tcW w:w="1204" w:type="dxa"/>
          </w:tcPr>
          <w:p w14:paraId="6C89BE26"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7B50A0E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F3A9E4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6C59EDF2" w14:textId="77777777" w:rsidTr="000B6C78">
        <w:tc>
          <w:tcPr>
            <w:tcW w:w="1948" w:type="dxa"/>
          </w:tcPr>
          <w:p w14:paraId="06A12EF4"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União Estável</w:t>
            </w:r>
          </w:p>
        </w:tc>
        <w:tc>
          <w:tcPr>
            <w:tcW w:w="1491" w:type="dxa"/>
          </w:tcPr>
          <w:p w14:paraId="7092F2C5"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w:t>
            </w:r>
          </w:p>
        </w:tc>
        <w:tc>
          <w:tcPr>
            <w:tcW w:w="1443" w:type="dxa"/>
          </w:tcPr>
          <w:p w14:paraId="50786F3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14,9</w:t>
            </w:r>
          </w:p>
        </w:tc>
        <w:tc>
          <w:tcPr>
            <w:tcW w:w="1204" w:type="dxa"/>
          </w:tcPr>
          <w:p w14:paraId="37508B25"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27F6DA5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44222107"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7FAB7AAD" w14:textId="77777777" w:rsidTr="000B6C78">
        <w:tc>
          <w:tcPr>
            <w:tcW w:w="1948" w:type="dxa"/>
          </w:tcPr>
          <w:p w14:paraId="510A460A"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Divorciada</w:t>
            </w:r>
          </w:p>
        </w:tc>
        <w:tc>
          <w:tcPr>
            <w:tcW w:w="1491" w:type="dxa"/>
          </w:tcPr>
          <w:p w14:paraId="122DC17B"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w:t>
            </w:r>
          </w:p>
        </w:tc>
        <w:tc>
          <w:tcPr>
            <w:tcW w:w="1443" w:type="dxa"/>
          </w:tcPr>
          <w:p w14:paraId="006448FB"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6,4</w:t>
            </w:r>
          </w:p>
        </w:tc>
        <w:tc>
          <w:tcPr>
            <w:tcW w:w="1204" w:type="dxa"/>
          </w:tcPr>
          <w:p w14:paraId="225068A0"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01CA98BF"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452985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66C86BCF" w14:textId="77777777" w:rsidTr="000B6C78">
        <w:tc>
          <w:tcPr>
            <w:tcW w:w="1948" w:type="dxa"/>
          </w:tcPr>
          <w:p w14:paraId="708E48B7"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Separada não judicialmente</w:t>
            </w:r>
          </w:p>
        </w:tc>
        <w:tc>
          <w:tcPr>
            <w:tcW w:w="1491" w:type="dxa"/>
          </w:tcPr>
          <w:p w14:paraId="1D8876B7"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w:t>
            </w:r>
          </w:p>
        </w:tc>
        <w:tc>
          <w:tcPr>
            <w:tcW w:w="1443" w:type="dxa"/>
          </w:tcPr>
          <w:p w14:paraId="173F030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1,1</w:t>
            </w:r>
          </w:p>
        </w:tc>
        <w:tc>
          <w:tcPr>
            <w:tcW w:w="1204" w:type="dxa"/>
          </w:tcPr>
          <w:p w14:paraId="6764E8E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2546F3C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2E03E72D"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75C40055" w14:textId="77777777" w:rsidTr="000B6C78">
        <w:tc>
          <w:tcPr>
            <w:tcW w:w="1948" w:type="dxa"/>
          </w:tcPr>
          <w:p w14:paraId="31DCC276"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União amigável</w:t>
            </w:r>
          </w:p>
        </w:tc>
        <w:tc>
          <w:tcPr>
            <w:tcW w:w="1491" w:type="dxa"/>
          </w:tcPr>
          <w:p w14:paraId="7D1CEFAC"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5</w:t>
            </w:r>
          </w:p>
        </w:tc>
        <w:tc>
          <w:tcPr>
            <w:tcW w:w="1443" w:type="dxa"/>
          </w:tcPr>
          <w:p w14:paraId="5A238C46"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11,7</w:t>
            </w:r>
          </w:p>
        </w:tc>
        <w:tc>
          <w:tcPr>
            <w:tcW w:w="1204" w:type="dxa"/>
          </w:tcPr>
          <w:p w14:paraId="20C93DC3"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63531DA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06A4A7BF"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5133E87A" w14:textId="77777777" w:rsidTr="000B6C78">
        <w:tc>
          <w:tcPr>
            <w:tcW w:w="1948" w:type="dxa"/>
          </w:tcPr>
          <w:p w14:paraId="7B4DB4B0" w14:textId="77777777" w:rsidR="006D2E39" w:rsidRPr="00F40D90" w:rsidRDefault="006D2E39" w:rsidP="000B6C78">
            <w:pPr>
              <w:rPr>
                <w:rFonts w:ascii="Times New Roman" w:hAnsi="Times New Roman" w:cs="Times New Roman"/>
                <w:b/>
                <w:bCs/>
                <w:sz w:val="20"/>
                <w:szCs w:val="20"/>
              </w:rPr>
            </w:pPr>
            <w:r w:rsidRPr="00F40D90">
              <w:rPr>
                <w:rFonts w:ascii="Times New Roman" w:hAnsi="Times New Roman" w:cs="Times New Roman"/>
                <w:b/>
                <w:bCs/>
                <w:sz w:val="20"/>
                <w:szCs w:val="20"/>
              </w:rPr>
              <w:t>Trabalho</w:t>
            </w:r>
          </w:p>
        </w:tc>
        <w:tc>
          <w:tcPr>
            <w:tcW w:w="1491" w:type="dxa"/>
          </w:tcPr>
          <w:p w14:paraId="6F19AEDC" w14:textId="77777777" w:rsidR="006D2E39" w:rsidRPr="00F40D90" w:rsidRDefault="006D2E39" w:rsidP="000B6C78">
            <w:pPr>
              <w:jc w:val="center"/>
              <w:rPr>
                <w:rFonts w:ascii="Times New Roman" w:hAnsi="Times New Roman" w:cs="Times New Roman"/>
                <w:sz w:val="20"/>
                <w:szCs w:val="20"/>
              </w:rPr>
            </w:pPr>
          </w:p>
        </w:tc>
        <w:tc>
          <w:tcPr>
            <w:tcW w:w="1443" w:type="dxa"/>
          </w:tcPr>
          <w:p w14:paraId="47560F8E" w14:textId="77777777" w:rsidR="006D2E39" w:rsidRPr="00F40D90" w:rsidRDefault="006D2E39" w:rsidP="000B6C78">
            <w:pPr>
              <w:jc w:val="center"/>
              <w:rPr>
                <w:rFonts w:ascii="Times New Roman" w:hAnsi="Times New Roman" w:cs="Times New Roman"/>
                <w:sz w:val="20"/>
                <w:szCs w:val="20"/>
              </w:rPr>
            </w:pPr>
          </w:p>
        </w:tc>
        <w:tc>
          <w:tcPr>
            <w:tcW w:w="1204" w:type="dxa"/>
          </w:tcPr>
          <w:p w14:paraId="4B9F8823" w14:textId="77777777" w:rsidR="006D2E39" w:rsidRPr="00F40D90" w:rsidRDefault="006D2E39" w:rsidP="000B6C78">
            <w:pPr>
              <w:jc w:val="center"/>
              <w:rPr>
                <w:rFonts w:ascii="Times New Roman" w:hAnsi="Times New Roman" w:cs="Times New Roman"/>
                <w:sz w:val="20"/>
                <w:szCs w:val="20"/>
              </w:rPr>
            </w:pPr>
          </w:p>
        </w:tc>
        <w:tc>
          <w:tcPr>
            <w:tcW w:w="1204" w:type="dxa"/>
          </w:tcPr>
          <w:p w14:paraId="4236807B" w14:textId="77777777" w:rsidR="006D2E39" w:rsidRPr="00F40D90" w:rsidRDefault="006D2E39" w:rsidP="000B6C78">
            <w:pPr>
              <w:jc w:val="center"/>
              <w:rPr>
                <w:rFonts w:ascii="Times New Roman" w:hAnsi="Times New Roman" w:cs="Times New Roman"/>
                <w:sz w:val="20"/>
                <w:szCs w:val="20"/>
              </w:rPr>
            </w:pPr>
          </w:p>
        </w:tc>
        <w:tc>
          <w:tcPr>
            <w:tcW w:w="1204" w:type="dxa"/>
          </w:tcPr>
          <w:p w14:paraId="3FEBB963" w14:textId="77777777" w:rsidR="006D2E39" w:rsidRPr="00F40D90" w:rsidRDefault="006D2E39" w:rsidP="000B6C78">
            <w:pPr>
              <w:jc w:val="center"/>
              <w:rPr>
                <w:rFonts w:ascii="Times New Roman" w:hAnsi="Times New Roman" w:cs="Times New Roman"/>
                <w:sz w:val="20"/>
                <w:szCs w:val="20"/>
              </w:rPr>
            </w:pPr>
          </w:p>
        </w:tc>
      </w:tr>
      <w:tr w:rsidR="006D2E39" w:rsidRPr="00F40D90" w14:paraId="49CD9D89" w14:textId="77777777" w:rsidTr="000B6C78">
        <w:tc>
          <w:tcPr>
            <w:tcW w:w="1948" w:type="dxa"/>
          </w:tcPr>
          <w:p w14:paraId="4F6A5E2C"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Sim</w:t>
            </w:r>
          </w:p>
        </w:tc>
        <w:tc>
          <w:tcPr>
            <w:tcW w:w="1491" w:type="dxa"/>
          </w:tcPr>
          <w:p w14:paraId="3EAB8D42"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23</w:t>
            </w:r>
          </w:p>
        </w:tc>
        <w:tc>
          <w:tcPr>
            <w:tcW w:w="1443" w:type="dxa"/>
          </w:tcPr>
          <w:p w14:paraId="5656FD8F"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24,5</w:t>
            </w:r>
          </w:p>
        </w:tc>
        <w:tc>
          <w:tcPr>
            <w:tcW w:w="1204" w:type="dxa"/>
          </w:tcPr>
          <w:p w14:paraId="624A35F5"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404DE2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9CA87E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0EC8E07C" w14:textId="77777777" w:rsidTr="000B6C78">
        <w:tc>
          <w:tcPr>
            <w:tcW w:w="1948" w:type="dxa"/>
          </w:tcPr>
          <w:p w14:paraId="70217612"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Não</w:t>
            </w:r>
          </w:p>
        </w:tc>
        <w:tc>
          <w:tcPr>
            <w:tcW w:w="1491" w:type="dxa"/>
          </w:tcPr>
          <w:p w14:paraId="4EBB808E"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71</w:t>
            </w:r>
          </w:p>
        </w:tc>
        <w:tc>
          <w:tcPr>
            <w:tcW w:w="1443" w:type="dxa"/>
          </w:tcPr>
          <w:p w14:paraId="0A3FB6B5"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75,5</w:t>
            </w:r>
          </w:p>
        </w:tc>
        <w:tc>
          <w:tcPr>
            <w:tcW w:w="1204" w:type="dxa"/>
          </w:tcPr>
          <w:p w14:paraId="4950FF8A"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43683D68"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1108845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r>
      <w:tr w:rsidR="006D2E39" w:rsidRPr="00F40D90" w14:paraId="6B28A535" w14:textId="77777777" w:rsidTr="000B6C78">
        <w:tc>
          <w:tcPr>
            <w:tcW w:w="1948" w:type="dxa"/>
          </w:tcPr>
          <w:p w14:paraId="4B58AC58" w14:textId="77777777" w:rsidR="006D2E39" w:rsidRPr="00F40D90" w:rsidRDefault="006D2E39" w:rsidP="000B6C78">
            <w:pPr>
              <w:rPr>
                <w:rFonts w:ascii="Times New Roman" w:hAnsi="Times New Roman" w:cs="Times New Roman"/>
                <w:b/>
                <w:bCs/>
                <w:sz w:val="20"/>
                <w:szCs w:val="20"/>
              </w:rPr>
            </w:pPr>
            <w:r w:rsidRPr="00F40D90">
              <w:rPr>
                <w:rFonts w:ascii="Times New Roman" w:hAnsi="Times New Roman" w:cs="Times New Roman"/>
                <w:b/>
                <w:bCs/>
                <w:sz w:val="20"/>
                <w:szCs w:val="20"/>
              </w:rPr>
              <w:t>Característica</w:t>
            </w:r>
          </w:p>
        </w:tc>
        <w:tc>
          <w:tcPr>
            <w:tcW w:w="1491" w:type="dxa"/>
          </w:tcPr>
          <w:p w14:paraId="23D887C2" w14:textId="77777777" w:rsidR="006D2E39" w:rsidRPr="00F40D90" w:rsidRDefault="006D2E39" w:rsidP="000B6C78">
            <w:pPr>
              <w:jc w:val="center"/>
              <w:rPr>
                <w:rFonts w:ascii="Times New Roman" w:hAnsi="Times New Roman" w:cs="Times New Roman"/>
                <w:sz w:val="20"/>
                <w:szCs w:val="20"/>
              </w:rPr>
            </w:pPr>
          </w:p>
        </w:tc>
        <w:tc>
          <w:tcPr>
            <w:tcW w:w="1443" w:type="dxa"/>
          </w:tcPr>
          <w:p w14:paraId="44DCE482" w14:textId="77777777" w:rsidR="006D2E39" w:rsidRPr="00F40D90" w:rsidRDefault="006D2E39" w:rsidP="000B6C78">
            <w:pPr>
              <w:jc w:val="center"/>
              <w:rPr>
                <w:rFonts w:ascii="Times New Roman" w:hAnsi="Times New Roman" w:cs="Times New Roman"/>
                <w:sz w:val="20"/>
                <w:szCs w:val="20"/>
              </w:rPr>
            </w:pPr>
          </w:p>
        </w:tc>
        <w:tc>
          <w:tcPr>
            <w:tcW w:w="1204" w:type="dxa"/>
          </w:tcPr>
          <w:p w14:paraId="6937308E" w14:textId="77777777" w:rsidR="006D2E39" w:rsidRPr="00F40D90" w:rsidRDefault="006D2E39" w:rsidP="000B6C78">
            <w:pPr>
              <w:jc w:val="center"/>
              <w:rPr>
                <w:rFonts w:ascii="Times New Roman" w:hAnsi="Times New Roman" w:cs="Times New Roman"/>
                <w:b/>
                <w:sz w:val="20"/>
                <w:szCs w:val="20"/>
              </w:rPr>
            </w:pPr>
          </w:p>
        </w:tc>
        <w:tc>
          <w:tcPr>
            <w:tcW w:w="1204" w:type="dxa"/>
          </w:tcPr>
          <w:p w14:paraId="054EB5EB" w14:textId="77777777" w:rsidR="006D2E39" w:rsidRPr="00F40D90" w:rsidRDefault="006D2E39" w:rsidP="000B6C78">
            <w:pPr>
              <w:jc w:val="center"/>
              <w:rPr>
                <w:rFonts w:ascii="Times New Roman" w:hAnsi="Times New Roman" w:cs="Times New Roman"/>
                <w:b/>
                <w:sz w:val="20"/>
                <w:szCs w:val="20"/>
              </w:rPr>
            </w:pPr>
          </w:p>
        </w:tc>
        <w:tc>
          <w:tcPr>
            <w:tcW w:w="1204" w:type="dxa"/>
          </w:tcPr>
          <w:p w14:paraId="37A5B54A" w14:textId="77777777" w:rsidR="006D2E39" w:rsidRPr="00F40D90" w:rsidRDefault="006D2E39" w:rsidP="000B6C78">
            <w:pPr>
              <w:jc w:val="center"/>
              <w:rPr>
                <w:rFonts w:ascii="Times New Roman" w:hAnsi="Times New Roman" w:cs="Times New Roman"/>
                <w:b/>
                <w:sz w:val="20"/>
                <w:szCs w:val="20"/>
              </w:rPr>
            </w:pPr>
          </w:p>
        </w:tc>
      </w:tr>
      <w:tr w:rsidR="006D2E39" w:rsidRPr="00F40D90" w14:paraId="72D4C3FA" w14:textId="77777777" w:rsidTr="000B6C78">
        <w:tc>
          <w:tcPr>
            <w:tcW w:w="1948" w:type="dxa"/>
          </w:tcPr>
          <w:p w14:paraId="1156CD7B" w14:textId="77777777" w:rsidR="006D2E39" w:rsidRPr="00F40D90" w:rsidRDefault="006D2E39" w:rsidP="000B6C78">
            <w:pPr>
              <w:rPr>
                <w:rFonts w:ascii="Times New Roman" w:hAnsi="Times New Roman" w:cs="Times New Roman"/>
                <w:color w:val="000000" w:themeColor="text1"/>
                <w:sz w:val="20"/>
                <w:szCs w:val="20"/>
              </w:rPr>
            </w:pPr>
            <w:r w:rsidRPr="00F40D90">
              <w:rPr>
                <w:rFonts w:ascii="Times New Roman" w:hAnsi="Times New Roman" w:cs="Times New Roman"/>
                <w:sz w:val="20"/>
                <w:szCs w:val="20"/>
              </w:rPr>
              <w:t xml:space="preserve">Idade (anos)                                   </w:t>
            </w:r>
          </w:p>
          <w:p w14:paraId="4A159876"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 xml:space="preserve">                                           </w:t>
            </w:r>
          </w:p>
        </w:tc>
        <w:tc>
          <w:tcPr>
            <w:tcW w:w="1491" w:type="dxa"/>
          </w:tcPr>
          <w:p w14:paraId="3986CA3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443" w:type="dxa"/>
          </w:tcPr>
          <w:p w14:paraId="0308C101"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01E1041B"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44</w:t>
            </w:r>
          </w:p>
        </w:tc>
        <w:tc>
          <w:tcPr>
            <w:tcW w:w="1204" w:type="dxa"/>
          </w:tcPr>
          <w:p w14:paraId="306730E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17</w:t>
            </w:r>
          </w:p>
        </w:tc>
        <w:tc>
          <w:tcPr>
            <w:tcW w:w="1204" w:type="dxa"/>
          </w:tcPr>
          <w:p w14:paraId="01CB6455"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95</w:t>
            </w:r>
          </w:p>
        </w:tc>
      </w:tr>
      <w:tr w:rsidR="006D2E39" w:rsidRPr="00F40D90" w14:paraId="09D03989" w14:textId="77777777" w:rsidTr="000B6C78">
        <w:tc>
          <w:tcPr>
            <w:tcW w:w="1948" w:type="dxa"/>
          </w:tcPr>
          <w:p w14:paraId="676F4961" w14:textId="77777777" w:rsidR="006D2E39" w:rsidRPr="00F40D90" w:rsidRDefault="006D2E39" w:rsidP="000B6C78">
            <w:pPr>
              <w:rPr>
                <w:rFonts w:ascii="Times New Roman" w:hAnsi="Times New Roman" w:cs="Times New Roman"/>
                <w:sz w:val="20"/>
                <w:szCs w:val="20"/>
              </w:rPr>
            </w:pPr>
            <w:r w:rsidRPr="00F40D90">
              <w:rPr>
                <w:rFonts w:ascii="Times New Roman" w:hAnsi="Times New Roman" w:cs="Times New Roman"/>
                <w:sz w:val="20"/>
                <w:szCs w:val="20"/>
              </w:rPr>
              <w:t>Ganhos (reais)</w:t>
            </w:r>
          </w:p>
        </w:tc>
        <w:tc>
          <w:tcPr>
            <w:tcW w:w="1491" w:type="dxa"/>
          </w:tcPr>
          <w:p w14:paraId="335EECE0"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443" w:type="dxa"/>
          </w:tcPr>
          <w:p w14:paraId="5BB210A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w:t>
            </w:r>
          </w:p>
        </w:tc>
        <w:tc>
          <w:tcPr>
            <w:tcW w:w="1204" w:type="dxa"/>
          </w:tcPr>
          <w:p w14:paraId="5936019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color w:val="000000" w:themeColor="text1"/>
                <w:sz w:val="20"/>
                <w:szCs w:val="20"/>
              </w:rPr>
              <w:t>950,00</w:t>
            </w:r>
          </w:p>
        </w:tc>
        <w:tc>
          <w:tcPr>
            <w:tcW w:w="1204" w:type="dxa"/>
          </w:tcPr>
          <w:p w14:paraId="07E770F9"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100,00</w:t>
            </w:r>
          </w:p>
        </w:tc>
        <w:tc>
          <w:tcPr>
            <w:tcW w:w="1204" w:type="dxa"/>
          </w:tcPr>
          <w:p w14:paraId="54E5AAA4" w14:textId="77777777" w:rsidR="006D2E39" w:rsidRPr="00F40D90" w:rsidRDefault="006D2E39" w:rsidP="000B6C78">
            <w:pPr>
              <w:jc w:val="center"/>
              <w:rPr>
                <w:rFonts w:ascii="Times New Roman" w:hAnsi="Times New Roman" w:cs="Times New Roman"/>
                <w:sz w:val="20"/>
                <w:szCs w:val="20"/>
              </w:rPr>
            </w:pPr>
            <w:r w:rsidRPr="00F40D90">
              <w:rPr>
                <w:rFonts w:ascii="Times New Roman" w:hAnsi="Times New Roman" w:cs="Times New Roman"/>
                <w:sz w:val="20"/>
                <w:szCs w:val="20"/>
              </w:rPr>
              <w:t>5454,00</w:t>
            </w:r>
          </w:p>
        </w:tc>
      </w:tr>
    </w:tbl>
    <w:p w14:paraId="621BD286" w14:textId="1E15794C" w:rsidR="00860696" w:rsidRDefault="006D2E39" w:rsidP="00860696">
      <w:pPr>
        <w:spacing w:after="0" w:line="240" w:lineRule="auto"/>
        <w:rPr>
          <w:rFonts w:ascii="Times New Roman" w:hAnsi="Times New Roman" w:cs="Times New Roman"/>
          <w:bCs/>
          <w:sz w:val="20"/>
          <w:szCs w:val="20"/>
        </w:rPr>
      </w:pPr>
      <w:r w:rsidRPr="00F40D90">
        <w:rPr>
          <w:rFonts w:ascii="Times New Roman" w:hAnsi="Times New Roman" w:cs="Times New Roman"/>
          <w:bCs/>
          <w:sz w:val="20"/>
          <w:szCs w:val="20"/>
        </w:rPr>
        <w:t>N: frequência absoluta; % frequência relativa; MD: mediana; min: mín</w:t>
      </w:r>
      <w:r>
        <w:rPr>
          <w:rFonts w:ascii="Times New Roman" w:hAnsi="Times New Roman" w:cs="Times New Roman"/>
          <w:bCs/>
          <w:sz w:val="20"/>
          <w:szCs w:val="20"/>
        </w:rPr>
        <w:t>imo</w:t>
      </w:r>
      <w:r w:rsidRPr="00F40D90">
        <w:rPr>
          <w:rFonts w:ascii="Times New Roman" w:hAnsi="Times New Roman" w:cs="Times New Roman"/>
          <w:bCs/>
          <w:sz w:val="20"/>
          <w:szCs w:val="20"/>
        </w:rPr>
        <w:t>; m</w:t>
      </w:r>
      <w:r>
        <w:rPr>
          <w:rFonts w:ascii="Times New Roman" w:hAnsi="Times New Roman" w:cs="Times New Roman"/>
          <w:bCs/>
          <w:sz w:val="20"/>
          <w:szCs w:val="20"/>
        </w:rPr>
        <w:t>á</w:t>
      </w:r>
      <w:r w:rsidRPr="00F40D90">
        <w:rPr>
          <w:rFonts w:ascii="Times New Roman" w:hAnsi="Times New Roman" w:cs="Times New Roman"/>
          <w:bCs/>
          <w:sz w:val="20"/>
          <w:szCs w:val="20"/>
        </w:rPr>
        <w:t>x.: máximo.</w:t>
      </w:r>
    </w:p>
    <w:p w14:paraId="143BFC16" w14:textId="4D4DC2CC" w:rsidR="006D2E39" w:rsidRDefault="00860696" w:rsidP="00860696">
      <w:pPr>
        <w:spacing w:after="0" w:line="240" w:lineRule="auto"/>
        <w:rPr>
          <w:rFonts w:ascii="Times New Roman" w:hAnsi="Times New Roman" w:cs="Times New Roman"/>
          <w:b/>
          <w:sz w:val="20"/>
          <w:szCs w:val="20"/>
        </w:rPr>
      </w:pPr>
      <w:r w:rsidRPr="00860696">
        <w:rPr>
          <w:rFonts w:ascii="Times New Roman" w:hAnsi="Times New Roman" w:cs="Times New Roman"/>
          <w:b/>
          <w:sz w:val="20"/>
          <w:szCs w:val="20"/>
        </w:rPr>
        <w:t>Fonte:</w:t>
      </w:r>
      <w:r>
        <w:rPr>
          <w:rFonts w:ascii="Times New Roman" w:hAnsi="Times New Roman" w:cs="Times New Roman"/>
          <w:bCs/>
          <w:sz w:val="20"/>
          <w:szCs w:val="20"/>
        </w:rPr>
        <w:t xml:space="preserve"> Autoria Própria (2019)</w:t>
      </w:r>
      <w:r w:rsidR="006D2E39" w:rsidRPr="00F40D90">
        <w:rPr>
          <w:rFonts w:ascii="Times New Roman" w:hAnsi="Times New Roman" w:cs="Times New Roman"/>
          <w:b/>
          <w:sz w:val="20"/>
          <w:szCs w:val="20"/>
        </w:rPr>
        <w:t xml:space="preserve"> </w:t>
      </w:r>
    </w:p>
    <w:p w14:paraId="3B36EEB7" w14:textId="4570BDD1" w:rsidR="00AA40F5" w:rsidRDefault="00AA40F5" w:rsidP="00860696">
      <w:pPr>
        <w:spacing w:after="0" w:line="240" w:lineRule="auto"/>
        <w:rPr>
          <w:rFonts w:ascii="Times New Roman" w:hAnsi="Times New Roman" w:cs="Times New Roman"/>
          <w:b/>
          <w:sz w:val="20"/>
          <w:szCs w:val="20"/>
        </w:rPr>
      </w:pPr>
    </w:p>
    <w:p w14:paraId="112EE4E1" w14:textId="77777777" w:rsidR="00AA40F5" w:rsidRDefault="00AA40F5" w:rsidP="00860696">
      <w:pPr>
        <w:spacing w:after="0" w:line="240" w:lineRule="auto"/>
        <w:rPr>
          <w:rFonts w:ascii="Times New Roman" w:hAnsi="Times New Roman" w:cs="Times New Roman"/>
          <w:b/>
          <w:sz w:val="20"/>
          <w:szCs w:val="20"/>
        </w:rPr>
      </w:pPr>
    </w:p>
    <w:p w14:paraId="5C429E20" w14:textId="57670BC4" w:rsidR="006D2E39" w:rsidRPr="00AA40F5" w:rsidRDefault="006D2E39" w:rsidP="00AA40F5">
      <w:pPr>
        <w:spacing w:after="0" w:line="360" w:lineRule="auto"/>
        <w:ind w:firstLine="700"/>
        <w:jc w:val="both"/>
        <w:rPr>
          <w:rFonts w:ascii="Times New Roman" w:eastAsia="Times New Roman" w:hAnsi="Times New Roman" w:cs="Times New Roman"/>
          <w:sz w:val="24"/>
          <w:szCs w:val="24"/>
        </w:rPr>
      </w:pPr>
      <w:r w:rsidRPr="00AA40F5">
        <w:rPr>
          <w:rFonts w:ascii="Times New Roman" w:eastAsia="Times New Roman" w:hAnsi="Times New Roman" w:cs="Times New Roman"/>
          <w:color w:val="000000"/>
          <w:sz w:val="24"/>
          <w:szCs w:val="24"/>
        </w:rPr>
        <w:t xml:space="preserve">De acordo com a análise dos dados, é visto que a cor de cor parda e </w:t>
      </w:r>
      <w:r w:rsidR="00AA40F5" w:rsidRPr="00AA40F5">
        <w:rPr>
          <w:rFonts w:ascii="Times New Roman" w:eastAsia="Times New Roman" w:hAnsi="Times New Roman" w:cs="Times New Roman"/>
          <w:color w:val="000000"/>
          <w:sz w:val="24"/>
          <w:szCs w:val="24"/>
        </w:rPr>
        <w:t xml:space="preserve">ser </w:t>
      </w:r>
      <w:r w:rsidRPr="00AA40F5">
        <w:rPr>
          <w:rFonts w:ascii="Times New Roman" w:eastAsia="Times New Roman" w:hAnsi="Times New Roman" w:cs="Times New Roman"/>
          <w:color w:val="000000"/>
          <w:sz w:val="24"/>
          <w:szCs w:val="24"/>
        </w:rPr>
        <w:t>do sexo feminino tem uma alta prevalência</w:t>
      </w:r>
      <w:r w:rsidR="00AA40F5" w:rsidRPr="00AA40F5">
        <w:rPr>
          <w:rFonts w:ascii="Times New Roman" w:eastAsia="Times New Roman" w:hAnsi="Times New Roman" w:cs="Times New Roman"/>
          <w:color w:val="000000"/>
          <w:sz w:val="24"/>
          <w:szCs w:val="24"/>
        </w:rPr>
        <w:t xml:space="preserve"> entre os chefes de família</w:t>
      </w:r>
      <w:r w:rsidRPr="00AA40F5">
        <w:rPr>
          <w:rFonts w:ascii="Times New Roman" w:eastAsia="Times New Roman" w:hAnsi="Times New Roman" w:cs="Times New Roman"/>
          <w:color w:val="000000"/>
          <w:sz w:val="24"/>
          <w:szCs w:val="24"/>
        </w:rPr>
        <w:t xml:space="preserve">, como também </w:t>
      </w:r>
      <w:r w:rsidR="00AA40F5" w:rsidRPr="00AA40F5">
        <w:rPr>
          <w:rFonts w:ascii="Times New Roman" w:eastAsia="Times New Roman" w:hAnsi="Times New Roman" w:cs="Times New Roman"/>
          <w:color w:val="000000"/>
          <w:sz w:val="24"/>
          <w:szCs w:val="24"/>
        </w:rPr>
        <w:t>foi relatado no</w:t>
      </w:r>
      <w:r w:rsidR="006D5D9C">
        <w:rPr>
          <w:rFonts w:ascii="Times New Roman" w:eastAsia="Times New Roman" w:hAnsi="Times New Roman" w:cs="Times New Roman"/>
          <w:color w:val="000000"/>
          <w:sz w:val="24"/>
          <w:szCs w:val="24"/>
        </w:rPr>
        <w:t xml:space="preserve"> estudo</w:t>
      </w:r>
      <w:r w:rsidRPr="00AA40F5">
        <w:rPr>
          <w:rFonts w:ascii="Times New Roman" w:eastAsia="Times New Roman" w:hAnsi="Times New Roman" w:cs="Times New Roman"/>
          <w:color w:val="000000"/>
          <w:sz w:val="24"/>
          <w:szCs w:val="24"/>
        </w:rPr>
        <w:t xml:space="preserve"> de Ferreira </w:t>
      </w:r>
      <w:r w:rsidRPr="00AA40F5">
        <w:rPr>
          <w:rFonts w:ascii="Times New Roman" w:eastAsia="Times New Roman" w:hAnsi="Times New Roman" w:cs="Times New Roman"/>
          <w:i/>
          <w:iCs/>
          <w:color w:val="000000"/>
          <w:sz w:val="24"/>
          <w:szCs w:val="24"/>
        </w:rPr>
        <w:t>et al.,</w:t>
      </w:r>
      <w:r w:rsidRPr="00AA40F5">
        <w:rPr>
          <w:rFonts w:ascii="Times New Roman" w:eastAsia="Times New Roman" w:hAnsi="Times New Roman" w:cs="Times New Roman"/>
          <w:color w:val="000000"/>
          <w:sz w:val="24"/>
          <w:szCs w:val="24"/>
        </w:rPr>
        <w:t xml:space="preserve"> (2014)</w:t>
      </w:r>
      <w:r w:rsidR="00AA40F5" w:rsidRPr="00AA40F5">
        <w:rPr>
          <w:rFonts w:ascii="Times New Roman" w:eastAsia="Times New Roman" w:hAnsi="Times New Roman" w:cs="Times New Roman"/>
          <w:color w:val="000000"/>
          <w:sz w:val="24"/>
          <w:szCs w:val="24"/>
        </w:rPr>
        <w:t>.</w:t>
      </w:r>
    </w:p>
    <w:p w14:paraId="02B90C11" w14:textId="754F8C37" w:rsidR="006D2E39" w:rsidRPr="00AA40F5" w:rsidRDefault="006D2E39" w:rsidP="00AA40F5">
      <w:pPr>
        <w:spacing w:after="0" w:line="360" w:lineRule="auto"/>
        <w:ind w:firstLine="700"/>
        <w:jc w:val="both"/>
        <w:rPr>
          <w:rFonts w:ascii="Times New Roman" w:eastAsia="Times New Roman" w:hAnsi="Times New Roman" w:cs="Times New Roman"/>
          <w:sz w:val="24"/>
          <w:szCs w:val="24"/>
        </w:rPr>
      </w:pPr>
      <w:r w:rsidRPr="00AA40F5">
        <w:rPr>
          <w:rFonts w:ascii="Times New Roman" w:eastAsia="Times New Roman" w:hAnsi="Times New Roman" w:cs="Times New Roman"/>
          <w:color w:val="000000"/>
          <w:sz w:val="24"/>
          <w:szCs w:val="24"/>
        </w:rPr>
        <w:t>A falta de dinheiro para alimentação de forma saudável é semelhante ao estudo de Bento</w:t>
      </w:r>
      <w:r w:rsidR="00B97C60">
        <w:rPr>
          <w:rFonts w:ascii="Times New Roman" w:eastAsia="Times New Roman" w:hAnsi="Times New Roman" w:cs="Times New Roman"/>
          <w:color w:val="000000"/>
          <w:sz w:val="24"/>
          <w:szCs w:val="24"/>
        </w:rPr>
        <w:t xml:space="preserve"> (2016)</w:t>
      </w:r>
      <w:r w:rsidRPr="00AA40F5">
        <w:rPr>
          <w:rFonts w:ascii="Times New Roman" w:eastAsia="Times New Roman" w:hAnsi="Times New Roman" w:cs="Times New Roman"/>
          <w:color w:val="000000"/>
          <w:sz w:val="24"/>
          <w:szCs w:val="24"/>
        </w:rPr>
        <w:t>, em que o mesmo verificou que os usuários de seu estudo apontaram como dificuldades a condição financeira e a falta de tempo para preparar e comprar alimentos saudáveis. Com isso, destaca-se o papel fundamental da renda na determinação da insegurança alimentar e de iniquidades em sua decorrência (SANTOS, 2018)</w:t>
      </w:r>
      <w:r w:rsidR="00B97C60">
        <w:rPr>
          <w:rFonts w:ascii="Times New Roman" w:eastAsia="Times New Roman" w:hAnsi="Times New Roman" w:cs="Times New Roman"/>
          <w:color w:val="000000"/>
          <w:sz w:val="24"/>
          <w:szCs w:val="24"/>
        </w:rPr>
        <w:t>.</w:t>
      </w:r>
    </w:p>
    <w:p w14:paraId="35D2202F" w14:textId="4F0F3912" w:rsidR="006D2E39" w:rsidRDefault="006D2E39" w:rsidP="00AA40F5">
      <w:pPr>
        <w:spacing w:after="0" w:line="360" w:lineRule="auto"/>
        <w:ind w:firstLine="709"/>
        <w:jc w:val="both"/>
        <w:rPr>
          <w:rFonts w:ascii="Times New Roman" w:hAnsi="Times New Roman" w:cs="Times New Roman"/>
          <w:sz w:val="24"/>
          <w:szCs w:val="24"/>
        </w:rPr>
      </w:pPr>
      <w:bookmarkStart w:id="1" w:name="_Hlk13945718"/>
      <w:r w:rsidRPr="00AA40F5">
        <w:rPr>
          <w:rFonts w:ascii="Times New Roman" w:hAnsi="Times New Roman" w:cs="Times New Roman"/>
          <w:sz w:val="24"/>
          <w:szCs w:val="24"/>
        </w:rPr>
        <w:t xml:space="preserve">Foram coletados questionários com todos os familiares maiores de 18 anos, através da Escala Brasileira de Insegurança Alimentar, sendo que, possuíam 54 domicílios com menores de 18 anos. Destes domicílios analisados, (26) 27,7% apresentaram segurança alimentar, (48) 51,1% insegurança alimentar leve, (12) 12,8% insegurança alimentar moderada e (8) 8,5% insegurança alimentar grave </w:t>
      </w:r>
      <w:bookmarkEnd w:id="1"/>
      <w:r w:rsidRPr="00AA40F5">
        <w:rPr>
          <w:rFonts w:ascii="Times New Roman" w:hAnsi="Times New Roman" w:cs="Times New Roman"/>
          <w:sz w:val="24"/>
          <w:szCs w:val="24"/>
        </w:rPr>
        <w:t>(Tabela 2).</w:t>
      </w:r>
    </w:p>
    <w:p w14:paraId="160D3D43" w14:textId="77777777" w:rsidR="00AA40F5" w:rsidRPr="00AA40F5" w:rsidRDefault="00AA40F5" w:rsidP="00AA40F5">
      <w:pPr>
        <w:spacing w:after="0" w:line="360" w:lineRule="auto"/>
        <w:ind w:firstLine="709"/>
        <w:jc w:val="both"/>
        <w:rPr>
          <w:rFonts w:ascii="Times New Roman" w:hAnsi="Times New Roman" w:cs="Times New Roman"/>
          <w:sz w:val="24"/>
          <w:szCs w:val="24"/>
        </w:rPr>
      </w:pPr>
    </w:p>
    <w:tbl>
      <w:tblPr>
        <w:tblStyle w:val="Tabelacomgrade"/>
        <w:tblpPr w:leftFromText="141" w:rightFromText="141" w:vertAnchor="text" w:horzAnchor="margin" w:tblpY="325"/>
        <w:tblW w:w="86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632"/>
        <w:gridCol w:w="2547"/>
      </w:tblGrid>
      <w:tr w:rsidR="00860696" w:rsidRPr="002D635A" w14:paraId="4C78876E" w14:textId="77777777" w:rsidTr="00860696">
        <w:trPr>
          <w:trHeight w:val="210"/>
        </w:trPr>
        <w:tc>
          <w:tcPr>
            <w:tcW w:w="3438" w:type="dxa"/>
            <w:tcBorders>
              <w:top w:val="single" w:sz="4" w:space="0" w:color="auto"/>
              <w:bottom w:val="single" w:sz="4" w:space="0" w:color="auto"/>
            </w:tcBorders>
          </w:tcPr>
          <w:p w14:paraId="68B4597A" w14:textId="77777777" w:rsidR="00860696" w:rsidRPr="002D635A" w:rsidRDefault="00860696" w:rsidP="00860696">
            <w:pPr>
              <w:rPr>
                <w:rFonts w:ascii="Times New Roman" w:hAnsi="Times New Roman" w:cs="Times New Roman"/>
                <w:sz w:val="20"/>
                <w:szCs w:val="20"/>
              </w:rPr>
            </w:pPr>
          </w:p>
        </w:tc>
        <w:tc>
          <w:tcPr>
            <w:tcW w:w="2632" w:type="dxa"/>
            <w:tcBorders>
              <w:top w:val="single" w:sz="4" w:space="0" w:color="auto"/>
              <w:bottom w:val="single" w:sz="4" w:space="0" w:color="auto"/>
            </w:tcBorders>
          </w:tcPr>
          <w:p w14:paraId="69D981DF" w14:textId="77777777" w:rsidR="00860696" w:rsidRPr="002D635A" w:rsidRDefault="00860696" w:rsidP="00860696">
            <w:pPr>
              <w:jc w:val="center"/>
              <w:rPr>
                <w:rFonts w:ascii="Times New Roman" w:hAnsi="Times New Roman" w:cs="Times New Roman"/>
                <w:b/>
                <w:bCs/>
                <w:sz w:val="20"/>
                <w:szCs w:val="20"/>
              </w:rPr>
            </w:pPr>
            <w:r w:rsidRPr="002D635A">
              <w:rPr>
                <w:rFonts w:ascii="Times New Roman" w:hAnsi="Times New Roman" w:cs="Times New Roman"/>
                <w:b/>
                <w:bCs/>
                <w:sz w:val="20"/>
                <w:szCs w:val="20"/>
              </w:rPr>
              <w:t>N</w:t>
            </w:r>
          </w:p>
        </w:tc>
        <w:tc>
          <w:tcPr>
            <w:tcW w:w="2547" w:type="dxa"/>
            <w:tcBorders>
              <w:top w:val="single" w:sz="4" w:space="0" w:color="auto"/>
              <w:bottom w:val="single" w:sz="4" w:space="0" w:color="auto"/>
            </w:tcBorders>
          </w:tcPr>
          <w:p w14:paraId="58583F12" w14:textId="77777777" w:rsidR="00860696" w:rsidRPr="002D635A" w:rsidRDefault="00860696" w:rsidP="00860696">
            <w:pPr>
              <w:jc w:val="center"/>
              <w:rPr>
                <w:rFonts w:ascii="Times New Roman" w:hAnsi="Times New Roman" w:cs="Times New Roman"/>
                <w:b/>
                <w:bCs/>
                <w:sz w:val="20"/>
                <w:szCs w:val="20"/>
              </w:rPr>
            </w:pPr>
            <w:r w:rsidRPr="002D635A">
              <w:rPr>
                <w:rFonts w:ascii="Times New Roman" w:hAnsi="Times New Roman" w:cs="Times New Roman"/>
                <w:b/>
                <w:bCs/>
                <w:sz w:val="20"/>
                <w:szCs w:val="20"/>
              </w:rPr>
              <w:t>%</w:t>
            </w:r>
          </w:p>
        </w:tc>
      </w:tr>
      <w:tr w:rsidR="00860696" w:rsidRPr="002D635A" w14:paraId="07C55157" w14:textId="77777777" w:rsidTr="00860696">
        <w:trPr>
          <w:trHeight w:val="210"/>
        </w:trPr>
        <w:tc>
          <w:tcPr>
            <w:tcW w:w="3438" w:type="dxa"/>
            <w:tcBorders>
              <w:top w:val="single" w:sz="4" w:space="0" w:color="auto"/>
            </w:tcBorders>
          </w:tcPr>
          <w:p w14:paraId="46F06465" w14:textId="77777777" w:rsidR="00860696" w:rsidRPr="002D635A" w:rsidRDefault="00860696" w:rsidP="00860696">
            <w:pPr>
              <w:rPr>
                <w:rFonts w:ascii="Times New Roman" w:hAnsi="Times New Roman" w:cs="Times New Roman"/>
                <w:b/>
                <w:bCs/>
                <w:sz w:val="20"/>
                <w:szCs w:val="20"/>
              </w:rPr>
            </w:pPr>
            <w:r w:rsidRPr="002D635A">
              <w:rPr>
                <w:rFonts w:ascii="Times New Roman" w:hAnsi="Times New Roman" w:cs="Times New Roman"/>
                <w:b/>
                <w:bCs/>
                <w:sz w:val="20"/>
                <w:szCs w:val="20"/>
              </w:rPr>
              <w:t>Classificação</w:t>
            </w:r>
          </w:p>
        </w:tc>
        <w:tc>
          <w:tcPr>
            <w:tcW w:w="2632" w:type="dxa"/>
            <w:tcBorders>
              <w:top w:val="single" w:sz="4" w:space="0" w:color="auto"/>
            </w:tcBorders>
          </w:tcPr>
          <w:p w14:paraId="0F4863F1" w14:textId="77777777" w:rsidR="00860696" w:rsidRPr="002D635A" w:rsidRDefault="00860696" w:rsidP="00860696">
            <w:pPr>
              <w:rPr>
                <w:rFonts w:ascii="Times New Roman" w:hAnsi="Times New Roman" w:cs="Times New Roman"/>
                <w:sz w:val="20"/>
                <w:szCs w:val="20"/>
              </w:rPr>
            </w:pPr>
          </w:p>
        </w:tc>
        <w:tc>
          <w:tcPr>
            <w:tcW w:w="2547" w:type="dxa"/>
            <w:tcBorders>
              <w:top w:val="single" w:sz="4" w:space="0" w:color="auto"/>
            </w:tcBorders>
          </w:tcPr>
          <w:p w14:paraId="672EC195" w14:textId="77777777" w:rsidR="00860696" w:rsidRPr="002D635A" w:rsidRDefault="00860696" w:rsidP="00860696">
            <w:pPr>
              <w:rPr>
                <w:rFonts w:ascii="Times New Roman" w:hAnsi="Times New Roman" w:cs="Times New Roman"/>
                <w:sz w:val="20"/>
                <w:szCs w:val="20"/>
              </w:rPr>
            </w:pPr>
          </w:p>
        </w:tc>
      </w:tr>
      <w:tr w:rsidR="00860696" w:rsidRPr="002D635A" w14:paraId="27F7CD9C" w14:textId="77777777" w:rsidTr="00860696">
        <w:trPr>
          <w:trHeight w:val="210"/>
        </w:trPr>
        <w:tc>
          <w:tcPr>
            <w:tcW w:w="3438" w:type="dxa"/>
          </w:tcPr>
          <w:p w14:paraId="37CE32C6" w14:textId="77777777" w:rsidR="00860696" w:rsidRPr="002D635A" w:rsidRDefault="00860696" w:rsidP="00860696">
            <w:pPr>
              <w:rPr>
                <w:rFonts w:ascii="Times New Roman" w:hAnsi="Times New Roman" w:cs="Times New Roman"/>
                <w:sz w:val="20"/>
                <w:szCs w:val="20"/>
              </w:rPr>
            </w:pPr>
            <w:r w:rsidRPr="002D635A">
              <w:rPr>
                <w:rFonts w:ascii="Times New Roman" w:hAnsi="Times New Roman" w:cs="Times New Roman"/>
                <w:sz w:val="20"/>
                <w:szCs w:val="20"/>
              </w:rPr>
              <w:t>Segurança alimentar</w:t>
            </w:r>
          </w:p>
        </w:tc>
        <w:tc>
          <w:tcPr>
            <w:tcW w:w="2632" w:type="dxa"/>
          </w:tcPr>
          <w:p w14:paraId="7C7EAA4C"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26</w:t>
            </w:r>
          </w:p>
        </w:tc>
        <w:tc>
          <w:tcPr>
            <w:tcW w:w="2547" w:type="dxa"/>
          </w:tcPr>
          <w:p w14:paraId="225813AE"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27,7</w:t>
            </w:r>
          </w:p>
        </w:tc>
      </w:tr>
      <w:tr w:rsidR="00860696" w:rsidRPr="002D635A" w14:paraId="7E114E93" w14:textId="77777777" w:rsidTr="00860696">
        <w:trPr>
          <w:trHeight w:val="210"/>
        </w:trPr>
        <w:tc>
          <w:tcPr>
            <w:tcW w:w="3438" w:type="dxa"/>
          </w:tcPr>
          <w:p w14:paraId="68979384" w14:textId="77777777" w:rsidR="00860696" w:rsidRPr="002D635A" w:rsidRDefault="00860696" w:rsidP="00860696">
            <w:pPr>
              <w:rPr>
                <w:rFonts w:ascii="Times New Roman" w:hAnsi="Times New Roman" w:cs="Times New Roman"/>
                <w:sz w:val="20"/>
                <w:szCs w:val="20"/>
              </w:rPr>
            </w:pPr>
          </w:p>
        </w:tc>
        <w:tc>
          <w:tcPr>
            <w:tcW w:w="2632" w:type="dxa"/>
          </w:tcPr>
          <w:p w14:paraId="1A03117D" w14:textId="77777777" w:rsidR="00860696" w:rsidRPr="002D635A" w:rsidRDefault="00860696" w:rsidP="00860696">
            <w:pPr>
              <w:jc w:val="center"/>
              <w:rPr>
                <w:rFonts w:ascii="Times New Roman" w:hAnsi="Times New Roman" w:cs="Times New Roman"/>
                <w:sz w:val="20"/>
                <w:szCs w:val="20"/>
              </w:rPr>
            </w:pPr>
          </w:p>
        </w:tc>
        <w:tc>
          <w:tcPr>
            <w:tcW w:w="2547" w:type="dxa"/>
          </w:tcPr>
          <w:p w14:paraId="02C2966C" w14:textId="77777777" w:rsidR="00860696" w:rsidRPr="002D635A" w:rsidRDefault="00860696" w:rsidP="00860696">
            <w:pPr>
              <w:jc w:val="center"/>
              <w:rPr>
                <w:rFonts w:ascii="Times New Roman" w:hAnsi="Times New Roman" w:cs="Times New Roman"/>
                <w:sz w:val="20"/>
                <w:szCs w:val="20"/>
              </w:rPr>
            </w:pPr>
          </w:p>
        </w:tc>
      </w:tr>
      <w:tr w:rsidR="00860696" w:rsidRPr="002D635A" w14:paraId="74DC2C2E" w14:textId="77777777" w:rsidTr="00860696">
        <w:trPr>
          <w:trHeight w:val="434"/>
        </w:trPr>
        <w:tc>
          <w:tcPr>
            <w:tcW w:w="3438" w:type="dxa"/>
          </w:tcPr>
          <w:p w14:paraId="79005716" w14:textId="77777777" w:rsidR="00860696" w:rsidRPr="002D635A" w:rsidRDefault="00860696" w:rsidP="00860696">
            <w:pPr>
              <w:rPr>
                <w:rFonts w:ascii="Times New Roman" w:hAnsi="Times New Roman" w:cs="Times New Roman"/>
                <w:sz w:val="20"/>
                <w:szCs w:val="20"/>
              </w:rPr>
            </w:pPr>
            <w:r w:rsidRPr="002D635A">
              <w:rPr>
                <w:rFonts w:ascii="Times New Roman" w:hAnsi="Times New Roman" w:cs="Times New Roman"/>
                <w:sz w:val="20"/>
                <w:szCs w:val="20"/>
              </w:rPr>
              <w:t xml:space="preserve">Insegurança alimentar leve </w:t>
            </w:r>
          </w:p>
        </w:tc>
        <w:tc>
          <w:tcPr>
            <w:tcW w:w="2632" w:type="dxa"/>
          </w:tcPr>
          <w:p w14:paraId="1D19D750"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48</w:t>
            </w:r>
          </w:p>
        </w:tc>
        <w:tc>
          <w:tcPr>
            <w:tcW w:w="2547" w:type="dxa"/>
          </w:tcPr>
          <w:p w14:paraId="0365D655"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51,1</w:t>
            </w:r>
          </w:p>
        </w:tc>
      </w:tr>
      <w:tr w:rsidR="00860696" w:rsidRPr="002D635A" w14:paraId="4DAAC82E" w14:textId="77777777" w:rsidTr="00860696">
        <w:trPr>
          <w:trHeight w:val="210"/>
        </w:trPr>
        <w:tc>
          <w:tcPr>
            <w:tcW w:w="3438" w:type="dxa"/>
          </w:tcPr>
          <w:p w14:paraId="3D97CE7B" w14:textId="77777777" w:rsidR="00860696" w:rsidRPr="002D635A" w:rsidRDefault="00860696" w:rsidP="00860696">
            <w:pPr>
              <w:rPr>
                <w:rFonts w:ascii="Times New Roman" w:hAnsi="Times New Roman" w:cs="Times New Roman"/>
                <w:sz w:val="20"/>
                <w:szCs w:val="20"/>
              </w:rPr>
            </w:pPr>
          </w:p>
        </w:tc>
        <w:tc>
          <w:tcPr>
            <w:tcW w:w="2632" w:type="dxa"/>
          </w:tcPr>
          <w:p w14:paraId="03D92293" w14:textId="77777777" w:rsidR="00860696" w:rsidRPr="002D635A" w:rsidRDefault="00860696" w:rsidP="00860696">
            <w:pPr>
              <w:jc w:val="center"/>
              <w:rPr>
                <w:rFonts w:ascii="Times New Roman" w:hAnsi="Times New Roman" w:cs="Times New Roman"/>
                <w:sz w:val="20"/>
                <w:szCs w:val="20"/>
              </w:rPr>
            </w:pPr>
          </w:p>
        </w:tc>
        <w:tc>
          <w:tcPr>
            <w:tcW w:w="2547" w:type="dxa"/>
          </w:tcPr>
          <w:p w14:paraId="3C10055E" w14:textId="77777777" w:rsidR="00860696" w:rsidRPr="002D635A" w:rsidRDefault="00860696" w:rsidP="00860696">
            <w:pPr>
              <w:jc w:val="center"/>
              <w:rPr>
                <w:rFonts w:ascii="Times New Roman" w:hAnsi="Times New Roman" w:cs="Times New Roman"/>
                <w:sz w:val="20"/>
                <w:szCs w:val="20"/>
              </w:rPr>
            </w:pPr>
          </w:p>
        </w:tc>
      </w:tr>
      <w:tr w:rsidR="00860696" w:rsidRPr="002D635A" w14:paraId="0ED26BAD" w14:textId="77777777" w:rsidTr="00860696">
        <w:trPr>
          <w:trHeight w:val="434"/>
        </w:trPr>
        <w:tc>
          <w:tcPr>
            <w:tcW w:w="3438" w:type="dxa"/>
          </w:tcPr>
          <w:p w14:paraId="2BCE6F2B" w14:textId="77777777" w:rsidR="00860696" w:rsidRPr="002D635A" w:rsidRDefault="00860696" w:rsidP="00860696">
            <w:pPr>
              <w:rPr>
                <w:rFonts w:ascii="Times New Roman" w:hAnsi="Times New Roman" w:cs="Times New Roman"/>
                <w:sz w:val="20"/>
                <w:szCs w:val="20"/>
              </w:rPr>
            </w:pPr>
            <w:r w:rsidRPr="002D635A">
              <w:rPr>
                <w:rFonts w:ascii="Times New Roman" w:hAnsi="Times New Roman" w:cs="Times New Roman"/>
                <w:sz w:val="20"/>
                <w:szCs w:val="20"/>
              </w:rPr>
              <w:t>Insegurança alimentar moderada</w:t>
            </w:r>
          </w:p>
        </w:tc>
        <w:tc>
          <w:tcPr>
            <w:tcW w:w="2632" w:type="dxa"/>
          </w:tcPr>
          <w:p w14:paraId="298B9206"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12</w:t>
            </w:r>
          </w:p>
        </w:tc>
        <w:tc>
          <w:tcPr>
            <w:tcW w:w="2547" w:type="dxa"/>
          </w:tcPr>
          <w:p w14:paraId="6A6DBC01"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12,8</w:t>
            </w:r>
          </w:p>
        </w:tc>
      </w:tr>
      <w:tr w:rsidR="00860696" w:rsidRPr="002D635A" w14:paraId="370EC821" w14:textId="77777777" w:rsidTr="00860696">
        <w:trPr>
          <w:trHeight w:val="210"/>
        </w:trPr>
        <w:tc>
          <w:tcPr>
            <w:tcW w:w="3438" w:type="dxa"/>
          </w:tcPr>
          <w:p w14:paraId="3979823F" w14:textId="77777777" w:rsidR="00860696" w:rsidRPr="002D635A" w:rsidRDefault="00860696" w:rsidP="00860696">
            <w:pPr>
              <w:rPr>
                <w:rFonts w:ascii="Times New Roman" w:hAnsi="Times New Roman" w:cs="Times New Roman"/>
                <w:sz w:val="20"/>
                <w:szCs w:val="20"/>
              </w:rPr>
            </w:pPr>
          </w:p>
        </w:tc>
        <w:tc>
          <w:tcPr>
            <w:tcW w:w="2632" w:type="dxa"/>
          </w:tcPr>
          <w:p w14:paraId="05867FC9" w14:textId="77777777" w:rsidR="00860696" w:rsidRPr="002D635A" w:rsidRDefault="00860696" w:rsidP="00860696">
            <w:pPr>
              <w:jc w:val="center"/>
              <w:rPr>
                <w:rFonts w:ascii="Times New Roman" w:hAnsi="Times New Roman" w:cs="Times New Roman"/>
                <w:sz w:val="20"/>
                <w:szCs w:val="20"/>
              </w:rPr>
            </w:pPr>
          </w:p>
        </w:tc>
        <w:tc>
          <w:tcPr>
            <w:tcW w:w="2547" w:type="dxa"/>
          </w:tcPr>
          <w:p w14:paraId="13E0EDC8" w14:textId="77777777" w:rsidR="00860696" w:rsidRPr="002D635A" w:rsidRDefault="00860696" w:rsidP="00860696">
            <w:pPr>
              <w:jc w:val="center"/>
              <w:rPr>
                <w:rFonts w:ascii="Times New Roman" w:hAnsi="Times New Roman" w:cs="Times New Roman"/>
                <w:sz w:val="20"/>
                <w:szCs w:val="20"/>
              </w:rPr>
            </w:pPr>
          </w:p>
        </w:tc>
      </w:tr>
      <w:tr w:rsidR="00860696" w:rsidRPr="002D635A" w14:paraId="73159436" w14:textId="77777777" w:rsidTr="00860696">
        <w:trPr>
          <w:trHeight w:val="434"/>
        </w:trPr>
        <w:tc>
          <w:tcPr>
            <w:tcW w:w="3438" w:type="dxa"/>
            <w:tcBorders>
              <w:bottom w:val="single" w:sz="4" w:space="0" w:color="auto"/>
            </w:tcBorders>
          </w:tcPr>
          <w:p w14:paraId="4D2075DA" w14:textId="77777777" w:rsidR="00860696" w:rsidRPr="002D635A" w:rsidRDefault="00860696" w:rsidP="00860696">
            <w:pPr>
              <w:rPr>
                <w:rFonts w:ascii="Times New Roman" w:hAnsi="Times New Roman" w:cs="Times New Roman"/>
                <w:sz w:val="20"/>
                <w:szCs w:val="20"/>
              </w:rPr>
            </w:pPr>
            <w:r w:rsidRPr="002D635A">
              <w:rPr>
                <w:rFonts w:ascii="Times New Roman" w:hAnsi="Times New Roman" w:cs="Times New Roman"/>
                <w:sz w:val="20"/>
                <w:szCs w:val="20"/>
              </w:rPr>
              <w:t>Insegurança alimentar grave</w:t>
            </w:r>
          </w:p>
        </w:tc>
        <w:tc>
          <w:tcPr>
            <w:tcW w:w="2632" w:type="dxa"/>
            <w:tcBorders>
              <w:bottom w:val="single" w:sz="4" w:space="0" w:color="auto"/>
            </w:tcBorders>
          </w:tcPr>
          <w:p w14:paraId="7155FA31"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8</w:t>
            </w:r>
          </w:p>
        </w:tc>
        <w:tc>
          <w:tcPr>
            <w:tcW w:w="2547" w:type="dxa"/>
            <w:tcBorders>
              <w:bottom w:val="single" w:sz="4" w:space="0" w:color="auto"/>
            </w:tcBorders>
          </w:tcPr>
          <w:p w14:paraId="0A6C2D61"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8,5</w:t>
            </w:r>
          </w:p>
        </w:tc>
      </w:tr>
      <w:tr w:rsidR="00860696" w:rsidRPr="002D635A" w14:paraId="568C2A80" w14:textId="77777777" w:rsidTr="00860696">
        <w:trPr>
          <w:trHeight w:val="197"/>
        </w:trPr>
        <w:tc>
          <w:tcPr>
            <w:tcW w:w="3438" w:type="dxa"/>
            <w:tcBorders>
              <w:top w:val="single" w:sz="4" w:space="0" w:color="auto"/>
              <w:bottom w:val="single" w:sz="4" w:space="0" w:color="auto"/>
            </w:tcBorders>
          </w:tcPr>
          <w:p w14:paraId="1DE3E1BE" w14:textId="77777777" w:rsidR="00860696" w:rsidRPr="002D635A" w:rsidRDefault="00860696" w:rsidP="00860696">
            <w:pPr>
              <w:rPr>
                <w:rFonts w:ascii="Times New Roman" w:hAnsi="Times New Roman" w:cs="Times New Roman"/>
                <w:sz w:val="20"/>
                <w:szCs w:val="20"/>
              </w:rPr>
            </w:pPr>
            <w:r w:rsidRPr="002D635A">
              <w:rPr>
                <w:rFonts w:ascii="Times New Roman" w:hAnsi="Times New Roman" w:cs="Times New Roman"/>
                <w:sz w:val="20"/>
                <w:szCs w:val="20"/>
              </w:rPr>
              <w:t>Total</w:t>
            </w:r>
          </w:p>
        </w:tc>
        <w:tc>
          <w:tcPr>
            <w:tcW w:w="2632" w:type="dxa"/>
            <w:tcBorders>
              <w:top w:val="single" w:sz="4" w:space="0" w:color="auto"/>
              <w:bottom w:val="single" w:sz="4" w:space="0" w:color="auto"/>
            </w:tcBorders>
          </w:tcPr>
          <w:p w14:paraId="4A57EEE5"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94</w:t>
            </w:r>
          </w:p>
        </w:tc>
        <w:tc>
          <w:tcPr>
            <w:tcW w:w="2547" w:type="dxa"/>
            <w:tcBorders>
              <w:top w:val="single" w:sz="4" w:space="0" w:color="auto"/>
              <w:bottom w:val="single" w:sz="4" w:space="0" w:color="auto"/>
            </w:tcBorders>
          </w:tcPr>
          <w:p w14:paraId="2A749BDD" w14:textId="77777777" w:rsidR="00860696" w:rsidRPr="002D635A" w:rsidRDefault="00860696" w:rsidP="00860696">
            <w:pPr>
              <w:jc w:val="center"/>
              <w:rPr>
                <w:rFonts w:ascii="Times New Roman" w:hAnsi="Times New Roman" w:cs="Times New Roman"/>
                <w:sz w:val="20"/>
                <w:szCs w:val="20"/>
              </w:rPr>
            </w:pPr>
            <w:r w:rsidRPr="002D635A">
              <w:rPr>
                <w:rFonts w:ascii="Times New Roman" w:hAnsi="Times New Roman" w:cs="Times New Roman"/>
                <w:sz w:val="20"/>
                <w:szCs w:val="20"/>
              </w:rPr>
              <w:t>100,0</w:t>
            </w:r>
          </w:p>
        </w:tc>
      </w:tr>
    </w:tbl>
    <w:p w14:paraId="57DCBF19" w14:textId="77777777" w:rsidR="006D2E39" w:rsidRPr="002D635A" w:rsidRDefault="006D2E39" w:rsidP="006D2E39">
      <w:pPr>
        <w:pStyle w:val="Textodecomentrio"/>
        <w:rPr>
          <w:rFonts w:ascii="Times New Roman" w:hAnsi="Times New Roman" w:cs="Times New Roman"/>
        </w:rPr>
      </w:pPr>
      <w:r w:rsidRPr="002D635A">
        <w:rPr>
          <w:rFonts w:ascii="Times New Roman" w:eastAsia="Times New Roman" w:hAnsi="Times New Roman" w:cs="Times New Roman"/>
          <w:b/>
          <w:bCs/>
          <w:color w:val="000000"/>
          <w:lang w:eastAsia="pt-BR"/>
        </w:rPr>
        <w:t>Tabela 2-</w:t>
      </w:r>
      <w:r w:rsidRPr="002D635A">
        <w:rPr>
          <w:rFonts w:ascii="Times New Roman" w:eastAsia="Times New Roman" w:hAnsi="Times New Roman" w:cs="Times New Roman"/>
          <w:color w:val="000000"/>
          <w:lang w:eastAsia="pt-BR"/>
        </w:rPr>
        <w:t xml:space="preserve"> </w:t>
      </w:r>
      <w:r w:rsidRPr="002D635A">
        <w:rPr>
          <w:rFonts w:ascii="Times New Roman" w:hAnsi="Times New Roman" w:cs="Times New Roman"/>
        </w:rPr>
        <w:t>Níveis de (IN) segurança alimentar e nutricional no município de Lagarto-Sergip</w:t>
      </w:r>
      <w:r>
        <w:rPr>
          <w:rFonts w:ascii="Times New Roman" w:hAnsi="Times New Roman" w:cs="Times New Roman"/>
        </w:rPr>
        <w:t>e</w:t>
      </w:r>
      <w:r w:rsidRPr="002D635A">
        <w:rPr>
          <w:rFonts w:ascii="Times New Roman" w:hAnsi="Times New Roman" w:cs="Times New Roman"/>
        </w:rPr>
        <w:t>, 2019.</w:t>
      </w:r>
    </w:p>
    <w:p w14:paraId="3CD9CE1B" w14:textId="0C77663F" w:rsidR="006D2E39" w:rsidRDefault="006D2E39" w:rsidP="00860696">
      <w:pPr>
        <w:spacing w:after="0" w:line="240" w:lineRule="auto"/>
        <w:jc w:val="both"/>
        <w:rPr>
          <w:rFonts w:ascii="Times New Roman" w:eastAsia="Times New Roman" w:hAnsi="Times New Roman" w:cs="Times New Roman"/>
          <w:color w:val="000000"/>
          <w:sz w:val="20"/>
          <w:szCs w:val="20"/>
        </w:rPr>
      </w:pPr>
      <w:r w:rsidRPr="002D635A">
        <w:rPr>
          <w:rFonts w:ascii="Times New Roman" w:eastAsia="Times New Roman" w:hAnsi="Times New Roman" w:cs="Times New Roman"/>
          <w:color w:val="000000"/>
          <w:sz w:val="20"/>
          <w:szCs w:val="20"/>
        </w:rPr>
        <w:t>N= Frequência absoluta; %= Frequência relativa</w:t>
      </w:r>
    </w:p>
    <w:p w14:paraId="5B9A2805" w14:textId="665FE0B1" w:rsidR="00860696" w:rsidRDefault="00860696" w:rsidP="00860696">
      <w:pPr>
        <w:spacing w:after="0" w:line="240" w:lineRule="auto"/>
        <w:jc w:val="both"/>
        <w:rPr>
          <w:rFonts w:ascii="Times New Roman" w:eastAsia="Times New Roman" w:hAnsi="Times New Roman" w:cs="Times New Roman"/>
          <w:color w:val="000000"/>
          <w:sz w:val="20"/>
          <w:szCs w:val="20"/>
        </w:rPr>
      </w:pPr>
      <w:r w:rsidRPr="00860696">
        <w:rPr>
          <w:rFonts w:ascii="Times New Roman" w:eastAsia="Times New Roman" w:hAnsi="Times New Roman" w:cs="Times New Roman"/>
          <w:b/>
          <w:bCs/>
          <w:color w:val="000000"/>
          <w:sz w:val="20"/>
          <w:szCs w:val="20"/>
        </w:rPr>
        <w:t>Fonte:</w:t>
      </w:r>
      <w:r>
        <w:rPr>
          <w:rFonts w:ascii="Times New Roman" w:eastAsia="Times New Roman" w:hAnsi="Times New Roman" w:cs="Times New Roman"/>
          <w:color w:val="000000"/>
          <w:sz w:val="20"/>
          <w:szCs w:val="20"/>
        </w:rPr>
        <w:t xml:space="preserve"> Autoria Própria (2019)</w:t>
      </w:r>
    </w:p>
    <w:p w14:paraId="073BD98C" w14:textId="77777777" w:rsidR="00860696" w:rsidRPr="002D635A" w:rsidRDefault="00860696" w:rsidP="00860696">
      <w:pPr>
        <w:spacing w:after="0" w:line="240" w:lineRule="auto"/>
        <w:jc w:val="both"/>
        <w:rPr>
          <w:rFonts w:ascii="Times New Roman" w:eastAsia="Times New Roman" w:hAnsi="Times New Roman" w:cs="Times New Roman"/>
          <w:sz w:val="20"/>
          <w:szCs w:val="20"/>
        </w:rPr>
      </w:pPr>
    </w:p>
    <w:p w14:paraId="0AC4C7CA" w14:textId="14139913" w:rsidR="006D2E39" w:rsidRPr="002D635A" w:rsidRDefault="006D2E39" w:rsidP="00AA40F5">
      <w:pPr>
        <w:pStyle w:val="Textodecomentrio"/>
        <w:spacing w:after="0" w:line="360" w:lineRule="auto"/>
        <w:ind w:firstLine="709"/>
        <w:jc w:val="both"/>
        <w:rPr>
          <w:rFonts w:ascii="Times New Roman" w:hAnsi="Times New Roman" w:cs="Times New Roman"/>
          <w:sz w:val="24"/>
          <w:szCs w:val="24"/>
        </w:rPr>
      </w:pPr>
      <w:r w:rsidRPr="002D635A">
        <w:rPr>
          <w:rFonts w:ascii="Times New Roman" w:eastAsia="Times New Roman" w:hAnsi="Times New Roman" w:cs="Times New Roman"/>
          <w:sz w:val="24"/>
          <w:szCs w:val="24"/>
          <w:lang w:eastAsia="pt-BR"/>
        </w:rPr>
        <w:t xml:space="preserve">A prevalência da IA foi alta, sendo </w:t>
      </w:r>
      <w:r w:rsidR="00AA40F5">
        <w:rPr>
          <w:rFonts w:ascii="Times New Roman" w:hAnsi="Times New Roman" w:cs="Times New Roman"/>
          <w:sz w:val="24"/>
          <w:szCs w:val="24"/>
        </w:rPr>
        <w:t xml:space="preserve">a </w:t>
      </w:r>
      <w:r w:rsidRPr="002D635A">
        <w:rPr>
          <w:rFonts w:ascii="Times New Roman" w:hAnsi="Times New Roman" w:cs="Times New Roman"/>
          <w:sz w:val="24"/>
          <w:szCs w:val="24"/>
        </w:rPr>
        <w:t xml:space="preserve">maior proporção de insegurança nos domicílios foram nível leve, seguido da moderada e grave. Corroborando com </w:t>
      </w:r>
      <w:r w:rsidR="00AA40F5">
        <w:rPr>
          <w:rFonts w:ascii="Times New Roman" w:hAnsi="Times New Roman" w:cs="Times New Roman"/>
          <w:sz w:val="24"/>
          <w:szCs w:val="24"/>
        </w:rPr>
        <w:t xml:space="preserve">o resultado </w:t>
      </w:r>
      <w:r>
        <w:rPr>
          <w:rFonts w:ascii="Times New Roman" w:hAnsi="Times New Roman" w:cs="Times New Roman"/>
          <w:sz w:val="24"/>
          <w:szCs w:val="24"/>
        </w:rPr>
        <w:t>da Pesquisa Nacional por amostra de Domicílios</w:t>
      </w:r>
      <w:r w:rsidRPr="002D635A">
        <w:rPr>
          <w:rFonts w:ascii="Times New Roman" w:hAnsi="Times New Roman" w:cs="Times New Roman"/>
          <w:sz w:val="24"/>
          <w:szCs w:val="24"/>
        </w:rPr>
        <w:t xml:space="preserve"> </w:t>
      </w:r>
      <w:r>
        <w:rPr>
          <w:rFonts w:ascii="Times New Roman" w:hAnsi="Times New Roman" w:cs="Times New Roman"/>
          <w:sz w:val="24"/>
          <w:szCs w:val="24"/>
        </w:rPr>
        <w:t>(</w:t>
      </w:r>
      <w:r w:rsidRPr="002D635A">
        <w:rPr>
          <w:rFonts w:ascii="Times New Roman" w:hAnsi="Times New Roman" w:cs="Times New Roman"/>
          <w:sz w:val="24"/>
          <w:szCs w:val="24"/>
        </w:rPr>
        <w:t>PNAD</w:t>
      </w:r>
      <w:r>
        <w:rPr>
          <w:rFonts w:ascii="Times New Roman" w:hAnsi="Times New Roman" w:cs="Times New Roman"/>
          <w:sz w:val="24"/>
          <w:szCs w:val="24"/>
        </w:rPr>
        <w:t>)</w:t>
      </w:r>
      <w:r w:rsidRPr="002D635A">
        <w:rPr>
          <w:rFonts w:ascii="Times New Roman" w:hAnsi="Times New Roman" w:cs="Times New Roman"/>
          <w:sz w:val="24"/>
          <w:szCs w:val="24"/>
        </w:rPr>
        <w:t xml:space="preserve">, que </w:t>
      </w:r>
      <w:r w:rsidRPr="002D635A">
        <w:rPr>
          <w:rFonts w:ascii="Times New Roman" w:eastAsia="Times New Roman" w:hAnsi="Times New Roman" w:cs="Times New Roman"/>
          <w:sz w:val="24"/>
          <w:szCs w:val="24"/>
          <w:lang w:eastAsia="pt-BR"/>
        </w:rPr>
        <w:t>toda a região nordeste, norte, demais regiões e Brasil (36,1, 38,1%, 20% e 22,6% respectivamente) estavam em insegurança alimentar leve</w:t>
      </w:r>
      <w:r>
        <w:rPr>
          <w:rFonts w:ascii="Times New Roman" w:eastAsia="Times New Roman" w:hAnsi="Times New Roman" w:cs="Times New Roman"/>
          <w:sz w:val="24"/>
          <w:szCs w:val="24"/>
          <w:lang w:eastAsia="pt-BR"/>
        </w:rPr>
        <w:t xml:space="preserve"> (IBGE, 2019)</w:t>
      </w:r>
      <w:r w:rsidRPr="002D635A">
        <w:rPr>
          <w:rFonts w:ascii="Times New Roman" w:eastAsia="Times New Roman" w:hAnsi="Times New Roman" w:cs="Times New Roman"/>
          <w:sz w:val="24"/>
          <w:szCs w:val="24"/>
          <w:lang w:eastAsia="pt-BR"/>
        </w:rPr>
        <w:t>.</w:t>
      </w:r>
      <w:r w:rsidRPr="002D635A">
        <w:rPr>
          <w:rFonts w:ascii="Times New Roman" w:hAnsi="Times New Roman" w:cs="Times New Roman"/>
          <w:sz w:val="24"/>
          <w:szCs w:val="24"/>
        </w:rPr>
        <w:t xml:space="preserve"> Contudo, no presente estudo foi menor o número de domicílios em segurança alimentar.</w:t>
      </w:r>
    </w:p>
    <w:p w14:paraId="3A314C07" w14:textId="3629F3E0" w:rsidR="006D2E39" w:rsidRPr="002D635A" w:rsidRDefault="006D2E39" w:rsidP="00AA40F5">
      <w:pPr>
        <w:spacing w:after="0" w:line="360" w:lineRule="auto"/>
        <w:ind w:firstLine="700"/>
        <w:jc w:val="both"/>
        <w:rPr>
          <w:rFonts w:ascii="Times New Roman" w:eastAsia="Times New Roman" w:hAnsi="Times New Roman" w:cs="Times New Roman"/>
          <w:sz w:val="24"/>
          <w:szCs w:val="24"/>
        </w:rPr>
      </w:pPr>
      <w:r w:rsidRPr="002D635A">
        <w:rPr>
          <w:rFonts w:ascii="Times New Roman" w:eastAsia="Times New Roman" w:hAnsi="Times New Roman" w:cs="Times New Roman"/>
          <w:sz w:val="24"/>
          <w:szCs w:val="24"/>
        </w:rPr>
        <w:t>Segundo a pesquisa realizada no Brasil pelo Instituto Brasileiro de Geografia e Estatística, IBGE, em 2017 cerca de 54,8 milhões de pessoas vivem em situação de pobreza, número este representando 26,5% da população total do Brasil</w:t>
      </w:r>
      <w:r w:rsidR="00561B3E">
        <w:rPr>
          <w:rFonts w:ascii="Times New Roman" w:eastAsia="Times New Roman" w:hAnsi="Times New Roman" w:cs="Times New Roman"/>
          <w:sz w:val="24"/>
          <w:szCs w:val="24"/>
        </w:rPr>
        <w:t>, s</w:t>
      </w:r>
      <w:r w:rsidRPr="002D635A">
        <w:rPr>
          <w:rFonts w:ascii="Times New Roman" w:eastAsia="Times New Roman" w:hAnsi="Times New Roman" w:cs="Times New Roman"/>
          <w:sz w:val="24"/>
          <w:szCs w:val="24"/>
        </w:rPr>
        <w:t xml:space="preserve">endo que 7,4% vivem em situação de pobreza extrema, ou seja, em insegurança alimentar (IBGE, 2017). </w:t>
      </w:r>
      <w:r w:rsidRPr="002D635A">
        <w:rPr>
          <w:rFonts w:ascii="Times New Roman" w:hAnsi="Times New Roman" w:cs="Times New Roman"/>
          <w:sz w:val="24"/>
          <w:szCs w:val="24"/>
        </w:rPr>
        <w:t xml:space="preserve">O que é </w:t>
      </w:r>
      <w:r w:rsidR="00860696">
        <w:rPr>
          <w:rFonts w:ascii="Times New Roman" w:hAnsi="Times New Roman" w:cs="Times New Roman"/>
          <w:sz w:val="24"/>
          <w:szCs w:val="24"/>
        </w:rPr>
        <w:t xml:space="preserve">um </w:t>
      </w:r>
      <w:r w:rsidRPr="002D635A">
        <w:rPr>
          <w:rFonts w:ascii="Times New Roman" w:hAnsi="Times New Roman" w:cs="Times New Roman"/>
          <w:sz w:val="24"/>
          <w:szCs w:val="24"/>
        </w:rPr>
        <w:t>grande problema, pois o principal determinante</w:t>
      </w:r>
      <w:r w:rsidR="00860696">
        <w:rPr>
          <w:rFonts w:ascii="Times New Roman" w:hAnsi="Times New Roman" w:cs="Times New Roman"/>
          <w:sz w:val="24"/>
          <w:szCs w:val="24"/>
        </w:rPr>
        <w:t xml:space="preserve"> da insegurança alimentar</w:t>
      </w:r>
      <w:r w:rsidRPr="002D635A">
        <w:rPr>
          <w:rFonts w:ascii="Times New Roman" w:hAnsi="Times New Roman" w:cs="Times New Roman"/>
          <w:sz w:val="24"/>
          <w:szCs w:val="24"/>
        </w:rPr>
        <w:t xml:space="preserve"> é a pobreza, pois está relacionado ao poder de compra dos alimentos e, consequente, ao acesso</w:t>
      </w:r>
      <w:r>
        <w:rPr>
          <w:rFonts w:ascii="Times New Roman" w:hAnsi="Times New Roman" w:cs="Times New Roman"/>
          <w:sz w:val="24"/>
          <w:szCs w:val="24"/>
        </w:rPr>
        <w:t xml:space="preserve"> (SANTOS, 2018)</w:t>
      </w:r>
      <w:r w:rsidRPr="002D635A">
        <w:rPr>
          <w:rFonts w:ascii="Times New Roman" w:hAnsi="Times New Roman" w:cs="Times New Roman"/>
          <w:sz w:val="24"/>
          <w:szCs w:val="24"/>
        </w:rPr>
        <w:t xml:space="preserve">. </w:t>
      </w:r>
    </w:p>
    <w:p w14:paraId="103E7280" w14:textId="03104D67" w:rsidR="006D2E39" w:rsidRPr="002D635A" w:rsidRDefault="006D2E39" w:rsidP="00AA40F5">
      <w:pPr>
        <w:spacing w:after="0" w:line="360" w:lineRule="auto"/>
        <w:ind w:firstLine="700"/>
        <w:jc w:val="both"/>
        <w:rPr>
          <w:rFonts w:ascii="Times New Roman" w:eastAsia="Times New Roman" w:hAnsi="Times New Roman" w:cs="Times New Roman"/>
          <w:sz w:val="24"/>
          <w:szCs w:val="24"/>
        </w:rPr>
      </w:pPr>
      <w:r w:rsidRPr="002D635A">
        <w:rPr>
          <w:rFonts w:ascii="Times New Roman" w:eastAsia="Times New Roman" w:hAnsi="Times New Roman" w:cs="Times New Roman"/>
          <w:sz w:val="24"/>
          <w:szCs w:val="24"/>
          <w:shd w:val="clear" w:color="auto" w:fill="FFFFFF"/>
        </w:rPr>
        <w:t>Mesmo com os avanços observados na diminuição das desigualdades sociais no Brasil, ainda é grande o número de indivíduos em insegurança alimentar</w:t>
      </w:r>
      <w:r w:rsidR="00561B3E">
        <w:rPr>
          <w:rFonts w:ascii="Times New Roman" w:eastAsia="Times New Roman" w:hAnsi="Times New Roman" w:cs="Times New Roman"/>
          <w:sz w:val="24"/>
          <w:szCs w:val="24"/>
          <w:shd w:val="clear" w:color="auto" w:fill="FFFFFF"/>
        </w:rPr>
        <w:t xml:space="preserve"> </w:t>
      </w:r>
      <w:r w:rsidR="00561B3E" w:rsidRPr="002D635A">
        <w:rPr>
          <w:rFonts w:ascii="Times New Roman" w:eastAsia="Times New Roman" w:hAnsi="Times New Roman" w:cs="Times New Roman"/>
          <w:sz w:val="24"/>
          <w:szCs w:val="24"/>
        </w:rPr>
        <w:t>(IBGE, 2017)</w:t>
      </w:r>
      <w:r w:rsidRPr="002D635A">
        <w:rPr>
          <w:rFonts w:ascii="Times New Roman" w:eastAsia="Times New Roman" w:hAnsi="Times New Roman" w:cs="Times New Roman"/>
          <w:sz w:val="24"/>
          <w:szCs w:val="24"/>
          <w:shd w:val="clear" w:color="auto" w:fill="FFFFFF"/>
        </w:rPr>
        <w:t xml:space="preserve">. </w:t>
      </w:r>
      <w:r w:rsidR="00561B3E">
        <w:rPr>
          <w:rFonts w:ascii="Times New Roman" w:eastAsia="Times New Roman" w:hAnsi="Times New Roman" w:cs="Times New Roman"/>
          <w:sz w:val="24"/>
          <w:szCs w:val="24"/>
          <w:shd w:val="clear" w:color="auto" w:fill="FFFFFF"/>
        </w:rPr>
        <w:t xml:space="preserve">Por isso, a importância da utilização de </w:t>
      </w:r>
      <w:r w:rsidRPr="002D635A">
        <w:rPr>
          <w:rFonts w:ascii="Times New Roman" w:eastAsia="Times New Roman" w:hAnsi="Times New Roman" w:cs="Times New Roman"/>
          <w:sz w:val="24"/>
          <w:szCs w:val="24"/>
          <w:shd w:val="clear" w:color="auto" w:fill="FFFFFF"/>
        </w:rPr>
        <w:t>instrumentos para medir a segurança alimentar</w:t>
      </w:r>
      <w:r w:rsidR="00561B3E">
        <w:rPr>
          <w:rFonts w:ascii="Times New Roman" w:eastAsia="Times New Roman" w:hAnsi="Times New Roman" w:cs="Times New Roman"/>
          <w:sz w:val="24"/>
          <w:szCs w:val="24"/>
          <w:shd w:val="clear" w:color="auto" w:fill="FFFFFF"/>
        </w:rPr>
        <w:t>.</w:t>
      </w:r>
      <w:r w:rsidRPr="002D635A">
        <w:rPr>
          <w:rFonts w:ascii="Times New Roman" w:eastAsia="Times New Roman" w:hAnsi="Times New Roman" w:cs="Times New Roman"/>
          <w:sz w:val="24"/>
          <w:szCs w:val="24"/>
          <w:shd w:val="clear" w:color="auto" w:fill="FFFFFF"/>
        </w:rPr>
        <w:t xml:space="preserve"> </w:t>
      </w:r>
    </w:p>
    <w:p w14:paraId="400017CE" w14:textId="2E558756" w:rsidR="00AA40F5" w:rsidRDefault="006D2E39" w:rsidP="00B97C60">
      <w:pPr>
        <w:spacing w:after="0" w:line="360" w:lineRule="auto"/>
        <w:ind w:firstLine="700"/>
        <w:jc w:val="both"/>
        <w:rPr>
          <w:rFonts w:ascii="Times New Roman" w:eastAsia="Times New Roman" w:hAnsi="Times New Roman" w:cs="Times New Roman"/>
          <w:sz w:val="24"/>
          <w:szCs w:val="24"/>
          <w:shd w:val="clear" w:color="auto" w:fill="FFFFFF"/>
        </w:rPr>
      </w:pPr>
      <w:r w:rsidRPr="002D635A">
        <w:rPr>
          <w:rFonts w:ascii="Times New Roman" w:eastAsia="Times New Roman" w:hAnsi="Times New Roman" w:cs="Times New Roman"/>
          <w:sz w:val="24"/>
          <w:szCs w:val="24"/>
          <w:shd w:val="clear" w:color="auto" w:fill="FFFFFF"/>
        </w:rPr>
        <w:t>Nessa pesquisa tiveram algumas limitações como alguns problemas que inviabilizaram as visitas domiciliares: 1) Recusa do ACS em acompanhar o entrevistador; 2) ausência dos ACS em reunião previamente agendada; 3) mudança da gestão municipal; 4) comunidade não tem mais interesse em participar dos estudos da universidade. 5) ausência ou desatualização da lista de cadastro das famílias/domicílios. Além do que, pode-se ter ocorrido insegurança do entrevistado ao responder os questionários, sendo minimizados com os treinamentos pilotos dos entrevistadores</w:t>
      </w:r>
      <w:r>
        <w:rPr>
          <w:rFonts w:ascii="Times New Roman" w:eastAsia="Times New Roman" w:hAnsi="Times New Roman" w:cs="Times New Roman"/>
          <w:sz w:val="24"/>
          <w:szCs w:val="24"/>
          <w:shd w:val="clear" w:color="auto" w:fill="FFFFFF"/>
        </w:rPr>
        <w:t>.</w:t>
      </w:r>
      <w:r w:rsidRPr="002D635A">
        <w:rPr>
          <w:rFonts w:ascii="Times New Roman" w:eastAsia="Times New Roman" w:hAnsi="Times New Roman" w:cs="Times New Roman"/>
          <w:sz w:val="24"/>
          <w:szCs w:val="24"/>
          <w:shd w:val="clear" w:color="auto" w:fill="FFFFFF"/>
        </w:rPr>
        <w:t xml:space="preserve"> </w:t>
      </w:r>
    </w:p>
    <w:p w14:paraId="2235BFEB" w14:textId="77777777" w:rsidR="00561B3E" w:rsidRPr="002D635A" w:rsidRDefault="00561B3E" w:rsidP="00B97C60">
      <w:pPr>
        <w:spacing w:after="0" w:line="360" w:lineRule="auto"/>
        <w:ind w:firstLine="700"/>
        <w:jc w:val="both"/>
        <w:rPr>
          <w:rFonts w:ascii="Times New Roman" w:eastAsia="Times New Roman" w:hAnsi="Times New Roman" w:cs="Times New Roman"/>
          <w:sz w:val="24"/>
          <w:szCs w:val="24"/>
          <w:shd w:val="clear" w:color="auto" w:fill="FFFFFF"/>
        </w:rPr>
      </w:pPr>
    </w:p>
    <w:p w14:paraId="1BF99500" w14:textId="77777777" w:rsidR="006D2E39" w:rsidRPr="00785B35" w:rsidRDefault="006D2E39" w:rsidP="006D2E39">
      <w:pPr>
        <w:pStyle w:val="PargrafodaLista"/>
        <w:numPr>
          <w:ilvl w:val="0"/>
          <w:numId w:val="38"/>
        </w:numPr>
        <w:spacing w:after="0" w:line="240" w:lineRule="auto"/>
        <w:ind w:left="284" w:hanging="284"/>
        <w:jc w:val="both"/>
        <w:rPr>
          <w:rFonts w:ascii="Times New Roman" w:eastAsia="Times New Roman" w:hAnsi="Times New Roman" w:cs="Times New Roman"/>
          <w:sz w:val="24"/>
          <w:szCs w:val="24"/>
        </w:rPr>
      </w:pPr>
      <w:r w:rsidRPr="008A09B2">
        <w:rPr>
          <w:rFonts w:ascii="Times New Roman" w:eastAsia="Times New Roman" w:hAnsi="Times New Roman" w:cs="Times New Roman"/>
          <w:b/>
          <w:bCs/>
          <w:color w:val="000000"/>
          <w:sz w:val="24"/>
          <w:szCs w:val="24"/>
        </w:rPr>
        <w:lastRenderedPageBreak/>
        <w:t>CONCLUSÕES </w:t>
      </w:r>
    </w:p>
    <w:p w14:paraId="50D5EC87" w14:textId="77777777" w:rsidR="006D2E39" w:rsidRPr="008A09B2" w:rsidRDefault="006D2E39" w:rsidP="006D2E39">
      <w:pPr>
        <w:spacing w:before="240" w:after="0" w:line="360" w:lineRule="auto"/>
        <w:ind w:firstLine="850"/>
        <w:jc w:val="both"/>
        <w:rPr>
          <w:rFonts w:ascii="Times New Roman" w:eastAsia="Times New Roman" w:hAnsi="Times New Roman" w:cs="Times New Roman"/>
          <w:sz w:val="24"/>
          <w:szCs w:val="24"/>
        </w:rPr>
      </w:pPr>
      <w:r w:rsidRPr="008A09B2">
        <w:rPr>
          <w:rFonts w:ascii="Times New Roman" w:eastAsia="Times New Roman" w:hAnsi="Times New Roman" w:cs="Times New Roman"/>
          <w:color w:val="000000"/>
          <w:sz w:val="24"/>
          <w:szCs w:val="24"/>
        </w:rPr>
        <w:t>Observa-se que o percentual de IA, em especial de IA leve, foi a mais prevalente nos domicílios avaliados, cuja característica é uma preocupação de que falte a alimentação no domicílio. Além disso, foi possível inferir que a cor, sexo são fatores que influenciam na IAN dos domicílios. Desse modo, torna-se necessário o desenvolvimento de mais estudos nesse sentido para ampliar o conhecimento acerca da in (segurança) alimentar, fomentando informações substanciais aos gestores para o fortalecimento das ações voltadas à SAN para a população. </w:t>
      </w:r>
    </w:p>
    <w:p w14:paraId="39DFD47B" w14:textId="77777777" w:rsidR="006D2E39" w:rsidRPr="008A09B2" w:rsidRDefault="006D2E39" w:rsidP="006D2E39">
      <w:pPr>
        <w:spacing w:after="0" w:line="240" w:lineRule="auto"/>
        <w:rPr>
          <w:rFonts w:ascii="Times New Roman" w:eastAsia="Times New Roman" w:hAnsi="Times New Roman" w:cs="Times New Roman"/>
          <w:sz w:val="24"/>
          <w:szCs w:val="24"/>
        </w:rPr>
      </w:pPr>
    </w:p>
    <w:p w14:paraId="5AE73990" w14:textId="77777777" w:rsidR="006D2E39" w:rsidRPr="008A09B2" w:rsidRDefault="006D2E39" w:rsidP="00561B3E">
      <w:pPr>
        <w:pStyle w:val="PargrafodaLista"/>
        <w:numPr>
          <w:ilvl w:val="0"/>
          <w:numId w:val="38"/>
        </w:numPr>
        <w:spacing w:after="240" w:line="240" w:lineRule="auto"/>
        <w:ind w:left="284" w:hanging="284"/>
        <w:jc w:val="both"/>
        <w:rPr>
          <w:rFonts w:ascii="Times New Roman" w:eastAsia="Times New Roman" w:hAnsi="Times New Roman" w:cs="Times New Roman"/>
          <w:sz w:val="24"/>
          <w:szCs w:val="24"/>
        </w:rPr>
      </w:pPr>
      <w:r w:rsidRPr="008A09B2">
        <w:rPr>
          <w:rFonts w:ascii="Times New Roman" w:eastAsia="Times New Roman" w:hAnsi="Times New Roman" w:cs="Times New Roman"/>
          <w:b/>
          <w:bCs/>
          <w:color w:val="000000"/>
          <w:sz w:val="24"/>
          <w:szCs w:val="24"/>
        </w:rPr>
        <w:t>REFERÊNCIAS</w:t>
      </w:r>
    </w:p>
    <w:p w14:paraId="73984311" w14:textId="79EF164C" w:rsidR="006D2E39" w:rsidRPr="00B97C60" w:rsidRDefault="006D2E39" w:rsidP="00B97C60">
      <w:pPr>
        <w:spacing w:before="120" w:after="120" w:line="240" w:lineRule="auto"/>
        <w:jc w:val="both"/>
        <w:rPr>
          <w:rFonts w:ascii="Times New Roman" w:eastAsia="Times New Roman" w:hAnsi="Times New Roman" w:cs="Times New Roman"/>
        </w:rPr>
      </w:pPr>
      <w:r w:rsidRPr="00B97C60">
        <w:rPr>
          <w:rFonts w:ascii="Times New Roman" w:eastAsia="Times New Roman" w:hAnsi="Times New Roman" w:cs="Times New Roman"/>
        </w:rPr>
        <w:t>BRASIL.</w:t>
      </w:r>
      <w:hyperlink r:id="rId8" w:history="1">
        <w:r w:rsidRPr="00B97C60">
          <w:rPr>
            <w:rFonts w:ascii="Times New Roman" w:eastAsia="Times New Roman" w:hAnsi="Times New Roman" w:cs="Times New Roman"/>
            <w:u w:val="single"/>
          </w:rPr>
          <w:t xml:space="preserve"> Lei nº 11.346, de 15 de setembro de 2006.</w:t>
        </w:r>
      </w:hyperlink>
      <w:r w:rsidRPr="00B97C60">
        <w:rPr>
          <w:rFonts w:ascii="Times New Roman" w:eastAsia="Times New Roman" w:hAnsi="Times New Roman" w:cs="Times New Roman"/>
        </w:rPr>
        <w:t xml:space="preserve"> </w:t>
      </w:r>
      <w:r w:rsidRPr="00B97C60">
        <w:rPr>
          <w:rFonts w:ascii="Times New Roman" w:eastAsia="Times New Roman" w:hAnsi="Times New Roman" w:cs="Times New Roman"/>
          <w:b/>
          <w:bCs/>
        </w:rPr>
        <w:t>Lei Orgânica de Segurança Alimentar e Nutricional.</w:t>
      </w:r>
      <w:r w:rsidRPr="00B97C60">
        <w:rPr>
          <w:rFonts w:ascii="Times New Roman" w:eastAsia="Times New Roman" w:hAnsi="Times New Roman" w:cs="Times New Roman"/>
        </w:rPr>
        <w:t xml:space="preserve"> Brasília, DF, set 2006. Disponível em:&lt;</w:t>
      </w:r>
      <w:hyperlink r:id="rId9" w:history="1">
        <w:r w:rsidRPr="00B97C60">
          <w:rPr>
            <w:rStyle w:val="Hyperlink"/>
            <w:rFonts w:ascii="Times New Roman" w:eastAsia="Times New Roman" w:hAnsi="Times New Roman" w:cs="Times New Roman"/>
            <w:color w:val="auto"/>
          </w:rPr>
          <w:t xml:space="preserve"> http://www.planalto.gov.br/ccivil_03/_Ato2004-2006/2006/Lei/L11346.htm</w:t>
        </w:r>
      </w:hyperlink>
      <w:r w:rsidRPr="00B97C60">
        <w:rPr>
          <w:rFonts w:ascii="Times New Roman" w:eastAsia="Times New Roman" w:hAnsi="Times New Roman" w:cs="Times New Roman"/>
          <w:u w:val="single"/>
        </w:rPr>
        <w:t>&gt;</w:t>
      </w:r>
      <w:r w:rsidRPr="00B97C60">
        <w:rPr>
          <w:rFonts w:ascii="Times New Roman" w:eastAsia="Times New Roman" w:hAnsi="Times New Roman" w:cs="Times New Roman"/>
        </w:rPr>
        <w:t>. Acesso em: 04 de outubro de 2020.</w:t>
      </w:r>
    </w:p>
    <w:p w14:paraId="643762B5" w14:textId="4780A9E6" w:rsidR="009800C3" w:rsidRPr="00B97C60" w:rsidRDefault="009800C3" w:rsidP="00B97C60">
      <w:pPr>
        <w:spacing w:before="120" w:after="120" w:line="240" w:lineRule="auto"/>
        <w:jc w:val="both"/>
        <w:rPr>
          <w:rFonts w:ascii="Times New Roman" w:hAnsi="Times New Roman" w:cs="Times New Roman"/>
          <w:shd w:val="clear" w:color="auto" w:fill="FFFFFF"/>
        </w:rPr>
      </w:pPr>
      <w:r w:rsidRPr="00B97C60">
        <w:rPr>
          <w:rFonts w:ascii="Times New Roman" w:hAnsi="Times New Roman" w:cs="Times New Roman"/>
          <w:shd w:val="clear" w:color="auto" w:fill="FFFFFF"/>
        </w:rPr>
        <w:t>BENTO, Isabel Cristina</w:t>
      </w:r>
      <w:r w:rsidR="00EA78AD">
        <w:rPr>
          <w:rFonts w:ascii="Times New Roman" w:hAnsi="Times New Roman" w:cs="Times New Roman"/>
          <w:shd w:val="clear" w:color="auto" w:fill="FFFFFF"/>
        </w:rPr>
        <w:t>,</w:t>
      </w:r>
      <w:r w:rsidRPr="00B97C60">
        <w:rPr>
          <w:rFonts w:ascii="Times New Roman" w:hAnsi="Times New Roman" w:cs="Times New Roman"/>
          <w:shd w:val="clear" w:color="auto" w:fill="FFFFFF"/>
        </w:rPr>
        <w:t xml:space="preserve"> </w:t>
      </w:r>
      <w:r w:rsidRPr="00B97C60">
        <w:rPr>
          <w:rFonts w:ascii="Times New Roman" w:hAnsi="Times New Roman" w:cs="Times New Roman"/>
          <w:i/>
          <w:iCs/>
          <w:shd w:val="clear" w:color="auto" w:fill="FFFFFF"/>
        </w:rPr>
        <w:t>et al</w:t>
      </w:r>
      <w:r w:rsidRPr="00B97C60">
        <w:rPr>
          <w:rFonts w:ascii="Times New Roman" w:hAnsi="Times New Roman" w:cs="Times New Roman"/>
          <w:shd w:val="clear" w:color="auto" w:fill="FFFFFF"/>
        </w:rPr>
        <w:t>. Representações sociais de usuários de restaurantes populares sobre alimentação saudável associadas à sua condição domiciliar de (in) segurança alimentar. </w:t>
      </w:r>
      <w:r w:rsidRPr="00B97C60">
        <w:rPr>
          <w:rFonts w:ascii="Times New Roman" w:hAnsi="Times New Roman" w:cs="Times New Roman"/>
          <w:b/>
          <w:bCs/>
          <w:shd w:val="clear" w:color="auto" w:fill="FFFFFF"/>
        </w:rPr>
        <w:t>Revista de Nutrição</w:t>
      </w:r>
      <w:r w:rsidRPr="00B97C60">
        <w:rPr>
          <w:rFonts w:ascii="Times New Roman" w:hAnsi="Times New Roman" w:cs="Times New Roman"/>
          <w:shd w:val="clear" w:color="auto" w:fill="FFFFFF"/>
        </w:rPr>
        <w:t>, v. 29, n. 2, p. 229-240, 2016.</w:t>
      </w:r>
    </w:p>
    <w:p w14:paraId="215B5E24" w14:textId="03ACB14C" w:rsidR="00B97C60" w:rsidRPr="00B97C60" w:rsidRDefault="00B97C60" w:rsidP="00B97C60">
      <w:pPr>
        <w:autoSpaceDE w:val="0"/>
        <w:autoSpaceDN w:val="0"/>
        <w:adjustRightInd w:val="0"/>
        <w:spacing w:before="120" w:after="120"/>
        <w:jc w:val="both"/>
        <w:rPr>
          <w:rFonts w:ascii="Times New Roman" w:hAnsi="Times New Roman" w:cs="Times New Roman"/>
          <w:shd w:val="clear" w:color="auto" w:fill="FFFFFF"/>
        </w:rPr>
      </w:pPr>
      <w:r w:rsidRPr="00B97C60">
        <w:rPr>
          <w:rFonts w:ascii="Times New Roman" w:hAnsi="Times New Roman" w:cs="Times New Roman"/>
          <w:shd w:val="clear" w:color="auto" w:fill="FFFFFF"/>
        </w:rPr>
        <w:t>BURITY, Valéria</w:t>
      </w:r>
      <w:r w:rsidR="006D5D9C">
        <w:rPr>
          <w:rFonts w:ascii="Times New Roman" w:hAnsi="Times New Roman" w:cs="Times New Roman"/>
          <w:shd w:val="clear" w:color="auto" w:fill="FFFFFF"/>
        </w:rPr>
        <w:t xml:space="preserve">, </w:t>
      </w:r>
      <w:r w:rsidRPr="00B97C60">
        <w:rPr>
          <w:rFonts w:ascii="Times New Roman" w:hAnsi="Times New Roman" w:cs="Times New Roman"/>
          <w:i/>
          <w:iCs/>
          <w:shd w:val="clear" w:color="auto" w:fill="FFFFFF"/>
        </w:rPr>
        <w:t>et al</w:t>
      </w:r>
      <w:r w:rsidRPr="00B97C60">
        <w:rPr>
          <w:rFonts w:ascii="Times New Roman" w:hAnsi="Times New Roman" w:cs="Times New Roman"/>
          <w:shd w:val="clear" w:color="auto" w:fill="FFFFFF"/>
        </w:rPr>
        <w:t>. </w:t>
      </w:r>
      <w:r w:rsidRPr="00B97C60">
        <w:rPr>
          <w:rFonts w:ascii="Times New Roman" w:hAnsi="Times New Roman" w:cs="Times New Roman"/>
          <w:b/>
          <w:bCs/>
          <w:shd w:val="clear" w:color="auto" w:fill="FFFFFF"/>
        </w:rPr>
        <w:t>Direito humano à alimentação adequada no contexto da segurança alimentar e nutricional</w:t>
      </w:r>
      <w:r w:rsidRPr="00B97C60">
        <w:rPr>
          <w:rFonts w:ascii="Times New Roman" w:hAnsi="Times New Roman" w:cs="Times New Roman"/>
          <w:shd w:val="clear" w:color="auto" w:fill="FFFFFF"/>
        </w:rPr>
        <w:t xml:space="preserve">. Brasília: </w:t>
      </w:r>
      <w:proofErr w:type="spellStart"/>
      <w:r w:rsidRPr="00B97C60">
        <w:rPr>
          <w:rFonts w:ascii="Times New Roman" w:hAnsi="Times New Roman" w:cs="Times New Roman"/>
          <w:shd w:val="clear" w:color="auto" w:fill="FFFFFF"/>
        </w:rPr>
        <w:t>Abrandh</w:t>
      </w:r>
      <w:proofErr w:type="spellEnd"/>
      <w:r w:rsidRPr="00B97C60">
        <w:rPr>
          <w:rFonts w:ascii="Times New Roman" w:hAnsi="Times New Roman" w:cs="Times New Roman"/>
          <w:shd w:val="clear" w:color="auto" w:fill="FFFFFF"/>
        </w:rPr>
        <w:t>, 2010.</w:t>
      </w:r>
    </w:p>
    <w:p w14:paraId="14E215C9" w14:textId="77777777" w:rsidR="00B97C60" w:rsidRPr="00B97C60" w:rsidRDefault="00B97C60" w:rsidP="00B97C60">
      <w:pPr>
        <w:spacing w:before="120" w:after="120" w:line="240" w:lineRule="auto"/>
        <w:jc w:val="both"/>
        <w:rPr>
          <w:rFonts w:ascii="Times New Roman" w:eastAsia="Times New Roman" w:hAnsi="Times New Roman" w:cs="Times New Roman"/>
        </w:rPr>
      </w:pPr>
      <w:r w:rsidRPr="00B97C60">
        <w:rPr>
          <w:rFonts w:ascii="Times New Roman" w:hAnsi="Times New Roman" w:cs="Times New Roman"/>
          <w:shd w:val="clear" w:color="auto" w:fill="FFFFFF"/>
        </w:rPr>
        <w:t>BURLANDY, Luciene; SALLES-COSTA, R. Segurança alimentar e nutricional: concepções e desenhos de investigação. </w:t>
      </w:r>
      <w:proofErr w:type="spellStart"/>
      <w:r w:rsidRPr="00B97C60">
        <w:rPr>
          <w:rFonts w:ascii="Times New Roman" w:hAnsi="Times New Roman" w:cs="Times New Roman"/>
          <w:b/>
          <w:bCs/>
          <w:shd w:val="clear" w:color="auto" w:fill="FFFFFF"/>
        </w:rPr>
        <w:t>Kac</w:t>
      </w:r>
      <w:proofErr w:type="spellEnd"/>
      <w:r w:rsidRPr="00B97C60">
        <w:rPr>
          <w:rFonts w:ascii="Times New Roman" w:hAnsi="Times New Roman" w:cs="Times New Roman"/>
          <w:b/>
          <w:bCs/>
          <w:shd w:val="clear" w:color="auto" w:fill="FFFFFF"/>
        </w:rPr>
        <w:t xml:space="preserve"> G, </w:t>
      </w:r>
      <w:proofErr w:type="spellStart"/>
      <w:r w:rsidRPr="00B97C60">
        <w:rPr>
          <w:rFonts w:ascii="Times New Roman" w:hAnsi="Times New Roman" w:cs="Times New Roman"/>
          <w:b/>
          <w:bCs/>
          <w:shd w:val="clear" w:color="auto" w:fill="FFFFFF"/>
        </w:rPr>
        <w:t>Sichieri</w:t>
      </w:r>
      <w:proofErr w:type="spellEnd"/>
      <w:r w:rsidRPr="00B97C60">
        <w:rPr>
          <w:rFonts w:ascii="Times New Roman" w:hAnsi="Times New Roman" w:cs="Times New Roman"/>
          <w:b/>
          <w:bCs/>
          <w:shd w:val="clear" w:color="auto" w:fill="FFFFFF"/>
        </w:rPr>
        <w:t xml:space="preserve"> R, Gigante D, organizadores. Epidemiologia nutricional. Rio de Janeiro: Editora Fiocruz</w:t>
      </w:r>
      <w:r w:rsidRPr="00B97C60">
        <w:rPr>
          <w:rFonts w:ascii="Times New Roman" w:hAnsi="Times New Roman" w:cs="Times New Roman"/>
          <w:shd w:val="clear" w:color="auto" w:fill="FFFFFF"/>
        </w:rPr>
        <w:t>, p. 485-502, 2007.</w:t>
      </w:r>
      <w:r w:rsidRPr="00B97C60">
        <w:rPr>
          <w:rFonts w:ascii="Times New Roman" w:eastAsia="Times New Roman" w:hAnsi="Times New Roman" w:cs="Times New Roman"/>
        </w:rPr>
        <w:t xml:space="preserve"> </w:t>
      </w:r>
    </w:p>
    <w:p w14:paraId="688126EA" w14:textId="39372DBA" w:rsidR="006D2E39" w:rsidRPr="00B97C60" w:rsidRDefault="006D2E39" w:rsidP="00B97C60">
      <w:pPr>
        <w:spacing w:before="120" w:after="120" w:line="240" w:lineRule="auto"/>
        <w:jc w:val="both"/>
        <w:rPr>
          <w:rFonts w:ascii="Times New Roman" w:eastAsia="Times New Roman" w:hAnsi="Times New Roman" w:cs="Times New Roman"/>
        </w:rPr>
      </w:pPr>
      <w:r w:rsidRPr="00B97C60">
        <w:rPr>
          <w:rFonts w:ascii="Times New Roman" w:eastAsia="Times New Roman" w:hAnsi="Times New Roman" w:cs="Times New Roman"/>
        </w:rPr>
        <w:t xml:space="preserve">CONSEA - CONSELHO NACIONAL DE SEGURANÇA ALIMENTAR E NUTRICIONAL. </w:t>
      </w:r>
      <w:r w:rsidRPr="00B97C60">
        <w:rPr>
          <w:rFonts w:ascii="Times New Roman" w:eastAsia="Times New Roman" w:hAnsi="Times New Roman" w:cs="Times New Roman"/>
          <w:b/>
          <w:bCs/>
        </w:rPr>
        <w:t xml:space="preserve">II Conferência Nacional de Segurança Alimentar e Nutricional. A construção da Política Nacional de Segurança Alimentar e Nutricional. </w:t>
      </w:r>
      <w:r w:rsidRPr="00B97C60">
        <w:rPr>
          <w:rFonts w:ascii="Times New Roman" w:eastAsia="Times New Roman" w:hAnsi="Times New Roman" w:cs="Times New Roman"/>
          <w:b/>
          <w:bCs/>
          <w:i/>
          <w:iCs/>
        </w:rPr>
        <w:t>Relatório final</w:t>
      </w:r>
      <w:r w:rsidRPr="00B97C60">
        <w:rPr>
          <w:rFonts w:ascii="Times New Roman" w:eastAsia="Times New Roman" w:hAnsi="Times New Roman" w:cs="Times New Roman"/>
          <w:b/>
          <w:bCs/>
        </w:rPr>
        <w:t>.</w:t>
      </w:r>
      <w:r w:rsidRPr="00B97C60">
        <w:rPr>
          <w:rFonts w:ascii="Times New Roman" w:eastAsia="Times New Roman" w:hAnsi="Times New Roman" w:cs="Times New Roman"/>
        </w:rPr>
        <w:t xml:space="preserve"> Olinda, PE: </w:t>
      </w:r>
      <w:proofErr w:type="spellStart"/>
      <w:r w:rsidRPr="00B97C60">
        <w:rPr>
          <w:rFonts w:ascii="Times New Roman" w:eastAsia="Times New Roman" w:hAnsi="Times New Roman" w:cs="Times New Roman"/>
        </w:rPr>
        <w:t>Consea</w:t>
      </w:r>
      <w:proofErr w:type="spellEnd"/>
      <w:r w:rsidRPr="00B97C60">
        <w:rPr>
          <w:rFonts w:ascii="Times New Roman" w:eastAsia="Times New Roman" w:hAnsi="Times New Roman" w:cs="Times New Roman"/>
        </w:rPr>
        <w:t>, 2004.</w:t>
      </w:r>
    </w:p>
    <w:p w14:paraId="3DBED9BE" w14:textId="52D5794B" w:rsidR="006D2E39" w:rsidRPr="00B97C60" w:rsidRDefault="006D2E39" w:rsidP="00B97C60">
      <w:pPr>
        <w:spacing w:before="120" w:after="120" w:line="240" w:lineRule="auto"/>
        <w:jc w:val="both"/>
        <w:rPr>
          <w:rFonts w:ascii="Times New Roman" w:eastAsia="Times New Roman" w:hAnsi="Times New Roman" w:cs="Times New Roman"/>
        </w:rPr>
      </w:pPr>
      <w:r w:rsidRPr="00B97C60">
        <w:rPr>
          <w:rFonts w:ascii="Times New Roman" w:eastAsia="Times New Roman" w:hAnsi="Times New Roman" w:cs="Times New Roman"/>
          <w:shd w:val="clear" w:color="auto" w:fill="FFFFFF"/>
        </w:rPr>
        <w:t>FACCHINI, Luiz Augusto</w:t>
      </w:r>
      <w:r w:rsidR="00EA78AD">
        <w:rPr>
          <w:rFonts w:ascii="Times New Roman" w:eastAsia="Times New Roman" w:hAnsi="Times New Roman" w:cs="Times New Roman"/>
          <w:shd w:val="clear" w:color="auto" w:fill="FFFFFF"/>
        </w:rPr>
        <w:t>,</w:t>
      </w:r>
      <w:r w:rsidRPr="00B97C60">
        <w:rPr>
          <w:rFonts w:ascii="Times New Roman" w:eastAsia="Times New Roman" w:hAnsi="Times New Roman" w:cs="Times New Roman"/>
          <w:shd w:val="clear" w:color="auto" w:fill="FFFFFF"/>
        </w:rPr>
        <w:t xml:space="preserve"> </w:t>
      </w:r>
      <w:r w:rsidRPr="00B97C60">
        <w:rPr>
          <w:rFonts w:ascii="Times New Roman" w:eastAsia="Times New Roman" w:hAnsi="Times New Roman" w:cs="Times New Roman"/>
          <w:i/>
          <w:iCs/>
          <w:shd w:val="clear" w:color="auto" w:fill="FFFFFF"/>
        </w:rPr>
        <w:t>et al</w:t>
      </w:r>
      <w:r w:rsidRPr="00B97C60">
        <w:rPr>
          <w:rFonts w:ascii="Times New Roman" w:eastAsia="Times New Roman" w:hAnsi="Times New Roman" w:cs="Times New Roman"/>
          <w:shd w:val="clear" w:color="auto" w:fill="FFFFFF"/>
        </w:rPr>
        <w:t xml:space="preserve">. Insegurança alimentar no Nordeste e Sul do Brasil: magnitude, fatores associados e padrões de renda per capita para redução das iniquidades. </w:t>
      </w:r>
      <w:r w:rsidRPr="00B97C60">
        <w:rPr>
          <w:rFonts w:ascii="Times New Roman" w:eastAsia="Times New Roman" w:hAnsi="Times New Roman" w:cs="Times New Roman"/>
          <w:b/>
          <w:bCs/>
          <w:shd w:val="clear" w:color="auto" w:fill="FFFFFF"/>
        </w:rPr>
        <w:t>Cadernos de Saúde Pública</w:t>
      </w:r>
      <w:r w:rsidRPr="00B97C60">
        <w:rPr>
          <w:rFonts w:ascii="Times New Roman" w:eastAsia="Times New Roman" w:hAnsi="Times New Roman" w:cs="Times New Roman"/>
          <w:shd w:val="clear" w:color="auto" w:fill="FFFFFF"/>
        </w:rPr>
        <w:t>, v. 30, p. 161-174, 2014.</w:t>
      </w:r>
    </w:p>
    <w:p w14:paraId="5DB415BA" w14:textId="70FD7BBB" w:rsidR="006D2E39" w:rsidRPr="00B97C60" w:rsidRDefault="006D2E39" w:rsidP="00B97C60">
      <w:pPr>
        <w:spacing w:before="120" w:after="120" w:line="240" w:lineRule="auto"/>
        <w:jc w:val="both"/>
        <w:rPr>
          <w:rFonts w:ascii="Times New Roman" w:eastAsia="Times New Roman" w:hAnsi="Times New Roman" w:cs="Times New Roman"/>
        </w:rPr>
      </w:pPr>
      <w:r w:rsidRPr="00B97C60">
        <w:rPr>
          <w:rFonts w:ascii="Times New Roman" w:eastAsia="Times New Roman" w:hAnsi="Times New Roman" w:cs="Times New Roman"/>
          <w:shd w:val="clear" w:color="auto" w:fill="FFFFFF"/>
        </w:rPr>
        <w:t>FERREIRA, Haroldo da Silva</w:t>
      </w:r>
      <w:r w:rsidR="00EA78AD">
        <w:rPr>
          <w:rFonts w:ascii="Times New Roman" w:eastAsia="Times New Roman" w:hAnsi="Times New Roman" w:cs="Times New Roman"/>
          <w:shd w:val="clear" w:color="auto" w:fill="FFFFFF"/>
        </w:rPr>
        <w:t>,</w:t>
      </w:r>
      <w:r w:rsidRPr="00B97C60">
        <w:rPr>
          <w:rFonts w:ascii="Times New Roman" w:eastAsia="Times New Roman" w:hAnsi="Times New Roman" w:cs="Times New Roman"/>
          <w:shd w:val="clear" w:color="auto" w:fill="FFFFFF"/>
        </w:rPr>
        <w:t xml:space="preserve"> </w:t>
      </w:r>
      <w:r w:rsidRPr="00B97C60">
        <w:rPr>
          <w:rFonts w:ascii="Times New Roman" w:eastAsia="Times New Roman" w:hAnsi="Times New Roman" w:cs="Times New Roman"/>
          <w:i/>
          <w:iCs/>
          <w:shd w:val="clear" w:color="auto" w:fill="FFFFFF"/>
        </w:rPr>
        <w:t>et al</w:t>
      </w:r>
      <w:r w:rsidRPr="00B97C60">
        <w:rPr>
          <w:rFonts w:ascii="Times New Roman" w:eastAsia="Times New Roman" w:hAnsi="Times New Roman" w:cs="Times New Roman"/>
          <w:shd w:val="clear" w:color="auto" w:fill="FFFFFF"/>
        </w:rPr>
        <w:t xml:space="preserve">. Prevalência e fatores associados à Insegurança Alimentar e Nutricional em famílias dos municípios do norte de Alagoas, Brasil, 2010. </w:t>
      </w:r>
      <w:r w:rsidRPr="00B97C60">
        <w:rPr>
          <w:rFonts w:ascii="Times New Roman" w:eastAsia="Times New Roman" w:hAnsi="Times New Roman" w:cs="Times New Roman"/>
          <w:b/>
          <w:bCs/>
          <w:shd w:val="clear" w:color="auto" w:fill="FFFFFF"/>
        </w:rPr>
        <w:t>Ciência &amp; Saúde Coletiva</w:t>
      </w:r>
      <w:r w:rsidRPr="00B97C60">
        <w:rPr>
          <w:rFonts w:ascii="Times New Roman" w:eastAsia="Times New Roman" w:hAnsi="Times New Roman" w:cs="Times New Roman"/>
          <w:shd w:val="clear" w:color="auto" w:fill="FFFFFF"/>
        </w:rPr>
        <w:t>, v. 19, p. 1533-1542, 2014.</w:t>
      </w:r>
    </w:p>
    <w:p w14:paraId="60B27A41" w14:textId="77777777" w:rsidR="006D2E39" w:rsidRPr="00B97C60" w:rsidRDefault="006D2E39" w:rsidP="00B97C60">
      <w:pPr>
        <w:spacing w:before="120" w:after="120" w:line="240" w:lineRule="auto"/>
        <w:jc w:val="both"/>
        <w:rPr>
          <w:rFonts w:ascii="Times New Roman" w:eastAsia="Times New Roman" w:hAnsi="Times New Roman" w:cs="Times New Roman"/>
        </w:rPr>
      </w:pPr>
      <w:r w:rsidRPr="00B97C60">
        <w:rPr>
          <w:rFonts w:ascii="Times New Roman" w:eastAsia="Times New Roman" w:hAnsi="Times New Roman" w:cs="Times New Roman"/>
          <w:shd w:val="clear" w:color="auto" w:fill="FFFFFF"/>
        </w:rPr>
        <w:t xml:space="preserve">IBGE. </w:t>
      </w:r>
      <w:r w:rsidRPr="00B97C60">
        <w:rPr>
          <w:rFonts w:ascii="Times New Roman" w:eastAsia="Times New Roman" w:hAnsi="Times New Roman" w:cs="Times New Roman"/>
          <w:b/>
          <w:bCs/>
          <w:shd w:val="clear" w:color="auto" w:fill="FFFFFF"/>
        </w:rPr>
        <w:t xml:space="preserve">Pesquisa Nacional por Amostra de Domicílios. Segurança Alimentar, </w:t>
      </w:r>
      <w:r w:rsidRPr="00B97C60">
        <w:rPr>
          <w:rFonts w:ascii="Times New Roman" w:eastAsia="Times New Roman" w:hAnsi="Times New Roman" w:cs="Times New Roman"/>
          <w:shd w:val="clear" w:color="auto" w:fill="FFFFFF"/>
        </w:rPr>
        <w:t>2017. Disponível em: &lt;https://www.ibge.gov.br/&gt;. Acesso em: 11 jan. 2019.</w:t>
      </w:r>
    </w:p>
    <w:p w14:paraId="5F8A9872" w14:textId="629B0AE2" w:rsidR="00FB0D88" w:rsidRPr="00B97C60" w:rsidRDefault="006D2E39" w:rsidP="00B97C60">
      <w:pPr>
        <w:spacing w:before="120" w:after="120" w:line="240" w:lineRule="auto"/>
        <w:jc w:val="both"/>
        <w:rPr>
          <w:rFonts w:ascii="Times New Roman" w:eastAsia="Times New Roman" w:hAnsi="Times New Roman" w:cs="Times New Roman"/>
        </w:rPr>
      </w:pPr>
      <w:r w:rsidRPr="00B97C60">
        <w:rPr>
          <w:rFonts w:ascii="Times New Roman" w:eastAsia="Times New Roman" w:hAnsi="Times New Roman" w:cs="Times New Roman"/>
        </w:rPr>
        <w:t>SANTOS, T. G. DOS</w:t>
      </w:r>
      <w:r w:rsidR="00EA78AD">
        <w:rPr>
          <w:rFonts w:ascii="Times New Roman" w:eastAsia="Times New Roman" w:hAnsi="Times New Roman" w:cs="Times New Roman"/>
        </w:rPr>
        <w:t>,</w:t>
      </w:r>
      <w:r w:rsidRPr="00B97C60">
        <w:rPr>
          <w:rFonts w:ascii="Times New Roman" w:eastAsia="Times New Roman" w:hAnsi="Times New Roman" w:cs="Times New Roman"/>
        </w:rPr>
        <w:t xml:space="preserve"> </w:t>
      </w:r>
      <w:r w:rsidRPr="00B97C60">
        <w:rPr>
          <w:rFonts w:ascii="Times New Roman" w:eastAsia="Times New Roman" w:hAnsi="Times New Roman" w:cs="Times New Roman"/>
          <w:i/>
          <w:iCs/>
        </w:rPr>
        <w:t>et al</w:t>
      </w:r>
      <w:r w:rsidRPr="00B97C60">
        <w:rPr>
          <w:rFonts w:ascii="Times New Roman" w:eastAsia="Times New Roman" w:hAnsi="Times New Roman" w:cs="Times New Roman"/>
        </w:rPr>
        <w:t xml:space="preserve">. Tendência e fatores associados à insegurança alimentar no Brasil: Pesquisa Nacional por Amostra de Domicílios 2004, 2009 e 2013. </w:t>
      </w:r>
      <w:r w:rsidRPr="00B97C60">
        <w:rPr>
          <w:rFonts w:ascii="Times New Roman" w:eastAsia="Times New Roman" w:hAnsi="Times New Roman" w:cs="Times New Roman"/>
          <w:b/>
          <w:bCs/>
        </w:rPr>
        <w:t>Cadernos de Saúde Pública</w:t>
      </w:r>
      <w:r w:rsidRPr="00B97C60">
        <w:rPr>
          <w:rFonts w:ascii="Times New Roman" w:eastAsia="Times New Roman" w:hAnsi="Times New Roman" w:cs="Times New Roman"/>
        </w:rPr>
        <w:t xml:space="preserve">, v. 34, n. 4, p. 1–17, 2018. </w:t>
      </w:r>
    </w:p>
    <w:sectPr w:rsidR="00FB0D88" w:rsidRPr="00B97C60" w:rsidSect="006650E9">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89B5" w14:textId="77777777" w:rsidR="00937819" w:rsidRDefault="00937819" w:rsidP="00FA6FD1">
      <w:pPr>
        <w:spacing w:after="0" w:line="240" w:lineRule="auto"/>
      </w:pPr>
      <w:r>
        <w:separator/>
      </w:r>
    </w:p>
  </w:endnote>
  <w:endnote w:type="continuationSeparator" w:id="0">
    <w:p w14:paraId="14F24CEF" w14:textId="77777777" w:rsidR="00937819" w:rsidRDefault="00937819"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rostile LT Std">
    <w:altName w:val="Arial"/>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921140"/>
      <w:docPartObj>
        <w:docPartGallery w:val="Page Numbers (Bottom of Page)"/>
        <w:docPartUnique/>
      </w:docPartObj>
    </w:sdtPr>
    <w:sdtEndPr/>
    <w:sdtContent>
      <w:p w14:paraId="17DE05D2" w14:textId="6E6C10E7" w:rsidR="00860696" w:rsidRDefault="00860696">
        <w:pPr>
          <w:pStyle w:val="Rodap"/>
          <w:jc w:val="right"/>
        </w:pPr>
        <w:r>
          <w:fldChar w:fldCharType="begin"/>
        </w:r>
        <w:r>
          <w:instrText>PAGE   \* MERGEFORMAT</w:instrText>
        </w:r>
        <w:r>
          <w:fldChar w:fldCharType="separate"/>
        </w:r>
        <w:r>
          <w:t>2</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4E73" w14:textId="77777777" w:rsidR="00937819" w:rsidRDefault="00937819" w:rsidP="00FA6FD1">
      <w:pPr>
        <w:spacing w:after="0" w:line="240" w:lineRule="auto"/>
      </w:pPr>
      <w:r>
        <w:separator/>
      </w:r>
    </w:p>
  </w:footnote>
  <w:footnote w:type="continuationSeparator" w:id="0">
    <w:p w14:paraId="40B1AFEB" w14:textId="77777777" w:rsidR="00937819" w:rsidRDefault="00937819"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0D4C06"/>
    <w:multiLevelType w:val="hybridMultilevel"/>
    <w:tmpl w:val="CBBEE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66697C"/>
    <w:multiLevelType w:val="multilevel"/>
    <w:tmpl w:val="6706DFA8"/>
    <w:lvl w:ilvl="0">
      <w:start w:val="1"/>
      <w:numFmt w:val="decimal"/>
      <w:lvlText w:val="%1"/>
      <w:lvlJc w:val="left"/>
      <w:pPr>
        <w:ind w:left="720" w:hanging="360"/>
      </w:pPr>
      <w:rPr>
        <w:rFonts w:hint="default"/>
        <w:b/>
        <w:bCs/>
        <w:color w:val="000000"/>
      </w:rPr>
    </w:lvl>
    <w:lvl w:ilvl="1">
      <w:start w:val="4"/>
      <w:numFmt w:val="decimal"/>
      <w:isLgl/>
      <w:lvlText w:val="%1.%2"/>
      <w:lvlJc w:val="left"/>
      <w:pPr>
        <w:ind w:left="720" w:hanging="360"/>
      </w:pPr>
      <w:rPr>
        <w:rFonts w:hint="default"/>
        <w:i/>
        <w:color w:val="000000"/>
      </w:rPr>
    </w:lvl>
    <w:lvl w:ilvl="2">
      <w:start w:val="1"/>
      <w:numFmt w:val="decimal"/>
      <w:isLgl/>
      <w:lvlText w:val="%1.%2.%3"/>
      <w:lvlJc w:val="left"/>
      <w:pPr>
        <w:ind w:left="1080" w:hanging="720"/>
      </w:pPr>
      <w:rPr>
        <w:rFonts w:hint="default"/>
        <w:i/>
        <w:color w:val="000000"/>
      </w:rPr>
    </w:lvl>
    <w:lvl w:ilvl="3">
      <w:start w:val="1"/>
      <w:numFmt w:val="decimal"/>
      <w:isLgl/>
      <w:lvlText w:val="%1.%2.%3.%4"/>
      <w:lvlJc w:val="left"/>
      <w:pPr>
        <w:ind w:left="1080" w:hanging="720"/>
      </w:pPr>
      <w:rPr>
        <w:rFonts w:hint="default"/>
        <w:i/>
        <w:color w:val="000000"/>
      </w:rPr>
    </w:lvl>
    <w:lvl w:ilvl="4">
      <w:start w:val="1"/>
      <w:numFmt w:val="decimal"/>
      <w:isLgl/>
      <w:lvlText w:val="%1.%2.%3.%4.%5"/>
      <w:lvlJc w:val="left"/>
      <w:pPr>
        <w:ind w:left="1440" w:hanging="1080"/>
      </w:pPr>
      <w:rPr>
        <w:rFonts w:hint="default"/>
        <w:i/>
        <w:color w:val="000000"/>
      </w:rPr>
    </w:lvl>
    <w:lvl w:ilvl="5">
      <w:start w:val="1"/>
      <w:numFmt w:val="decimal"/>
      <w:isLgl/>
      <w:lvlText w:val="%1.%2.%3.%4.%5.%6"/>
      <w:lvlJc w:val="left"/>
      <w:pPr>
        <w:ind w:left="1440" w:hanging="1080"/>
      </w:pPr>
      <w:rPr>
        <w:rFonts w:hint="default"/>
        <w:i/>
        <w:color w:val="000000"/>
      </w:rPr>
    </w:lvl>
    <w:lvl w:ilvl="6">
      <w:start w:val="1"/>
      <w:numFmt w:val="decimal"/>
      <w:isLgl/>
      <w:lvlText w:val="%1.%2.%3.%4.%5.%6.%7"/>
      <w:lvlJc w:val="left"/>
      <w:pPr>
        <w:ind w:left="1800" w:hanging="1440"/>
      </w:pPr>
      <w:rPr>
        <w:rFonts w:hint="default"/>
        <w:i/>
        <w:color w:val="000000"/>
      </w:rPr>
    </w:lvl>
    <w:lvl w:ilvl="7">
      <w:start w:val="1"/>
      <w:numFmt w:val="decimal"/>
      <w:isLgl/>
      <w:lvlText w:val="%1.%2.%3.%4.%5.%6.%7.%8"/>
      <w:lvlJc w:val="left"/>
      <w:pPr>
        <w:ind w:left="1800" w:hanging="1440"/>
      </w:pPr>
      <w:rPr>
        <w:rFonts w:hint="default"/>
        <w:i/>
        <w:color w:val="000000"/>
      </w:rPr>
    </w:lvl>
    <w:lvl w:ilvl="8">
      <w:start w:val="1"/>
      <w:numFmt w:val="decimal"/>
      <w:isLgl/>
      <w:lvlText w:val="%1.%2.%3.%4.%5.%6.%7.%8.%9"/>
      <w:lvlJc w:val="left"/>
      <w:pPr>
        <w:ind w:left="2160" w:hanging="1800"/>
      </w:pPr>
      <w:rPr>
        <w:rFonts w:hint="default"/>
        <w:i/>
        <w:color w:val="000000"/>
      </w:rPr>
    </w:lvl>
  </w:abstractNum>
  <w:abstractNum w:abstractNumId="19"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402CC1"/>
    <w:multiLevelType w:val="hybridMultilevel"/>
    <w:tmpl w:val="18D85A5C"/>
    <w:lvl w:ilvl="0" w:tplc="4DEE3D0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3"/>
  </w:num>
  <w:num w:numId="3">
    <w:abstractNumId w:val="30"/>
  </w:num>
  <w:num w:numId="4">
    <w:abstractNumId w:val="25"/>
  </w:num>
  <w:num w:numId="5">
    <w:abstractNumId w:val="3"/>
  </w:num>
  <w:num w:numId="6">
    <w:abstractNumId w:val="11"/>
  </w:num>
  <w:num w:numId="7">
    <w:abstractNumId w:val="26"/>
  </w:num>
  <w:num w:numId="8">
    <w:abstractNumId w:val="23"/>
  </w:num>
  <w:num w:numId="9">
    <w:abstractNumId w:val="19"/>
  </w:num>
  <w:num w:numId="10">
    <w:abstractNumId w:val="34"/>
  </w:num>
  <w:num w:numId="11">
    <w:abstractNumId w:val="5"/>
  </w:num>
  <w:num w:numId="12">
    <w:abstractNumId w:val="31"/>
  </w:num>
  <w:num w:numId="13">
    <w:abstractNumId w:val="7"/>
  </w:num>
  <w:num w:numId="14">
    <w:abstractNumId w:val="9"/>
  </w:num>
  <w:num w:numId="15">
    <w:abstractNumId w:val="20"/>
  </w:num>
  <w:num w:numId="16">
    <w:abstractNumId w:val="36"/>
  </w:num>
  <w:num w:numId="17">
    <w:abstractNumId w:val="8"/>
  </w:num>
  <w:num w:numId="18">
    <w:abstractNumId w:val="29"/>
  </w:num>
  <w:num w:numId="19">
    <w:abstractNumId w:val="17"/>
  </w:num>
  <w:num w:numId="20">
    <w:abstractNumId w:val="15"/>
  </w:num>
  <w:num w:numId="21">
    <w:abstractNumId w:val="14"/>
  </w:num>
  <w:num w:numId="22">
    <w:abstractNumId w:val="33"/>
  </w:num>
  <w:num w:numId="23">
    <w:abstractNumId w:val="27"/>
  </w:num>
  <w:num w:numId="24">
    <w:abstractNumId w:val="12"/>
  </w:num>
  <w:num w:numId="25">
    <w:abstractNumId w:val="37"/>
  </w:num>
  <w:num w:numId="26">
    <w:abstractNumId w:val="2"/>
  </w:num>
  <w:num w:numId="27">
    <w:abstractNumId w:val="35"/>
  </w:num>
  <w:num w:numId="28">
    <w:abstractNumId w:val="21"/>
  </w:num>
  <w:num w:numId="29">
    <w:abstractNumId w:val="1"/>
  </w:num>
  <w:num w:numId="30">
    <w:abstractNumId w:val="16"/>
  </w:num>
  <w:num w:numId="31">
    <w:abstractNumId w:val="10"/>
  </w:num>
  <w:num w:numId="32">
    <w:abstractNumId w:val="28"/>
  </w:num>
  <w:num w:numId="33">
    <w:abstractNumId w:val="24"/>
  </w:num>
  <w:num w:numId="34">
    <w:abstractNumId w:val="6"/>
  </w:num>
  <w:num w:numId="35">
    <w:abstractNumId w:val="0"/>
  </w:num>
  <w:num w:numId="36">
    <w:abstractNumId w:val="4"/>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D1"/>
    <w:rsid w:val="00006E82"/>
    <w:rsid w:val="00017E47"/>
    <w:rsid w:val="00034B03"/>
    <w:rsid w:val="00035A1C"/>
    <w:rsid w:val="00040523"/>
    <w:rsid w:val="000406C5"/>
    <w:rsid w:val="0006694D"/>
    <w:rsid w:val="000863FD"/>
    <w:rsid w:val="000938C3"/>
    <w:rsid w:val="00095D76"/>
    <w:rsid w:val="000A7C98"/>
    <w:rsid w:val="000F53D7"/>
    <w:rsid w:val="00183512"/>
    <w:rsid w:val="0018494D"/>
    <w:rsid w:val="001A2E8B"/>
    <w:rsid w:val="002355E7"/>
    <w:rsid w:val="002B1E03"/>
    <w:rsid w:val="00317A62"/>
    <w:rsid w:val="00320AEE"/>
    <w:rsid w:val="00331278"/>
    <w:rsid w:val="003333B4"/>
    <w:rsid w:val="003342DD"/>
    <w:rsid w:val="003433F0"/>
    <w:rsid w:val="00375EFA"/>
    <w:rsid w:val="003C4164"/>
    <w:rsid w:val="003C5DBA"/>
    <w:rsid w:val="003E6CD3"/>
    <w:rsid w:val="003F677D"/>
    <w:rsid w:val="00424194"/>
    <w:rsid w:val="004538A4"/>
    <w:rsid w:val="00464E3A"/>
    <w:rsid w:val="004A7BEB"/>
    <w:rsid w:val="004B24FE"/>
    <w:rsid w:val="004D28A3"/>
    <w:rsid w:val="004E1AC9"/>
    <w:rsid w:val="004E3C1F"/>
    <w:rsid w:val="00503CEA"/>
    <w:rsid w:val="005207CC"/>
    <w:rsid w:val="00527298"/>
    <w:rsid w:val="00550C73"/>
    <w:rsid w:val="005541CA"/>
    <w:rsid w:val="00561B3E"/>
    <w:rsid w:val="00572A77"/>
    <w:rsid w:val="0058713B"/>
    <w:rsid w:val="005B2180"/>
    <w:rsid w:val="005B30D2"/>
    <w:rsid w:val="005B4161"/>
    <w:rsid w:val="005E7BBB"/>
    <w:rsid w:val="005F1769"/>
    <w:rsid w:val="005F2DFF"/>
    <w:rsid w:val="005F2FF8"/>
    <w:rsid w:val="00606806"/>
    <w:rsid w:val="006072F0"/>
    <w:rsid w:val="00625F2F"/>
    <w:rsid w:val="00644032"/>
    <w:rsid w:val="00647D82"/>
    <w:rsid w:val="006650E9"/>
    <w:rsid w:val="0069251C"/>
    <w:rsid w:val="006C06E1"/>
    <w:rsid w:val="006D2E39"/>
    <w:rsid w:val="006D47E4"/>
    <w:rsid w:val="006D5D9C"/>
    <w:rsid w:val="006E4A01"/>
    <w:rsid w:val="007063B9"/>
    <w:rsid w:val="0074074C"/>
    <w:rsid w:val="00752BC9"/>
    <w:rsid w:val="00762035"/>
    <w:rsid w:val="0076541E"/>
    <w:rsid w:val="007817F5"/>
    <w:rsid w:val="00795D65"/>
    <w:rsid w:val="007A4EAB"/>
    <w:rsid w:val="007E4D75"/>
    <w:rsid w:val="007F47EE"/>
    <w:rsid w:val="0080789C"/>
    <w:rsid w:val="00832C81"/>
    <w:rsid w:val="008514A6"/>
    <w:rsid w:val="00854D34"/>
    <w:rsid w:val="00860696"/>
    <w:rsid w:val="00867312"/>
    <w:rsid w:val="008C58E0"/>
    <w:rsid w:val="008D56FB"/>
    <w:rsid w:val="008E755C"/>
    <w:rsid w:val="008E75D5"/>
    <w:rsid w:val="00901104"/>
    <w:rsid w:val="009101E3"/>
    <w:rsid w:val="00923C61"/>
    <w:rsid w:val="00937819"/>
    <w:rsid w:val="00941B6B"/>
    <w:rsid w:val="009800C3"/>
    <w:rsid w:val="009863FA"/>
    <w:rsid w:val="009F33D4"/>
    <w:rsid w:val="009F432C"/>
    <w:rsid w:val="00A20D3E"/>
    <w:rsid w:val="00A24299"/>
    <w:rsid w:val="00A34B5A"/>
    <w:rsid w:val="00A40325"/>
    <w:rsid w:val="00A4609F"/>
    <w:rsid w:val="00A560BE"/>
    <w:rsid w:val="00A71464"/>
    <w:rsid w:val="00A76941"/>
    <w:rsid w:val="00AA40F5"/>
    <w:rsid w:val="00AB1E3E"/>
    <w:rsid w:val="00AB51CF"/>
    <w:rsid w:val="00AC4FB9"/>
    <w:rsid w:val="00B1310D"/>
    <w:rsid w:val="00B161BD"/>
    <w:rsid w:val="00B21BF6"/>
    <w:rsid w:val="00B32686"/>
    <w:rsid w:val="00B53B07"/>
    <w:rsid w:val="00B620C3"/>
    <w:rsid w:val="00B83D9C"/>
    <w:rsid w:val="00B87393"/>
    <w:rsid w:val="00B97A27"/>
    <w:rsid w:val="00B97C60"/>
    <w:rsid w:val="00BC11C4"/>
    <w:rsid w:val="00BD7BA4"/>
    <w:rsid w:val="00BE1BD2"/>
    <w:rsid w:val="00BF6B8B"/>
    <w:rsid w:val="00BF713A"/>
    <w:rsid w:val="00C01023"/>
    <w:rsid w:val="00C12426"/>
    <w:rsid w:val="00C35C7A"/>
    <w:rsid w:val="00C41485"/>
    <w:rsid w:val="00C504ED"/>
    <w:rsid w:val="00C652E3"/>
    <w:rsid w:val="00C65AE8"/>
    <w:rsid w:val="00C82259"/>
    <w:rsid w:val="00CC0FE0"/>
    <w:rsid w:val="00CF724E"/>
    <w:rsid w:val="00D05B52"/>
    <w:rsid w:val="00D161CE"/>
    <w:rsid w:val="00D307ED"/>
    <w:rsid w:val="00D423AE"/>
    <w:rsid w:val="00D57F24"/>
    <w:rsid w:val="00D81533"/>
    <w:rsid w:val="00D83AAF"/>
    <w:rsid w:val="00D846DE"/>
    <w:rsid w:val="00DA0613"/>
    <w:rsid w:val="00DA114C"/>
    <w:rsid w:val="00DA26B6"/>
    <w:rsid w:val="00DB0D28"/>
    <w:rsid w:val="00DC59F2"/>
    <w:rsid w:val="00DD0911"/>
    <w:rsid w:val="00DE0DD8"/>
    <w:rsid w:val="00DE10C2"/>
    <w:rsid w:val="00E030E1"/>
    <w:rsid w:val="00E050C5"/>
    <w:rsid w:val="00E47392"/>
    <w:rsid w:val="00E521EC"/>
    <w:rsid w:val="00E53E15"/>
    <w:rsid w:val="00E7394C"/>
    <w:rsid w:val="00EA78AD"/>
    <w:rsid w:val="00EB6FD2"/>
    <w:rsid w:val="00EC212B"/>
    <w:rsid w:val="00EC3929"/>
    <w:rsid w:val="00EC7F10"/>
    <w:rsid w:val="00ED519C"/>
    <w:rsid w:val="00EF1307"/>
    <w:rsid w:val="00F37FD4"/>
    <w:rsid w:val="00F57CEA"/>
    <w:rsid w:val="00F7123A"/>
    <w:rsid w:val="00FA3E86"/>
    <w:rsid w:val="00FA6FD1"/>
    <w:rsid w:val="00FB0D88"/>
    <w:rsid w:val="00FB67B1"/>
    <w:rsid w:val="00FC5721"/>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3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paragraph" w:styleId="NormalWeb">
    <w:name w:val="Normal (Web)"/>
    <w:basedOn w:val="Normal"/>
    <w:uiPriority w:val="99"/>
    <w:unhideWhenUsed/>
    <w:rsid w:val="00665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650E9"/>
  </w:style>
  <w:style w:type="character" w:styleId="Refdecomentrio">
    <w:name w:val="annotation reference"/>
    <w:basedOn w:val="Fontepargpadro"/>
    <w:uiPriority w:val="99"/>
    <w:semiHidden/>
    <w:unhideWhenUsed/>
    <w:rsid w:val="008E755C"/>
    <w:rPr>
      <w:sz w:val="16"/>
      <w:szCs w:val="16"/>
    </w:rPr>
  </w:style>
  <w:style w:type="paragraph" w:styleId="Assuntodocomentrio">
    <w:name w:val="annotation subject"/>
    <w:basedOn w:val="Textodecomentrio"/>
    <w:next w:val="Textodecomentrio"/>
    <w:link w:val="AssuntodocomentrioChar"/>
    <w:uiPriority w:val="99"/>
    <w:semiHidden/>
    <w:unhideWhenUsed/>
    <w:rsid w:val="008E755C"/>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8E755C"/>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1443644025">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1.346-2006?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www.planalto.gov.br/ccivil_03/_Ato2004-2006/2006/Lei/L113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0766-2794-4BF6-88E7-3A5A1CD3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2284</Words>
  <Characters>12336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Shayane</cp:lastModifiedBy>
  <cp:revision>4</cp:revision>
  <cp:lastPrinted>2018-08-03T23:15:00Z</cp:lastPrinted>
  <dcterms:created xsi:type="dcterms:W3CDTF">2020-11-03T03:01:00Z</dcterms:created>
  <dcterms:modified xsi:type="dcterms:W3CDTF">2020-11-04T16:36:00Z</dcterms:modified>
</cp:coreProperties>
</file>