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31AA" w14:textId="1F1E0FD3" w:rsidR="0082320D" w:rsidRDefault="007565FD" w:rsidP="00756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359507"/>
      <w:bookmarkStart w:id="1" w:name="_GoBack"/>
      <w:bookmarkEnd w:id="0"/>
      <w:bookmarkEnd w:id="1"/>
      <w:r w:rsidRPr="007565FD">
        <w:rPr>
          <w:rFonts w:ascii="Times New Roman" w:hAnsi="Times New Roman" w:cs="Times New Roman"/>
          <w:b/>
          <w:bCs/>
          <w:sz w:val="28"/>
          <w:szCs w:val="28"/>
        </w:rPr>
        <w:t>SARCOPENIA: SERIA A MICR</w:t>
      </w:r>
      <w:r w:rsidR="00FE78E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565FD">
        <w:rPr>
          <w:rFonts w:ascii="Times New Roman" w:hAnsi="Times New Roman" w:cs="Times New Roman"/>
          <w:b/>
          <w:bCs/>
          <w:sz w:val="28"/>
          <w:szCs w:val="28"/>
        </w:rPr>
        <w:t>BIOTA INTESTINAL UM POTENCIAL CONTRIBUINTE?</w:t>
      </w:r>
    </w:p>
    <w:p w14:paraId="588DDF28" w14:textId="55B6F153" w:rsidR="007565FD" w:rsidRPr="00F70E1F" w:rsidRDefault="007565FD" w:rsidP="007565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58572" w14:textId="0CBF58C9" w:rsidR="00E54B0A" w:rsidRDefault="005F63E1" w:rsidP="007565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761DA28" w14:textId="5F791DF5" w:rsidR="00144B86" w:rsidRDefault="0059547E" w:rsidP="00BD3D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8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D3D83">
        <w:rPr>
          <w:rFonts w:ascii="Times New Roman" w:hAnsi="Times New Roman" w:cs="Times New Roman"/>
          <w:sz w:val="24"/>
          <w:szCs w:val="24"/>
        </w:rPr>
        <w:t xml:space="preserve"> </w:t>
      </w:r>
      <w:r w:rsidR="006D1843" w:rsidRPr="00BD3D83">
        <w:rPr>
          <w:rFonts w:ascii="Times New Roman" w:hAnsi="Times New Roman" w:cs="Times New Roman"/>
          <w:sz w:val="24"/>
          <w:szCs w:val="24"/>
        </w:rPr>
        <w:t>A literatura apoia um possível “eixo intestinal – músculo”, onde a microbiota pode atuar como mediadora dos efeitos da nutrição no músculo.</w:t>
      </w:r>
      <w:r w:rsidR="00CD56E1">
        <w:rPr>
          <w:rFonts w:ascii="Times New Roman" w:hAnsi="Times New Roman" w:cs="Times New Roman"/>
          <w:sz w:val="24"/>
          <w:szCs w:val="24"/>
        </w:rPr>
        <w:t xml:space="preserve"> </w:t>
      </w:r>
      <w:r w:rsidR="00CD56E1" w:rsidRPr="006A076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D1843" w:rsidRPr="00BD3D83">
        <w:rPr>
          <w:rFonts w:ascii="Times New Roman" w:hAnsi="Times New Roman" w:cs="Times New Roman"/>
          <w:sz w:val="24"/>
          <w:szCs w:val="24"/>
        </w:rPr>
        <w:t xml:space="preserve"> </w:t>
      </w:r>
      <w:r w:rsidR="00CD56E1" w:rsidRPr="00CD56E1">
        <w:rPr>
          <w:rFonts w:ascii="Times New Roman" w:hAnsi="Times New Roman" w:cs="Times New Roman"/>
          <w:sz w:val="24"/>
        </w:rPr>
        <w:t>D</w:t>
      </w:r>
      <w:r w:rsidR="001B29BE" w:rsidRPr="00CD56E1">
        <w:rPr>
          <w:rFonts w:ascii="Times New Roman" w:hAnsi="Times New Roman" w:cs="Times New Roman"/>
          <w:sz w:val="24"/>
        </w:rPr>
        <w:t xml:space="preserve">escrever </w:t>
      </w:r>
      <w:r w:rsidR="005A38A7">
        <w:rPr>
          <w:rFonts w:ascii="Times New Roman" w:hAnsi="Times New Roman" w:cs="Times New Roman"/>
          <w:sz w:val="24"/>
        </w:rPr>
        <w:t xml:space="preserve">sobre </w:t>
      </w:r>
      <w:r w:rsidR="001B29BE" w:rsidRPr="00CD56E1">
        <w:rPr>
          <w:rFonts w:ascii="Times New Roman" w:hAnsi="Times New Roman" w:cs="Times New Roman"/>
          <w:sz w:val="24"/>
        </w:rPr>
        <w:t>a possível associação entre a microbiota intestinal e o desenvolvimento da sarcopenia</w:t>
      </w:r>
      <w:r w:rsidR="001B29BE">
        <w:rPr>
          <w:rFonts w:ascii="Times New Roman" w:hAnsi="Times New Roman" w:cs="Times New Roman"/>
          <w:sz w:val="24"/>
        </w:rPr>
        <w:t xml:space="preserve">. </w:t>
      </w:r>
      <w:r w:rsidRPr="00BD3D83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="00144B86" w:rsidRPr="00BD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B86" w:rsidRPr="00BD3D83">
        <w:rPr>
          <w:rFonts w:ascii="Times New Roman" w:hAnsi="Times New Roman" w:cs="Times New Roman"/>
          <w:sz w:val="24"/>
          <w:szCs w:val="24"/>
        </w:rPr>
        <w:t>Trata-se de uma revisão narrativa da literatura com caráter exploratório, com busca nas bases de dados Pub</w:t>
      </w:r>
      <w:r w:rsidR="00E62DD4">
        <w:rPr>
          <w:rFonts w:ascii="Times New Roman" w:hAnsi="Times New Roman" w:cs="Times New Roman"/>
          <w:sz w:val="24"/>
          <w:szCs w:val="24"/>
        </w:rPr>
        <w:t>M</w:t>
      </w:r>
      <w:r w:rsidR="00144B86" w:rsidRPr="00BD3D83">
        <w:rPr>
          <w:rFonts w:ascii="Times New Roman" w:hAnsi="Times New Roman" w:cs="Times New Roman"/>
          <w:sz w:val="24"/>
          <w:szCs w:val="24"/>
        </w:rPr>
        <w:t xml:space="preserve">ed e </w:t>
      </w:r>
      <w:r w:rsidR="00544D5B" w:rsidRPr="00BD3D83">
        <w:rPr>
          <w:rFonts w:ascii="Times New Roman" w:hAnsi="Times New Roman" w:cs="Times New Roman"/>
          <w:sz w:val="24"/>
          <w:szCs w:val="24"/>
        </w:rPr>
        <w:t>Sci</w:t>
      </w:r>
      <w:r w:rsidR="00544D5B">
        <w:rPr>
          <w:rFonts w:ascii="Times New Roman" w:hAnsi="Times New Roman" w:cs="Times New Roman"/>
          <w:sz w:val="24"/>
          <w:szCs w:val="24"/>
        </w:rPr>
        <w:t>ELO</w:t>
      </w:r>
      <w:r w:rsidR="00544D5B" w:rsidRPr="00BD3D83">
        <w:rPr>
          <w:rFonts w:ascii="Times New Roman" w:hAnsi="Times New Roman" w:cs="Times New Roman"/>
          <w:sz w:val="24"/>
          <w:szCs w:val="24"/>
        </w:rPr>
        <w:t xml:space="preserve"> </w:t>
      </w:r>
      <w:r w:rsidR="00144B86" w:rsidRPr="00BD3D83">
        <w:rPr>
          <w:rFonts w:ascii="Times New Roman" w:hAnsi="Times New Roman" w:cs="Times New Roman"/>
          <w:sz w:val="24"/>
          <w:szCs w:val="24"/>
        </w:rPr>
        <w:t>e descritores</w:t>
      </w:r>
      <w:r w:rsidR="00466BD2" w:rsidRPr="00BD3D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6BD2" w:rsidRPr="00BD3D83">
        <w:rPr>
          <w:rFonts w:ascii="Times New Roman" w:hAnsi="Times New Roman" w:cs="Times New Roman"/>
          <w:sz w:val="24"/>
          <w:szCs w:val="24"/>
        </w:rPr>
        <w:t xml:space="preserve">“Gastrointestinal Microbiota” or “Gastrointestinal microbiome” or “microbiota” and sarcopenia and “ </w:t>
      </w:r>
      <w:bookmarkStart w:id="2" w:name="_Hlk53395770"/>
      <w:r w:rsidR="00466BD2" w:rsidRPr="00015AC6">
        <w:rPr>
          <w:rFonts w:ascii="Times New Roman" w:hAnsi="Times New Roman" w:cs="Times New Roman"/>
          <w:color w:val="000000" w:themeColor="text1"/>
          <w:sz w:val="24"/>
          <w:szCs w:val="24"/>
        </w:rPr>
        <w:t>gut-muscle axis</w:t>
      </w:r>
      <w:bookmarkEnd w:id="2"/>
      <w:r w:rsidR="00466BD2" w:rsidRPr="00015AC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44B86" w:rsidRPr="00015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B86" w:rsidRPr="00BD3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RESULTADOS: </w:t>
      </w:r>
      <w:r w:rsidR="006E5877" w:rsidRPr="00BD3D83">
        <w:rPr>
          <w:rFonts w:ascii="Times New Roman" w:hAnsi="Times New Roman" w:cs="Times New Roman"/>
          <w:sz w:val="24"/>
          <w:szCs w:val="24"/>
        </w:rPr>
        <w:t xml:space="preserve">A síntese e função da proteína muscular </w:t>
      </w:r>
      <w:r w:rsidR="006E5877" w:rsidRPr="00B7308B">
        <w:rPr>
          <w:rFonts w:ascii="Times New Roman" w:hAnsi="Times New Roman" w:cs="Times New Roman"/>
          <w:sz w:val="24"/>
          <w:szCs w:val="24"/>
        </w:rPr>
        <w:t xml:space="preserve">foi associada </w:t>
      </w:r>
      <w:r w:rsidR="00B7308B" w:rsidRPr="00B7308B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6E5877" w:rsidRPr="00BD3D83">
        <w:rPr>
          <w:rFonts w:ascii="Times New Roman" w:hAnsi="Times New Roman" w:cs="Times New Roman"/>
          <w:sz w:val="24"/>
          <w:szCs w:val="24"/>
        </w:rPr>
        <w:t xml:space="preserve">com a microbiota intestinal alterada, a qual pode ser capaz de promover inflamação crônica, estresse oxidativo, resistência anabólica, redução da biodisponibilidade de nutrientes e resistência à insulina. Assim, a microbiota intestinal vem sendo considerada como um potencial contribuinte no acometimento da sarcopenia. No entanto, </w:t>
      </w:r>
      <w:r w:rsidR="006D0DBA">
        <w:rPr>
          <w:rFonts w:ascii="Times New Roman" w:hAnsi="Times New Roman" w:cs="Times New Roman"/>
          <w:sz w:val="24"/>
          <w:szCs w:val="24"/>
        </w:rPr>
        <w:t xml:space="preserve">há </w:t>
      </w:r>
      <w:r w:rsidR="006E5877" w:rsidRPr="00BD3D83">
        <w:rPr>
          <w:rFonts w:ascii="Times New Roman" w:hAnsi="Times New Roman" w:cs="Times New Roman"/>
          <w:sz w:val="24"/>
          <w:szCs w:val="24"/>
        </w:rPr>
        <w:t xml:space="preserve">poucos estudos que apresentam a relação entre a sarcopenia e a microbiota, sendo a grande maioria feito com animais. </w:t>
      </w:r>
      <w:r w:rsidR="00144B86" w:rsidRPr="00BD3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144B86" w:rsidRPr="00BD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Existe associação entre sarcopenia e microbiota por meio de um possível eixo intestino-músculo.  </w:t>
      </w:r>
    </w:p>
    <w:p w14:paraId="7FF90CF7" w14:textId="10736196" w:rsidR="00BD3D83" w:rsidRDefault="00BD3D83" w:rsidP="00BD3D8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94B96" w14:textId="3FB0D0C1" w:rsidR="0059547E" w:rsidRDefault="00BD3D83" w:rsidP="00C16B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="00C16B3C">
        <w:rPr>
          <w:rFonts w:ascii="Times New Roman" w:hAnsi="Times New Roman" w:cs="Times New Roman"/>
          <w:sz w:val="24"/>
          <w:szCs w:val="24"/>
        </w:rPr>
        <w:t xml:space="preserve">Eixo intestino-músculo, </w:t>
      </w:r>
      <w:r w:rsidR="00FC5F91">
        <w:rPr>
          <w:rFonts w:ascii="Times New Roman" w:hAnsi="Times New Roman" w:cs="Times New Roman"/>
          <w:sz w:val="24"/>
          <w:szCs w:val="24"/>
        </w:rPr>
        <w:t>D</w:t>
      </w:r>
      <w:r w:rsidR="00C16B3C">
        <w:rPr>
          <w:rFonts w:ascii="Times New Roman" w:hAnsi="Times New Roman" w:cs="Times New Roman"/>
          <w:sz w:val="24"/>
          <w:szCs w:val="24"/>
        </w:rPr>
        <w:t xml:space="preserve">isbiose, </w:t>
      </w:r>
      <w:r w:rsidR="00FC5F91">
        <w:rPr>
          <w:rFonts w:ascii="Times New Roman" w:hAnsi="Times New Roman" w:cs="Times New Roman"/>
          <w:sz w:val="24"/>
          <w:szCs w:val="24"/>
        </w:rPr>
        <w:t>E</w:t>
      </w:r>
      <w:r w:rsidR="00C16B3C">
        <w:rPr>
          <w:rFonts w:ascii="Times New Roman" w:hAnsi="Times New Roman" w:cs="Times New Roman"/>
          <w:sz w:val="24"/>
          <w:szCs w:val="24"/>
        </w:rPr>
        <w:t>nvelhecimento</w:t>
      </w:r>
      <w:r w:rsidR="00FC5F91">
        <w:rPr>
          <w:rFonts w:ascii="Times New Roman" w:hAnsi="Times New Roman" w:cs="Times New Roman"/>
          <w:sz w:val="24"/>
          <w:szCs w:val="24"/>
        </w:rPr>
        <w:t>.</w:t>
      </w:r>
    </w:p>
    <w:p w14:paraId="3720BEBB" w14:textId="77777777" w:rsidR="005F63E1" w:rsidRDefault="005F63E1" w:rsidP="007565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0580C5" w14:textId="31CE6648" w:rsidR="003B5697" w:rsidRPr="003B5697" w:rsidRDefault="003B5697" w:rsidP="003B5697">
      <w:pPr>
        <w:pStyle w:val="PargrafodaLista"/>
        <w:numPr>
          <w:ilvl w:val="0"/>
          <w:numId w:val="1"/>
        </w:numPr>
        <w:tabs>
          <w:tab w:val="left" w:pos="5475"/>
        </w:tabs>
        <w:rPr>
          <w:rFonts w:ascii="Times New Roman" w:hAnsi="Times New Roman" w:cs="Times New Roman"/>
          <w:b/>
          <w:sz w:val="24"/>
        </w:rPr>
      </w:pPr>
      <w:r w:rsidRPr="003B5697">
        <w:rPr>
          <w:rFonts w:ascii="Times New Roman" w:hAnsi="Times New Roman" w:cs="Times New Roman"/>
          <w:b/>
          <w:sz w:val="24"/>
        </w:rPr>
        <w:t>INTRODUÇÃO</w:t>
      </w:r>
    </w:p>
    <w:p w14:paraId="1E0D9EBD" w14:textId="02968CEF" w:rsidR="00C83181" w:rsidRPr="00FD7374" w:rsidRDefault="003B5697" w:rsidP="006E21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7374">
        <w:rPr>
          <w:rFonts w:ascii="Times New Roman" w:hAnsi="Times New Roman" w:cs="Times New Roman"/>
          <w:sz w:val="24"/>
        </w:rPr>
        <w:t xml:space="preserve">   </w:t>
      </w:r>
      <w:r w:rsidR="005A38A7">
        <w:rPr>
          <w:rFonts w:ascii="Times New Roman" w:hAnsi="Times New Roman" w:cs="Times New Roman"/>
          <w:sz w:val="24"/>
        </w:rPr>
        <w:t>A</w:t>
      </w:r>
      <w:r w:rsidR="00E62DD4" w:rsidRPr="006A076E">
        <w:rPr>
          <w:rFonts w:ascii="Times New Roman" w:hAnsi="Times New Roman" w:cs="Times New Roman"/>
          <w:sz w:val="24"/>
        </w:rPr>
        <w:t xml:space="preserve"> s</w:t>
      </w:r>
      <w:r w:rsidRPr="006A076E">
        <w:rPr>
          <w:rFonts w:ascii="Times New Roman" w:hAnsi="Times New Roman" w:cs="Times New Roman"/>
          <w:sz w:val="24"/>
        </w:rPr>
        <w:t>arcopenia é</w:t>
      </w:r>
      <w:r w:rsidR="00E62DD4" w:rsidRPr="006A076E">
        <w:rPr>
          <w:rFonts w:ascii="Times New Roman" w:hAnsi="Times New Roman" w:cs="Times New Roman"/>
          <w:sz w:val="24"/>
        </w:rPr>
        <w:t xml:space="preserve"> uma síndrome caracterizada pela perda de massa muscular e força muscular, muitas vezes relacionadas ao envelhecimento, e que possu</w:t>
      </w:r>
      <w:r w:rsidR="00A64DD5">
        <w:rPr>
          <w:rFonts w:ascii="Times New Roman" w:hAnsi="Times New Roman" w:cs="Times New Roman"/>
          <w:sz w:val="24"/>
        </w:rPr>
        <w:t xml:space="preserve">em uma etiologia multifatorial </w:t>
      </w:r>
      <w:r w:rsidRPr="00FD7374">
        <w:rPr>
          <w:rFonts w:ascii="Times New Roman" w:hAnsi="Times New Roman" w:cs="Times New Roman"/>
          <w:sz w:val="24"/>
        </w:rPr>
        <w:t>(ALEXANDRE et al.</w:t>
      </w:r>
      <w:r w:rsidR="00774354" w:rsidRPr="00FD7374">
        <w:rPr>
          <w:rFonts w:ascii="Times New Roman" w:hAnsi="Times New Roman" w:cs="Times New Roman"/>
          <w:sz w:val="24"/>
        </w:rPr>
        <w:t>,</w:t>
      </w:r>
      <w:r w:rsidRPr="00FD7374">
        <w:rPr>
          <w:rFonts w:ascii="Times New Roman" w:hAnsi="Times New Roman" w:cs="Times New Roman"/>
          <w:sz w:val="24"/>
        </w:rPr>
        <w:t xml:space="preserve"> 201</w:t>
      </w:r>
      <w:r w:rsidR="00774354" w:rsidRPr="00FD7374">
        <w:rPr>
          <w:rFonts w:ascii="Times New Roman" w:hAnsi="Times New Roman" w:cs="Times New Roman"/>
          <w:sz w:val="24"/>
        </w:rPr>
        <w:t>8</w:t>
      </w:r>
      <w:r w:rsidR="00493FD5">
        <w:rPr>
          <w:rFonts w:ascii="Times New Roman" w:hAnsi="Times New Roman" w:cs="Times New Roman"/>
          <w:sz w:val="24"/>
        </w:rPr>
        <w:t xml:space="preserve">). Dentre os </w:t>
      </w:r>
      <w:r w:rsidR="00E62DD4" w:rsidRPr="006A076E">
        <w:rPr>
          <w:rFonts w:ascii="Times New Roman" w:hAnsi="Times New Roman" w:cs="Times New Roman"/>
          <w:sz w:val="24"/>
        </w:rPr>
        <w:t xml:space="preserve">possíveis mecanismos envolvidos na etiologia da sarcopenia está a microbiota intestinal. </w:t>
      </w:r>
    </w:p>
    <w:p w14:paraId="09F9C6A6" w14:textId="5276BA7A" w:rsidR="003B5697" w:rsidRDefault="00E62DD4" w:rsidP="006E21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7374">
        <w:rPr>
          <w:rFonts w:ascii="Times New Roman" w:hAnsi="Times New Roman" w:cs="Times New Roman"/>
          <w:sz w:val="24"/>
        </w:rPr>
        <w:t xml:space="preserve">A microbiota intestinal </w:t>
      </w:r>
      <w:r w:rsidR="003B5697" w:rsidRPr="00FD7374">
        <w:rPr>
          <w:rFonts w:ascii="Times New Roman" w:hAnsi="Times New Roman" w:cs="Times New Roman"/>
          <w:sz w:val="24"/>
        </w:rPr>
        <w:t xml:space="preserve">é capaz de influenciar a fisiologia do hospedeiro, </w:t>
      </w:r>
      <w:r w:rsidR="003B5697" w:rsidRPr="006A076E">
        <w:rPr>
          <w:rFonts w:ascii="Times New Roman" w:hAnsi="Times New Roman" w:cs="Times New Roman"/>
          <w:sz w:val="24"/>
        </w:rPr>
        <w:t>regula</w:t>
      </w:r>
      <w:r w:rsidRPr="006A076E">
        <w:rPr>
          <w:rFonts w:ascii="Times New Roman" w:hAnsi="Times New Roman" w:cs="Times New Roman"/>
          <w:sz w:val="24"/>
        </w:rPr>
        <w:t>ndo</w:t>
      </w:r>
      <w:r w:rsidR="003B5697" w:rsidRPr="006A076E">
        <w:rPr>
          <w:rFonts w:ascii="Times New Roman" w:hAnsi="Times New Roman" w:cs="Times New Roman"/>
          <w:sz w:val="24"/>
        </w:rPr>
        <w:t xml:space="preserve"> </w:t>
      </w:r>
      <w:r w:rsidR="005A38A7">
        <w:rPr>
          <w:rFonts w:ascii="Times New Roman" w:hAnsi="Times New Roman" w:cs="Times New Roman"/>
          <w:sz w:val="24"/>
        </w:rPr>
        <w:t xml:space="preserve">os </w:t>
      </w:r>
      <w:r w:rsidR="003B5697" w:rsidRPr="00FD7374">
        <w:rPr>
          <w:rFonts w:ascii="Times New Roman" w:hAnsi="Times New Roman" w:cs="Times New Roman"/>
          <w:sz w:val="24"/>
        </w:rPr>
        <w:t>processos de inflamação, estresse oxidativo, função imunológica</w:t>
      </w:r>
      <w:r w:rsidRPr="00FD7374">
        <w:rPr>
          <w:rFonts w:ascii="Times New Roman" w:hAnsi="Times New Roman" w:cs="Times New Roman"/>
          <w:sz w:val="24"/>
        </w:rPr>
        <w:t>,</w:t>
      </w:r>
      <w:r w:rsidR="003B5697" w:rsidRPr="00FD7374">
        <w:rPr>
          <w:rFonts w:ascii="Times New Roman" w:hAnsi="Times New Roman" w:cs="Times New Roman"/>
          <w:sz w:val="24"/>
        </w:rPr>
        <w:t xml:space="preserve"> entre outros. </w:t>
      </w:r>
      <w:r w:rsidRPr="006A076E">
        <w:rPr>
          <w:rFonts w:ascii="Times New Roman" w:hAnsi="Times New Roman" w:cs="Times New Roman"/>
          <w:sz w:val="24"/>
        </w:rPr>
        <w:t>Por sua vez, o</w:t>
      </w:r>
      <w:r w:rsidR="003B5697" w:rsidRPr="006A076E">
        <w:rPr>
          <w:rFonts w:ascii="Times New Roman" w:hAnsi="Times New Roman" w:cs="Times New Roman"/>
          <w:sz w:val="24"/>
        </w:rPr>
        <w:t xml:space="preserve"> </w:t>
      </w:r>
      <w:r w:rsidR="003B5697">
        <w:rPr>
          <w:rFonts w:ascii="Times New Roman" w:hAnsi="Times New Roman" w:cs="Times New Roman"/>
          <w:sz w:val="24"/>
        </w:rPr>
        <w:t>processo do envelhecimento está associado à redução da biodiversidade da microbiota e super-representação de</w:t>
      </w:r>
      <w:r w:rsidR="005A38A7">
        <w:rPr>
          <w:rFonts w:ascii="Times New Roman" w:hAnsi="Times New Roman" w:cs="Times New Roman"/>
          <w:sz w:val="24"/>
        </w:rPr>
        <w:t xml:space="preserve"> bactérias potencialmente patogênicas</w:t>
      </w:r>
      <w:r w:rsidR="00A64DD5">
        <w:rPr>
          <w:rFonts w:ascii="Times New Roman" w:hAnsi="Times New Roman" w:cs="Times New Roman"/>
          <w:sz w:val="24"/>
        </w:rPr>
        <w:t xml:space="preserve">, </w:t>
      </w:r>
      <w:r w:rsidR="005C65F7">
        <w:rPr>
          <w:rFonts w:ascii="Times New Roman" w:hAnsi="Times New Roman" w:cs="Times New Roman"/>
          <w:sz w:val="24"/>
        </w:rPr>
        <w:t xml:space="preserve">podendo </w:t>
      </w:r>
      <w:r w:rsidR="003B5697">
        <w:rPr>
          <w:rFonts w:ascii="Times New Roman" w:hAnsi="Times New Roman" w:cs="Times New Roman"/>
          <w:sz w:val="24"/>
        </w:rPr>
        <w:t>esses fenô</w:t>
      </w:r>
      <w:r w:rsidR="00A64DD5">
        <w:rPr>
          <w:rFonts w:ascii="Times New Roman" w:hAnsi="Times New Roman" w:cs="Times New Roman"/>
          <w:sz w:val="24"/>
        </w:rPr>
        <w:t xml:space="preserve">menos apresentar relevância na redução da massa magra </w:t>
      </w:r>
      <w:r w:rsidR="003B5697">
        <w:rPr>
          <w:rFonts w:ascii="Times New Roman" w:hAnsi="Times New Roman" w:cs="Times New Roman"/>
          <w:sz w:val="24"/>
        </w:rPr>
        <w:t>e função esquelética (TICINESI</w:t>
      </w:r>
      <w:r w:rsidR="00EB09F0">
        <w:rPr>
          <w:rFonts w:ascii="Times New Roman" w:hAnsi="Times New Roman" w:cs="Times New Roman"/>
          <w:sz w:val="24"/>
        </w:rPr>
        <w:t xml:space="preserve"> </w:t>
      </w:r>
      <w:r w:rsidR="003B5697">
        <w:rPr>
          <w:rFonts w:ascii="Times New Roman" w:hAnsi="Times New Roman" w:cs="Times New Roman"/>
          <w:sz w:val="24"/>
        </w:rPr>
        <w:t>et al.</w:t>
      </w:r>
      <w:r w:rsidR="00EB09F0">
        <w:rPr>
          <w:rFonts w:ascii="Times New Roman" w:hAnsi="Times New Roman" w:cs="Times New Roman"/>
          <w:sz w:val="24"/>
        </w:rPr>
        <w:t xml:space="preserve">, </w:t>
      </w:r>
      <w:r w:rsidR="003B5697">
        <w:rPr>
          <w:rFonts w:ascii="Times New Roman" w:hAnsi="Times New Roman" w:cs="Times New Roman"/>
          <w:sz w:val="24"/>
        </w:rPr>
        <w:t xml:space="preserve">2019). </w:t>
      </w:r>
    </w:p>
    <w:p w14:paraId="4E46915D" w14:textId="580DCA6B" w:rsidR="003B5697" w:rsidRDefault="003B5697" w:rsidP="006E21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Evidências sugerem que a microbiota intestinal é capaz de influenciar a homeostase do músculo por meio de</w:t>
      </w:r>
      <w:r w:rsidR="00A64DD5">
        <w:rPr>
          <w:rFonts w:ascii="Times New Roman" w:hAnsi="Times New Roman" w:cs="Times New Roman"/>
          <w:sz w:val="24"/>
        </w:rPr>
        <w:t xml:space="preserve"> metabólitos </w:t>
      </w:r>
      <w:r>
        <w:rPr>
          <w:rFonts w:ascii="Times New Roman" w:hAnsi="Times New Roman" w:cs="Times New Roman"/>
          <w:sz w:val="24"/>
        </w:rPr>
        <w:t xml:space="preserve">que são dependentes da mesma, </w:t>
      </w:r>
      <w:r w:rsidR="005C65F7">
        <w:rPr>
          <w:rFonts w:ascii="Times New Roman" w:hAnsi="Times New Roman" w:cs="Times New Roman"/>
          <w:sz w:val="24"/>
        </w:rPr>
        <w:t xml:space="preserve">sendo </w:t>
      </w:r>
      <w:r>
        <w:rPr>
          <w:rFonts w:ascii="Times New Roman" w:hAnsi="Times New Roman" w:cs="Times New Roman"/>
          <w:sz w:val="24"/>
        </w:rPr>
        <w:t xml:space="preserve">um possível substrato biológico para </w:t>
      </w:r>
      <w:r w:rsidR="005C65F7">
        <w:rPr>
          <w:rFonts w:ascii="Times New Roman" w:hAnsi="Times New Roman" w:cs="Times New Roman"/>
          <w:sz w:val="24"/>
        </w:rPr>
        <w:t>início</w:t>
      </w:r>
      <w:r>
        <w:rPr>
          <w:rFonts w:ascii="Times New Roman" w:hAnsi="Times New Roman" w:cs="Times New Roman"/>
          <w:sz w:val="24"/>
        </w:rPr>
        <w:t xml:space="preserve"> de sarcopenia. A literatura apoia um possível “eixo intestinal – músculo”, </w:t>
      </w:r>
      <w:r w:rsidR="005C65F7">
        <w:rPr>
          <w:rFonts w:ascii="Times New Roman" w:hAnsi="Times New Roman" w:cs="Times New Roman"/>
          <w:sz w:val="24"/>
        </w:rPr>
        <w:t xml:space="preserve">no qual </w:t>
      </w:r>
      <w:r>
        <w:rPr>
          <w:rFonts w:ascii="Times New Roman" w:hAnsi="Times New Roman" w:cs="Times New Roman"/>
          <w:sz w:val="24"/>
        </w:rPr>
        <w:t>a microbiota pode atuar como mediadora dos</w:t>
      </w:r>
      <w:r w:rsidR="00E5081F">
        <w:rPr>
          <w:rFonts w:ascii="Times New Roman" w:hAnsi="Times New Roman" w:cs="Times New Roman"/>
          <w:sz w:val="24"/>
        </w:rPr>
        <w:t xml:space="preserve"> efeitos da nutrição no músculo </w:t>
      </w:r>
      <w:r>
        <w:rPr>
          <w:rFonts w:ascii="Times New Roman" w:hAnsi="Times New Roman" w:cs="Times New Roman"/>
          <w:sz w:val="24"/>
        </w:rPr>
        <w:t>(CASATI et al.</w:t>
      </w:r>
      <w:r w:rsidR="00EB09F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2019; TICINESI</w:t>
      </w:r>
      <w:r w:rsidR="00EB09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et al.</w:t>
      </w:r>
      <w:r w:rsidR="00EB09F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2019). </w:t>
      </w:r>
    </w:p>
    <w:p w14:paraId="64B95ED0" w14:textId="56CA656A" w:rsidR="001B29BE" w:rsidRDefault="003B5697" w:rsidP="001B29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="005C65F7">
        <w:rPr>
          <w:rFonts w:ascii="Times New Roman" w:hAnsi="Times New Roman" w:cs="Times New Roman"/>
          <w:sz w:val="24"/>
        </w:rPr>
        <w:t xml:space="preserve">Diante do exposto, </w:t>
      </w:r>
      <w:r w:rsidR="001B29BE">
        <w:rPr>
          <w:rFonts w:ascii="Times New Roman" w:hAnsi="Times New Roman" w:cs="Times New Roman"/>
          <w:sz w:val="24"/>
        </w:rPr>
        <w:t xml:space="preserve">esta revisão tem como </w:t>
      </w:r>
      <w:r w:rsidRPr="005C65F7">
        <w:rPr>
          <w:rFonts w:ascii="Times New Roman" w:hAnsi="Times New Roman" w:cs="Times New Roman"/>
          <w:sz w:val="24"/>
        </w:rPr>
        <w:t xml:space="preserve">objetivo </w:t>
      </w:r>
      <w:r w:rsidR="001B29BE" w:rsidRPr="001B29BE">
        <w:rPr>
          <w:rFonts w:ascii="Times New Roman" w:hAnsi="Times New Roman" w:cs="Times New Roman"/>
          <w:sz w:val="24"/>
        </w:rPr>
        <w:t xml:space="preserve">descrever </w:t>
      </w:r>
      <w:r w:rsidR="005A38A7">
        <w:rPr>
          <w:rFonts w:ascii="Times New Roman" w:hAnsi="Times New Roman" w:cs="Times New Roman"/>
          <w:sz w:val="24"/>
        </w:rPr>
        <w:t xml:space="preserve">sobre </w:t>
      </w:r>
      <w:r w:rsidR="001B29BE">
        <w:rPr>
          <w:rFonts w:ascii="Times New Roman" w:hAnsi="Times New Roman" w:cs="Times New Roman"/>
          <w:sz w:val="24"/>
        </w:rPr>
        <w:t xml:space="preserve">a possível associação entre a microbiota intestinal e o desenvolvimento da sarcopenia. </w:t>
      </w:r>
    </w:p>
    <w:p w14:paraId="2E6F242A" w14:textId="77777777" w:rsidR="003B5697" w:rsidRPr="00B64459" w:rsidRDefault="003B5697" w:rsidP="003B5697">
      <w:pPr>
        <w:tabs>
          <w:tab w:val="left" w:pos="5475"/>
        </w:tabs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8CB2EAE" w14:textId="2E66B120" w:rsidR="003B5697" w:rsidRPr="003B5697" w:rsidRDefault="003B5697" w:rsidP="003B569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697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25CAB7BB" w14:textId="4D6CF981" w:rsidR="003B5697" w:rsidRPr="00797A0E" w:rsidRDefault="003B5697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9BE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797A0E">
        <w:rPr>
          <w:rFonts w:ascii="Times New Roman" w:hAnsi="Times New Roman" w:cs="Times New Roman"/>
          <w:sz w:val="24"/>
          <w:szCs w:val="24"/>
        </w:rPr>
        <w:t>uma revisão narrativa da literatura</w:t>
      </w:r>
      <w:r w:rsidR="001B29BE">
        <w:rPr>
          <w:rFonts w:ascii="Times New Roman" w:hAnsi="Times New Roman" w:cs="Times New Roman"/>
          <w:sz w:val="24"/>
          <w:szCs w:val="24"/>
        </w:rPr>
        <w:t>,</w:t>
      </w:r>
      <w:r w:rsidRPr="00797A0E">
        <w:rPr>
          <w:rFonts w:ascii="Times New Roman" w:hAnsi="Times New Roman" w:cs="Times New Roman"/>
          <w:sz w:val="24"/>
          <w:szCs w:val="24"/>
        </w:rPr>
        <w:t xml:space="preserve"> de car</w:t>
      </w:r>
      <w:r w:rsidR="00493FD5">
        <w:rPr>
          <w:rFonts w:ascii="Times New Roman" w:hAnsi="Times New Roman" w:cs="Times New Roman"/>
          <w:sz w:val="24"/>
          <w:szCs w:val="24"/>
        </w:rPr>
        <w:t xml:space="preserve">áter exploratório, realizada em </w:t>
      </w:r>
      <w:r w:rsidRPr="00797A0E">
        <w:rPr>
          <w:rFonts w:ascii="Times New Roman" w:hAnsi="Times New Roman" w:cs="Times New Roman"/>
          <w:sz w:val="24"/>
          <w:szCs w:val="24"/>
        </w:rPr>
        <w:t xml:space="preserve">Outubro de 2020, com busca de artigos nas bases de dados </w:t>
      </w:r>
      <w:r w:rsidR="001B29BE" w:rsidRPr="00797A0E">
        <w:rPr>
          <w:rFonts w:ascii="Times New Roman" w:hAnsi="Times New Roman" w:cs="Times New Roman"/>
          <w:sz w:val="24"/>
          <w:szCs w:val="24"/>
        </w:rPr>
        <w:t>Pub</w:t>
      </w:r>
      <w:r w:rsidR="001B29BE">
        <w:rPr>
          <w:rFonts w:ascii="Times New Roman" w:hAnsi="Times New Roman" w:cs="Times New Roman"/>
          <w:sz w:val="24"/>
          <w:szCs w:val="24"/>
        </w:rPr>
        <w:t>M</w:t>
      </w:r>
      <w:r w:rsidR="001B29BE" w:rsidRPr="00797A0E">
        <w:rPr>
          <w:rFonts w:ascii="Times New Roman" w:hAnsi="Times New Roman" w:cs="Times New Roman"/>
          <w:sz w:val="24"/>
          <w:szCs w:val="24"/>
        </w:rPr>
        <w:t xml:space="preserve">ed </w:t>
      </w:r>
      <w:r w:rsidRPr="00797A0E">
        <w:rPr>
          <w:rFonts w:ascii="Times New Roman" w:hAnsi="Times New Roman" w:cs="Times New Roman"/>
          <w:sz w:val="24"/>
          <w:szCs w:val="24"/>
        </w:rPr>
        <w:t>e Sci</w:t>
      </w:r>
      <w:r w:rsidR="001B29BE">
        <w:rPr>
          <w:rFonts w:ascii="Times New Roman" w:hAnsi="Times New Roman" w:cs="Times New Roman"/>
          <w:sz w:val="24"/>
          <w:szCs w:val="24"/>
        </w:rPr>
        <w:t>ELO</w:t>
      </w:r>
      <w:r w:rsidRPr="00797A0E">
        <w:rPr>
          <w:rFonts w:ascii="Times New Roman" w:hAnsi="Times New Roman" w:cs="Times New Roman"/>
          <w:sz w:val="24"/>
          <w:szCs w:val="24"/>
        </w:rPr>
        <w:t>. Utiliz</w:t>
      </w:r>
      <w:r w:rsidR="001B29BE">
        <w:rPr>
          <w:rFonts w:ascii="Times New Roman" w:hAnsi="Times New Roman" w:cs="Times New Roman"/>
          <w:sz w:val="24"/>
          <w:szCs w:val="24"/>
        </w:rPr>
        <w:t>ou</w:t>
      </w:r>
      <w:r w:rsidRPr="00797A0E">
        <w:rPr>
          <w:rFonts w:ascii="Times New Roman" w:hAnsi="Times New Roman" w:cs="Times New Roman"/>
          <w:sz w:val="24"/>
          <w:szCs w:val="24"/>
        </w:rPr>
        <w:t xml:space="preserve">-se </w:t>
      </w:r>
      <w:r w:rsidR="001B29BE">
        <w:rPr>
          <w:rFonts w:ascii="Times New Roman" w:hAnsi="Times New Roman" w:cs="Times New Roman"/>
          <w:sz w:val="24"/>
          <w:szCs w:val="24"/>
        </w:rPr>
        <w:t xml:space="preserve">os </w:t>
      </w:r>
      <w:r w:rsidRPr="00797A0E">
        <w:rPr>
          <w:rFonts w:ascii="Times New Roman" w:hAnsi="Times New Roman" w:cs="Times New Roman"/>
          <w:sz w:val="24"/>
          <w:szCs w:val="24"/>
        </w:rPr>
        <w:t>descritores</w:t>
      </w:r>
      <w:r w:rsidR="00466BD2" w:rsidRPr="00797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6BD2" w:rsidRPr="00797A0E">
        <w:rPr>
          <w:rFonts w:ascii="Times New Roman" w:hAnsi="Times New Roman" w:cs="Times New Roman"/>
          <w:sz w:val="24"/>
          <w:szCs w:val="24"/>
        </w:rPr>
        <w:t>“</w:t>
      </w:r>
      <w:r w:rsidR="001B29BE" w:rsidRPr="00797A0E">
        <w:rPr>
          <w:rFonts w:ascii="Times New Roman" w:hAnsi="Times New Roman" w:cs="Times New Roman"/>
          <w:sz w:val="24"/>
          <w:szCs w:val="24"/>
        </w:rPr>
        <w:t>gastrointestinal m</w:t>
      </w:r>
      <w:r w:rsidR="00466BD2" w:rsidRPr="00797A0E">
        <w:rPr>
          <w:rFonts w:ascii="Times New Roman" w:hAnsi="Times New Roman" w:cs="Times New Roman"/>
          <w:sz w:val="24"/>
          <w:szCs w:val="24"/>
        </w:rPr>
        <w:t>icrobiota” or “</w:t>
      </w:r>
      <w:r w:rsidR="001B29BE">
        <w:rPr>
          <w:rFonts w:ascii="Times New Roman" w:hAnsi="Times New Roman" w:cs="Times New Roman"/>
          <w:sz w:val="24"/>
          <w:szCs w:val="24"/>
        </w:rPr>
        <w:t>g</w:t>
      </w:r>
      <w:r w:rsidR="00466BD2" w:rsidRPr="00797A0E">
        <w:rPr>
          <w:rFonts w:ascii="Times New Roman" w:hAnsi="Times New Roman" w:cs="Times New Roman"/>
          <w:sz w:val="24"/>
          <w:szCs w:val="24"/>
        </w:rPr>
        <w:t xml:space="preserve">astrointestinal microbiome” or “microbiota” and </w:t>
      </w:r>
      <w:r w:rsidR="001B29BE">
        <w:rPr>
          <w:rFonts w:ascii="Times New Roman" w:hAnsi="Times New Roman" w:cs="Times New Roman"/>
          <w:sz w:val="24"/>
          <w:szCs w:val="24"/>
        </w:rPr>
        <w:t>“</w:t>
      </w:r>
      <w:r w:rsidR="00466BD2" w:rsidRPr="00797A0E">
        <w:rPr>
          <w:rFonts w:ascii="Times New Roman" w:hAnsi="Times New Roman" w:cs="Times New Roman"/>
          <w:sz w:val="24"/>
          <w:szCs w:val="24"/>
        </w:rPr>
        <w:t>sarcopenia</w:t>
      </w:r>
      <w:r w:rsidR="001B29BE">
        <w:rPr>
          <w:rFonts w:ascii="Times New Roman" w:hAnsi="Times New Roman" w:cs="Times New Roman"/>
          <w:sz w:val="24"/>
          <w:szCs w:val="24"/>
        </w:rPr>
        <w:t>”</w:t>
      </w:r>
      <w:r w:rsidR="00466BD2" w:rsidRPr="00797A0E">
        <w:rPr>
          <w:rFonts w:ascii="Times New Roman" w:hAnsi="Times New Roman" w:cs="Times New Roman"/>
          <w:sz w:val="24"/>
          <w:szCs w:val="24"/>
        </w:rPr>
        <w:t xml:space="preserve"> and “gut-muscle axis”</w:t>
      </w:r>
    </w:p>
    <w:p w14:paraId="558232EC" w14:textId="2BD12C98" w:rsidR="003B5697" w:rsidRDefault="003B5697" w:rsidP="006A0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A0E">
        <w:rPr>
          <w:rFonts w:ascii="Times New Roman" w:hAnsi="Times New Roman" w:cs="Times New Roman"/>
          <w:sz w:val="24"/>
          <w:szCs w:val="24"/>
        </w:rPr>
        <w:t xml:space="preserve">  Os critérios de inclusão foram artigos científicos publicados nos últimos cinco anos</w:t>
      </w:r>
      <w:r>
        <w:rPr>
          <w:rFonts w:ascii="Times New Roman" w:hAnsi="Times New Roman" w:cs="Times New Roman"/>
          <w:sz w:val="24"/>
          <w:szCs w:val="24"/>
        </w:rPr>
        <w:t xml:space="preserve"> (2015-2020)</w:t>
      </w:r>
      <w:r w:rsidR="001B2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texto completo disponível, nos idiomas</w:t>
      </w:r>
      <w:r w:rsidR="0079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inglês ou português. Foram excluídos durante a busca, artigos que não apresentavam relação direta com o tema determinado.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B5EFB" wp14:editId="1F57B54D">
                <wp:simplePos x="0" y="0"/>
                <wp:positionH relativeFrom="column">
                  <wp:posOffset>2825115</wp:posOffset>
                </wp:positionH>
                <wp:positionV relativeFrom="paragraph">
                  <wp:posOffset>255905</wp:posOffset>
                </wp:positionV>
                <wp:extent cx="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7EAA32" id="Conector re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20.15pt" to="222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8FA27" wp14:editId="2EC18AC0">
                <wp:simplePos x="0" y="0"/>
                <wp:positionH relativeFrom="column">
                  <wp:posOffset>2672715</wp:posOffset>
                </wp:positionH>
                <wp:positionV relativeFrom="paragraph">
                  <wp:posOffset>313690</wp:posOffset>
                </wp:positionV>
                <wp:extent cx="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C210384" id="Conector reto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5pt,24.7pt" to="210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"/>
            </w:pict>
          </mc:Fallback>
        </mc:AlternateContent>
      </w:r>
    </w:p>
    <w:p w14:paraId="0CDC6AC4" w14:textId="6140B465" w:rsidR="003B5697" w:rsidRDefault="003B5697" w:rsidP="007565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3E31E" w14:textId="320C946F" w:rsidR="003B5697" w:rsidRPr="003B5697" w:rsidRDefault="00F70E1F" w:rsidP="003B56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5697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59547E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</w:p>
    <w:p w14:paraId="6F284510" w14:textId="408D31AC" w:rsidR="00E463C4" w:rsidRDefault="00A711F8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processo de envelhecimento humano, é</w:t>
      </w:r>
      <w:r w:rsidR="00500FD1">
        <w:rPr>
          <w:rFonts w:ascii="Times New Roman" w:hAnsi="Times New Roman" w:cs="Times New Roman"/>
          <w:sz w:val="24"/>
          <w:szCs w:val="24"/>
        </w:rPr>
        <w:t xml:space="preserve"> possível observar alterações nos sistemas do corpo</w:t>
      </w:r>
      <w:r w:rsidR="00C93188">
        <w:rPr>
          <w:rFonts w:ascii="Times New Roman" w:hAnsi="Times New Roman" w:cs="Times New Roman"/>
          <w:sz w:val="24"/>
          <w:szCs w:val="24"/>
        </w:rPr>
        <w:t>, entre eles</w:t>
      </w:r>
      <w:r w:rsidR="00500FD1">
        <w:rPr>
          <w:rFonts w:ascii="Times New Roman" w:hAnsi="Times New Roman" w:cs="Times New Roman"/>
          <w:sz w:val="24"/>
          <w:szCs w:val="24"/>
        </w:rPr>
        <w:t xml:space="preserve"> no sistema digestório, no qual ocorre diminuição das vilosidades </w:t>
      </w:r>
      <w:r w:rsidR="0049624D">
        <w:rPr>
          <w:rFonts w:ascii="Times New Roman" w:hAnsi="Times New Roman" w:cs="Times New Roman"/>
          <w:sz w:val="24"/>
          <w:szCs w:val="24"/>
        </w:rPr>
        <w:t>e alteração na motilidade</w:t>
      </w:r>
      <w:r w:rsidR="00C93188">
        <w:rPr>
          <w:rFonts w:ascii="Times New Roman" w:hAnsi="Times New Roman" w:cs="Times New Roman"/>
          <w:sz w:val="24"/>
          <w:szCs w:val="24"/>
        </w:rPr>
        <w:t xml:space="preserve"> intestinal</w:t>
      </w:r>
      <w:r w:rsidR="0049624D">
        <w:rPr>
          <w:rFonts w:ascii="Times New Roman" w:hAnsi="Times New Roman" w:cs="Times New Roman"/>
          <w:sz w:val="24"/>
          <w:szCs w:val="24"/>
        </w:rPr>
        <w:t>. Isso permite o surgimento de um ambiente desequilibrado, em que ocorre um supercrescimento de microrganismos patogênicos</w:t>
      </w:r>
      <w:r w:rsidR="002D2255">
        <w:rPr>
          <w:rFonts w:ascii="Times New Roman" w:hAnsi="Times New Roman" w:cs="Times New Roman"/>
          <w:sz w:val="24"/>
          <w:szCs w:val="24"/>
        </w:rPr>
        <w:t xml:space="preserve"> </w:t>
      </w:r>
      <w:r w:rsidR="00C93188">
        <w:rPr>
          <w:rFonts w:ascii="Times New Roman" w:hAnsi="Times New Roman" w:cs="Times New Roman"/>
          <w:sz w:val="24"/>
          <w:szCs w:val="24"/>
        </w:rPr>
        <w:t>(CONRADO et al</w:t>
      </w:r>
      <w:r w:rsidR="00D3382A">
        <w:rPr>
          <w:rFonts w:ascii="Times New Roman" w:hAnsi="Times New Roman" w:cs="Times New Roman"/>
          <w:sz w:val="24"/>
          <w:szCs w:val="24"/>
        </w:rPr>
        <w:t>.</w:t>
      </w:r>
      <w:r w:rsidR="00C93188">
        <w:rPr>
          <w:rFonts w:ascii="Times New Roman" w:hAnsi="Times New Roman" w:cs="Times New Roman"/>
          <w:sz w:val="24"/>
          <w:szCs w:val="24"/>
        </w:rPr>
        <w:t>, 2018)</w:t>
      </w:r>
      <w:r w:rsidR="002D2255">
        <w:rPr>
          <w:rFonts w:ascii="Times New Roman" w:hAnsi="Times New Roman" w:cs="Times New Roman"/>
          <w:sz w:val="24"/>
          <w:szCs w:val="24"/>
        </w:rPr>
        <w:t>.</w:t>
      </w:r>
      <w:r w:rsidR="00B23296">
        <w:rPr>
          <w:rFonts w:ascii="Times New Roman" w:hAnsi="Times New Roman" w:cs="Times New Roman"/>
          <w:sz w:val="24"/>
          <w:szCs w:val="24"/>
        </w:rPr>
        <w:t xml:space="preserve"> </w:t>
      </w:r>
      <w:r w:rsidR="00C93C53">
        <w:rPr>
          <w:rFonts w:ascii="Times New Roman" w:hAnsi="Times New Roman" w:cs="Times New Roman"/>
          <w:sz w:val="24"/>
          <w:szCs w:val="24"/>
        </w:rPr>
        <w:t>Essa microbiota intestinal alterada acomete muitos idosos</w:t>
      </w:r>
      <w:r w:rsidR="004A348A">
        <w:rPr>
          <w:rFonts w:ascii="Times New Roman" w:hAnsi="Times New Roman" w:cs="Times New Roman"/>
          <w:sz w:val="24"/>
          <w:szCs w:val="24"/>
        </w:rPr>
        <w:t>, que</w:t>
      </w:r>
      <w:r w:rsidR="00C93C53">
        <w:rPr>
          <w:rFonts w:ascii="Times New Roman" w:hAnsi="Times New Roman" w:cs="Times New Roman"/>
          <w:sz w:val="24"/>
          <w:szCs w:val="24"/>
        </w:rPr>
        <w:t xml:space="preserve"> é caracterizada por uma </w:t>
      </w:r>
      <w:r w:rsidR="00A96FB9">
        <w:rPr>
          <w:rFonts w:ascii="Times New Roman" w:hAnsi="Times New Roman" w:cs="Times New Roman"/>
          <w:sz w:val="24"/>
          <w:szCs w:val="24"/>
        </w:rPr>
        <w:t>diminuição da diversidade dessa microbiota, aumento da variabilidade interindividual e grande quantidade de patógenos</w:t>
      </w:r>
      <w:r w:rsidR="002D2255">
        <w:rPr>
          <w:rFonts w:ascii="Times New Roman" w:hAnsi="Times New Roman" w:cs="Times New Roman"/>
          <w:sz w:val="24"/>
          <w:szCs w:val="24"/>
        </w:rPr>
        <w:t xml:space="preserve">, </w:t>
      </w:r>
      <w:r w:rsidR="00A96FB9">
        <w:rPr>
          <w:rFonts w:ascii="Times New Roman" w:hAnsi="Times New Roman" w:cs="Times New Roman"/>
          <w:sz w:val="24"/>
          <w:szCs w:val="24"/>
        </w:rPr>
        <w:t>denominado disbiose</w:t>
      </w:r>
      <w:r w:rsidR="002D2255">
        <w:rPr>
          <w:rFonts w:ascii="Times New Roman" w:hAnsi="Times New Roman" w:cs="Times New Roman"/>
          <w:sz w:val="24"/>
          <w:szCs w:val="24"/>
        </w:rPr>
        <w:t xml:space="preserve"> </w:t>
      </w:r>
      <w:r w:rsidR="00A96FB9">
        <w:rPr>
          <w:rFonts w:ascii="Times New Roman" w:hAnsi="Times New Roman" w:cs="Times New Roman"/>
          <w:sz w:val="24"/>
          <w:szCs w:val="24"/>
        </w:rPr>
        <w:t>(</w:t>
      </w:r>
      <w:r w:rsidR="00A96FB9" w:rsidRPr="00D3382A">
        <w:rPr>
          <w:rFonts w:ascii="Times New Roman" w:hAnsi="Times New Roman" w:cs="Times New Roman"/>
          <w:sz w:val="24"/>
          <w:szCs w:val="24"/>
        </w:rPr>
        <w:t>TICINESI</w:t>
      </w:r>
      <w:r w:rsidR="00A96FB9">
        <w:rPr>
          <w:rFonts w:ascii="Times New Roman" w:hAnsi="Times New Roman" w:cs="Times New Roman"/>
          <w:sz w:val="24"/>
          <w:szCs w:val="24"/>
        </w:rPr>
        <w:t xml:space="preserve"> et al., 2019)</w:t>
      </w:r>
      <w:r w:rsidR="00B44A2D">
        <w:rPr>
          <w:rFonts w:ascii="Times New Roman" w:hAnsi="Times New Roman" w:cs="Times New Roman"/>
          <w:sz w:val="24"/>
          <w:szCs w:val="24"/>
        </w:rPr>
        <w:t>.</w:t>
      </w:r>
      <w:r w:rsidR="002D2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2B901" w14:textId="514A244F" w:rsidR="00727B4D" w:rsidRDefault="00A711F8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microbiota intestinal vem sendo considerada como um potencial contribuinte no acometimento da sarcopenia. Estudos descrevem que a</w:t>
      </w:r>
      <w:r w:rsidR="00C93C53">
        <w:rPr>
          <w:rFonts w:ascii="Times New Roman" w:hAnsi="Times New Roman" w:cs="Times New Roman"/>
          <w:sz w:val="24"/>
          <w:szCs w:val="24"/>
        </w:rPr>
        <w:t xml:space="preserve"> </w:t>
      </w:r>
      <w:r w:rsidR="00E463C4">
        <w:rPr>
          <w:rFonts w:ascii="Times New Roman" w:hAnsi="Times New Roman" w:cs="Times New Roman"/>
          <w:sz w:val="24"/>
          <w:szCs w:val="24"/>
        </w:rPr>
        <w:t>síntese e função da proteína muscular</w:t>
      </w:r>
      <w:r w:rsidR="00F922CC">
        <w:rPr>
          <w:rFonts w:ascii="Times New Roman" w:hAnsi="Times New Roman" w:cs="Times New Roman"/>
          <w:sz w:val="24"/>
          <w:szCs w:val="24"/>
        </w:rPr>
        <w:t xml:space="preserve"> </w:t>
      </w:r>
      <w:r w:rsidR="00C93C53">
        <w:rPr>
          <w:rFonts w:ascii="Times New Roman" w:hAnsi="Times New Roman" w:cs="Times New Roman"/>
          <w:sz w:val="24"/>
          <w:szCs w:val="24"/>
        </w:rPr>
        <w:t>foi associada</w:t>
      </w:r>
      <w:r w:rsidR="0037043F">
        <w:rPr>
          <w:rFonts w:ascii="Times New Roman" w:hAnsi="Times New Roman" w:cs="Times New Roman"/>
          <w:sz w:val="24"/>
          <w:szCs w:val="24"/>
        </w:rPr>
        <w:t xml:space="preserve"> diretamente </w:t>
      </w:r>
      <w:r w:rsidR="00C93C53">
        <w:rPr>
          <w:rFonts w:ascii="Times New Roman" w:hAnsi="Times New Roman" w:cs="Times New Roman"/>
          <w:sz w:val="24"/>
          <w:szCs w:val="24"/>
        </w:rPr>
        <w:t xml:space="preserve">com a microbiota intestinal alterada, a qual pode ser </w:t>
      </w:r>
      <w:r w:rsidR="00F922CC">
        <w:rPr>
          <w:rFonts w:ascii="Times New Roman" w:hAnsi="Times New Roman" w:cs="Times New Roman"/>
          <w:sz w:val="24"/>
          <w:szCs w:val="24"/>
        </w:rPr>
        <w:t xml:space="preserve">capaz de </w:t>
      </w:r>
      <w:r w:rsidR="009F4414">
        <w:rPr>
          <w:rFonts w:ascii="Times New Roman" w:hAnsi="Times New Roman" w:cs="Times New Roman"/>
          <w:sz w:val="24"/>
          <w:szCs w:val="24"/>
        </w:rPr>
        <w:t>promover inflamação crônica, estresse oxidativo, resistência anabólica, redução da biodisponibilidade de nutrientes</w:t>
      </w:r>
      <w:r w:rsidR="00A93608">
        <w:rPr>
          <w:rFonts w:ascii="Times New Roman" w:hAnsi="Times New Roman" w:cs="Times New Roman"/>
          <w:sz w:val="24"/>
          <w:szCs w:val="24"/>
        </w:rPr>
        <w:t xml:space="preserve"> e</w:t>
      </w:r>
      <w:r w:rsidR="009F4414">
        <w:rPr>
          <w:rFonts w:ascii="Times New Roman" w:hAnsi="Times New Roman" w:cs="Times New Roman"/>
          <w:sz w:val="24"/>
          <w:szCs w:val="24"/>
        </w:rPr>
        <w:t xml:space="preserve"> resistência à insulin</w:t>
      </w:r>
      <w:bookmarkStart w:id="3" w:name="_Hlk53340323"/>
      <w:r w:rsidR="0054147E">
        <w:rPr>
          <w:rFonts w:ascii="Times New Roman" w:hAnsi="Times New Roman" w:cs="Times New Roman"/>
          <w:sz w:val="24"/>
          <w:szCs w:val="24"/>
        </w:rPr>
        <w:t>a</w:t>
      </w:r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3359991"/>
      <w:bookmarkEnd w:id="3"/>
      <w:r w:rsidR="0054147E">
        <w:rPr>
          <w:rFonts w:ascii="Times New Roman" w:hAnsi="Times New Roman" w:cs="Times New Roman"/>
          <w:sz w:val="24"/>
          <w:szCs w:val="24"/>
        </w:rPr>
        <w:t>(</w:t>
      </w:r>
      <w:r w:rsidR="00373BCD" w:rsidRPr="00373BCD">
        <w:rPr>
          <w:rFonts w:ascii="Times New Roman" w:hAnsi="Times New Roman" w:cs="Times New Roman"/>
          <w:sz w:val="24"/>
          <w:szCs w:val="24"/>
        </w:rPr>
        <w:t>TICINESI; TANA; NOUVENNE</w:t>
      </w:r>
      <w:r w:rsidR="00373BCD">
        <w:rPr>
          <w:rFonts w:ascii="Times New Roman" w:hAnsi="Times New Roman" w:cs="Times New Roman"/>
          <w:sz w:val="24"/>
          <w:szCs w:val="24"/>
        </w:rPr>
        <w:t xml:space="preserve">, </w:t>
      </w:r>
      <w:r w:rsidR="0054147E">
        <w:rPr>
          <w:rFonts w:ascii="Times New Roman" w:hAnsi="Times New Roman" w:cs="Times New Roman"/>
          <w:sz w:val="24"/>
          <w:szCs w:val="24"/>
        </w:rPr>
        <w:t>2019)</w:t>
      </w:r>
      <w:bookmarkEnd w:id="4"/>
      <w:r w:rsidR="008041CE">
        <w:rPr>
          <w:rFonts w:ascii="Times New Roman" w:hAnsi="Times New Roman" w:cs="Times New Roman"/>
          <w:sz w:val="24"/>
          <w:szCs w:val="24"/>
        </w:rPr>
        <w:t xml:space="preserve"> </w:t>
      </w:r>
      <w:r w:rsidR="006F2294" w:rsidRPr="004D7306">
        <w:rPr>
          <w:rFonts w:ascii="Times New Roman" w:hAnsi="Times New Roman" w:cs="Times New Roman"/>
          <w:sz w:val="24"/>
          <w:szCs w:val="24"/>
        </w:rPr>
        <w:t>(</w:t>
      </w:r>
      <w:r w:rsidR="0037043F">
        <w:rPr>
          <w:rFonts w:ascii="Times New Roman" w:hAnsi="Times New Roman" w:cs="Times New Roman"/>
          <w:sz w:val="24"/>
          <w:szCs w:val="24"/>
        </w:rPr>
        <w:t>FIGURA 1)</w:t>
      </w:r>
      <w:r w:rsidR="004D7306" w:rsidRPr="006A0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9648C" w14:textId="1E0BBEB7" w:rsidR="0042271B" w:rsidRDefault="0042271B" w:rsidP="004227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A4B7608" wp14:editId="5BFBD158">
            <wp:extent cx="5743575" cy="3267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3AC9" w14:textId="0A98F0B7" w:rsidR="0042271B" w:rsidRPr="006A076E" w:rsidRDefault="00B7308B" w:rsidP="006A076E">
      <w:pPr>
        <w:spacing w:line="360" w:lineRule="auto"/>
        <w:jc w:val="center"/>
        <w:rPr>
          <w:rFonts w:ascii="Times New Roman" w:hAnsi="Times New Roman" w:cs="Times New Roman"/>
        </w:rPr>
      </w:pPr>
      <w:r w:rsidRPr="00B7308B">
        <w:rPr>
          <w:rFonts w:ascii="Times New Roman" w:hAnsi="Times New Roman" w:cs="Times New Roman"/>
          <w:b/>
        </w:rPr>
        <w:t>Figura 1</w:t>
      </w:r>
      <w:r>
        <w:rPr>
          <w:rFonts w:ascii="Times New Roman" w:hAnsi="Times New Roman" w:cs="Times New Roman"/>
        </w:rPr>
        <w:t xml:space="preserve">- </w:t>
      </w:r>
      <w:r w:rsidR="0042271B" w:rsidRPr="006D1843">
        <w:rPr>
          <w:rFonts w:ascii="Times New Roman" w:hAnsi="Times New Roman" w:cs="Times New Roman"/>
        </w:rPr>
        <w:t>Microbiota intestinal e sarcopenia: os mecanismos envolvidos. Fonte: CASATI et al., 2019</w:t>
      </w:r>
    </w:p>
    <w:p w14:paraId="6A218D61" w14:textId="46FA6BEC" w:rsidR="00C93C53" w:rsidRDefault="00727B4D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3C53">
        <w:rPr>
          <w:rFonts w:ascii="Times New Roman" w:hAnsi="Times New Roman" w:cs="Times New Roman"/>
          <w:sz w:val="24"/>
          <w:szCs w:val="24"/>
        </w:rPr>
        <w:t xml:space="preserve"> possível </w:t>
      </w:r>
      <w:r>
        <w:rPr>
          <w:rFonts w:ascii="Times New Roman" w:hAnsi="Times New Roman" w:cs="Times New Roman"/>
          <w:sz w:val="24"/>
          <w:szCs w:val="24"/>
        </w:rPr>
        <w:t xml:space="preserve">existência de um </w:t>
      </w:r>
      <w:r w:rsidR="00C93C53">
        <w:rPr>
          <w:rFonts w:ascii="Times New Roman" w:hAnsi="Times New Roman" w:cs="Times New Roman"/>
          <w:sz w:val="24"/>
          <w:szCs w:val="24"/>
        </w:rPr>
        <w:t>eixo intestino-músculo</w:t>
      </w:r>
      <w:r w:rsidR="00262DD8">
        <w:rPr>
          <w:rFonts w:ascii="Times New Roman" w:hAnsi="Times New Roman" w:cs="Times New Roman"/>
          <w:sz w:val="24"/>
          <w:szCs w:val="24"/>
        </w:rPr>
        <w:t xml:space="preserve"> </w:t>
      </w:r>
      <w:r w:rsidR="00AB6436">
        <w:rPr>
          <w:rFonts w:ascii="Times New Roman" w:hAnsi="Times New Roman" w:cs="Times New Roman"/>
          <w:sz w:val="24"/>
          <w:szCs w:val="24"/>
        </w:rPr>
        <w:t>é relatada pela literatura, n</w:t>
      </w:r>
      <w:r>
        <w:rPr>
          <w:rFonts w:ascii="Times New Roman" w:hAnsi="Times New Roman" w:cs="Times New Roman"/>
          <w:sz w:val="24"/>
          <w:szCs w:val="24"/>
        </w:rPr>
        <w:t xml:space="preserve">a qual a composição da microbiota </w:t>
      </w:r>
      <w:r w:rsidR="00106A90">
        <w:rPr>
          <w:rFonts w:ascii="Times New Roman" w:hAnsi="Times New Roman" w:cs="Times New Roman"/>
          <w:sz w:val="24"/>
          <w:szCs w:val="24"/>
        </w:rPr>
        <w:t xml:space="preserve">intestinal </w:t>
      </w:r>
      <w:r w:rsidR="00AB6436">
        <w:rPr>
          <w:rFonts w:ascii="Times New Roman" w:hAnsi="Times New Roman" w:cs="Times New Roman"/>
          <w:sz w:val="24"/>
          <w:szCs w:val="24"/>
        </w:rPr>
        <w:t xml:space="preserve">é capaz de influenciar o anabolismo muscular e a funcionalidade do indivíduo </w:t>
      </w:r>
      <w:r w:rsidR="00AB6436" w:rsidRPr="00373BCD">
        <w:rPr>
          <w:rFonts w:ascii="Times New Roman" w:hAnsi="Times New Roman" w:cs="Times New Roman"/>
          <w:sz w:val="24"/>
          <w:szCs w:val="24"/>
        </w:rPr>
        <w:t xml:space="preserve">por meio da produção de mediadores </w:t>
      </w:r>
      <w:bookmarkStart w:id="5" w:name="_Hlk53359930"/>
      <w:r w:rsidR="00AB6436">
        <w:rPr>
          <w:rFonts w:ascii="Times New Roman" w:hAnsi="Times New Roman" w:cs="Times New Roman"/>
          <w:sz w:val="24"/>
          <w:szCs w:val="24"/>
        </w:rPr>
        <w:t>(CASATI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</w:t>
      </w:r>
      <w:r w:rsidR="00AB6436">
        <w:rPr>
          <w:rFonts w:ascii="Times New Roman" w:hAnsi="Times New Roman" w:cs="Times New Roman"/>
          <w:sz w:val="24"/>
          <w:szCs w:val="24"/>
        </w:rPr>
        <w:t>.</w:t>
      </w:r>
      <w:r w:rsidR="00373BCD">
        <w:rPr>
          <w:rFonts w:ascii="Times New Roman" w:hAnsi="Times New Roman" w:cs="Times New Roman"/>
          <w:sz w:val="24"/>
          <w:szCs w:val="24"/>
        </w:rPr>
        <w:t>, 2019</w:t>
      </w:r>
      <w:r w:rsidR="00AB6436">
        <w:rPr>
          <w:rFonts w:ascii="Times New Roman" w:hAnsi="Times New Roman" w:cs="Times New Roman"/>
          <w:sz w:val="24"/>
          <w:szCs w:val="24"/>
        </w:rPr>
        <w:t xml:space="preserve">). </w:t>
      </w:r>
      <w:bookmarkEnd w:id="5"/>
      <w:r w:rsidR="00641C65">
        <w:rPr>
          <w:rFonts w:ascii="Times New Roman" w:hAnsi="Times New Roman" w:cs="Times New Roman"/>
          <w:sz w:val="24"/>
          <w:szCs w:val="24"/>
        </w:rPr>
        <w:t>Uma das explicações é o aumento da permeabilidade intestinal por essa microbiota desequilibrada</w:t>
      </w:r>
      <w:r w:rsidR="00766E6E">
        <w:rPr>
          <w:rFonts w:ascii="Times New Roman" w:hAnsi="Times New Roman" w:cs="Times New Roman"/>
          <w:sz w:val="24"/>
          <w:szCs w:val="24"/>
        </w:rPr>
        <w:t xml:space="preserve"> e rica em patógenos</w:t>
      </w:r>
      <w:r w:rsidR="00A711F8">
        <w:rPr>
          <w:rFonts w:ascii="Times New Roman" w:hAnsi="Times New Roman" w:cs="Times New Roman"/>
          <w:sz w:val="24"/>
          <w:szCs w:val="24"/>
        </w:rPr>
        <w:t>,</w:t>
      </w:r>
      <w:r w:rsidR="00641C65">
        <w:rPr>
          <w:rFonts w:ascii="Times New Roman" w:hAnsi="Times New Roman" w:cs="Times New Roman"/>
          <w:sz w:val="24"/>
          <w:szCs w:val="24"/>
        </w:rPr>
        <w:t xml:space="preserve"> favorecendo a entrada </w:t>
      </w:r>
      <w:r w:rsidR="00BF40F9">
        <w:rPr>
          <w:rFonts w:ascii="Times New Roman" w:hAnsi="Times New Roman" w:cs="Times New Roman"/>
          <w:sz w:val="24"/>
          <w:szCs w:val="24"/>
        </w:rPr>
        <w:t xml:space="preserve">na corrente sanguínea </w:t>
      </w:r>
      <w:r w:rsidR="00641C65">
        <w:rPr>
          <w:rFonts w:ascii="Times New Roman" w:hAnsi="Times New Roman" w:cs="Times New Roman"/>
          <w:sz w:val="24"/>
          <w:szCs w:val="24"/>
        </w:rPr>
        <w:t xml:space="preserve">de produtos microbianos, principalmente lipopolissacarídeos, os quais </w:t>
      </w:r>
      <w:r w:rsidR="00F648E7">
        <w:rPr>
          <w:rFonts w:ascii="Times New Roman" w:hAnsi="Times New Roman" w:cs="Times New Roman"/>
          <w:sz w:val="24"/>
          <w:szCs w:val="24"/>
        </w:rPr>
        <w:t>ativam uma resposta inflamatória com a liberação de IL-6 e TNF-</w:t>
      </w:r>
      <w:r w:rsidR="00F648E7" w:rsidRPr="00F648E7">
        <w:t xml:space="preserve"> </w:t>
      </w:r>
      <w:r w:rsidR="00F648E7">
        <w:rPr>
          <w:rFonts w:ascii="Times New Roman" w:hAnsi="Times New Roman" w:cs="Times New Roman"/>
          <w:sz w:val="24"/>
          <w:szCs w:val="24"/>
        </w:rPr>
        <w:t xml:space="preserve">alfa </w:t>
      </w:r>
      <w:bookmarkStart w:id="6" w:name="_Hlk53359960"/>
      <w:r w:rsidR="00F648E7">
        <w:rPr>
          <w:rFonts w:ascii="Times New Roman" w:hAnsi="Times New Roman" w:cs="Times New Roman"/>
          <w:sz w:val="24"/>
          <w:szCs w:val="24"/>
        </w:rPr>
        <w:t>(TICINESI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al.,</w:t>
      </w:r>
      <w:r w:rsidR="00A711F8">
        <w:rPr>
          <w:rFonts w:ascii="Times New Roman" w:hAnsi="Times New Roman" w:cs="Times New Roman"/>
          <w:sz w:val="24"/>
          <w:szCs w:val="24"/>
        </w:rPr>
        <w:t xml:space="preserve"> </w:t>
      </w:r>
      <w:r w:rsidR="00F648E7">
        <w:rPr>
          <w:rFonts w:ascii="Times New Roman" w:hAnsi="Times New Roman" w:cs="Times New Roman"/>
          <w:sz w:val="24"/>
          <w:szCs w:val="24"/>
        </w:rPr>
        <w:t>2019)</w:t>
      </w:r>
      <w:r w:rsidR="00766E6E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357DB951" w14:textId="5A9D3368" w:rsidR="00C7537E" w:rsidRDefault="00766E6E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Vários outros mediadores são produzidos ou modificados pela microbiota</w:t>
      </w:r>
      <w:r w:rsidR="00BF40F9">
        <w:rPr>
          <w:rFonts w:ascii="Times New Roman" w:hAnsi="Times New Roman" w:cs="Times New Roman"/>
          <w:sz w:val="24"/>
          <w:szCs w:val="24"/>
        </w:rPr>
        <w:t xml:space="preserve"> intestinal e que podem entrar na circulação sistêmica sendo capaz de afetar o músculo esquelético.</w:t>
      </w:r>
      <w:r w:rsidR="00333BB5">
        <w:rPr>
          <w:rFonts w:ascii="Times New Roman" w:hAnsi="Times New Roman" w:cs="Times New Roman"/>
          <w:sz w:val="24"/>
          <w:szCs w:val="24"/>
        </w:rPr>
        <w:t xml:space="preserve"> Uma microbiota saudável, por exemplo, tem a capacidade de produzir uma boa quantidade de folato e vitamina B12, sendo importante na melhora do anabolismo muscular e na prevenção do estresse oxidativo</w:t>
      </w:r>
      <w:r w:rsidR="00C7537E">
        <w:rPr>
          <w:rFonts w:ascii="Times New Roman" w:hAnsi="Times New Roman" w:cs="Times New Roman"/>
          <w:sz w:val="24"/>
          <w:szCs w:val="24"/>
        </w:rPr>
        <w:t xml:space="preserve">, que são induzidos pela </w:t>
      </w:r>
      <w:r w:rsidR="00BF40F9" w:rsidRPr="00BF40F9">
        <w:rPr>
          <w:rFonts w:ascii="Times New Roman" w:hAnsi="Times New Roman" w:cs="Times New Roman"/>
          <w:sz w:val="24"/>
          <w:szCs w:val="24"/>
        </w:rPr>
        <w:t>hiper-homocisteinemia e dano endotelial,</w:t>
      </w:r>
      <w:r w:rsidR="00C7537E">
        <w:rPr>
          <w:rFonts w:ascii="Times New Roman" w:hAnsi="Times New Roman" w:cs="Times New Roman"/>
          <w:sz w:val="24"/>
          <w:szCs w:val="24"/>
        </w:rPr>
        <w:t xml:space="preserve"> responsáveis pela função muscular reduzida (TICIN</w:t>
      </w:r>
      <w:r w:rsidR="00373BCD">
        <w:rPr>
          <w:rFonts w:ascii="Times New Roman" w:hAnsi="Times New Roman" w:cs="Times New Roman"/>
          <w:sz w:val="24"/>
          <w:szCs w:val="24"/>
        </w:rPr>
        <w:t>E</w:t>
      </w:r>
      <w:r w:rsidR="00C7537E">
        <w:rPr>
          <w:rFonts w:ascii="Times New Roman" w:hAnsi="Times New Roman" w:cs="Times New Roman"/>
          <w:sz w:val="24"/>
          <w:szCs w:val="24"/>
        </w:rPr>
        <w:t>SI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al., </w:t>
      </w:r>
      <w:r w:rsidR="00C7537E">
        <w:rPr>
          <w:rFonts w:ascii="Times New Roman" w:hAnsi="Times New Roman" w:cs="Times New Roman"/>
          <w:sz w:val="24"/>
          <w:szCs w:val="24"/>
        </w:rPr>
        <w:t>2017)</w:t>
      </w:r>
      <w:r w:rsidR="00373BCD">
        <w:rPr>
          <w:rFonts w:ascii="Times New Roman" w:hAnsi="Times New Roman" w:cs="Times New Roman"/>
          <w:sz w:val="24"/>
          <w:szCs w:val="24"/>
        </w:rPr>
        <w:t>.</w:t>
      </w:r>
    </w:p>
    <w:p w14:paraId="0F6273CC" w14:textId="3580C4AE" w:rsidR="00AE6EF8" w:rsidRDefault="00C75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síntese de alguns aminoácidos </w:t>
      </w:r>
      <w:r w:rsidR="006B6107">
        <w:rPr>
          <w:rFonts w:ascii="Times New Roman" w:hAnsi="Times New Roman" w:cs="Times New Roman"/>
          <w:sz w:val="24"/>
          <w:szCs w:val="24"/>
        </w:rPr>
        <w:t>acontece através da microbiota intestinal</w:t>
      </w:r>
      <w:r w:rsidR="00A711F8">
        <w:rPr>
          <w:rFonts w:ascii="Times New Roman" w:hAnsi="Times New Roman" w:cs="Times New Roman"/>
          <w:sz w:val="24"/>
          <w:szCs w:val="24"/>
        </w:rPr>
        <w:t xml:space="preserve">, a exemplo do triptofano. Este aminoácido </w:t>
      </w:r>
      <w:r w:rsidR="006B6107">
        <w:rPr>
          <w:rFonts w:ascii="Times New Roman" w:hAnsi="Times New Roman" w:cs="Times New Roman"/>
          <w:sz w:val="24"/>
          <w:szCs w:val="24"/>
        </w:rPr>
        <w:t xml:space="preserve">representa </w:t>
      </w:r>
      <w:r w:rsidR="00BF40F9" w:rsidRPr="00BF40F9">
        <w:rPr>
          <w:rFonts w:ascii="Times New Roman" w:hAnsi="Times New Roman" w:cs="Times New Roman"/>
          <w:sz w:val="24"/>
          <w:szCs w:val="24"/>
        </w:rPr>
        <w:t xml:space="preserve">os substratos fundamentais para o anabolismo </w:t>
      </w:r>
      <w:r w:rsidR="00E15440" w:rsidRPr="00BF40F9">
        <w:rPr>
          <w:rFonts w:ascii="Times New Roman" w:hAnsi="Times New Roman" w:cs="Times New Roman"/>
          <w:sz w:val="24"/>
          <w:szCs w:val="24"/>
        </w:rPr>
        <w:t>proteico</w:t>
      </w:r>
      <w:r w:rsidR="00BF40F9" w:rsidRPr="00BF40F9">
        <w:rPr>
          <w:rFonts w:ascii="Times New Roman" w:hAnsi="Times New Roman" w:cs="Times New Roman"/>
          <w:sz w:val="24"/>
          <w:szCs w:val="24"/>
        </w:rPr>
        <w:t xml:space="preserve"> muscular</w:t>
      </w:r>
      <w:r w:rsidR="006B6107">
        <w:rPr>
          <w:rFonts w:ascii="Times New Roman" w:hAnsi="Times New Roman" w:cs="Times New Roman"/>
          <w:sz w:val="24"/>
          <w:szCs w:val="24"/>
        </w:rPr>
        <w:t xml:space="preserve">, além de influenciar na </w:t>
      </w:r>
      <w:r w:rsidR="00E15440">
        <w:rPr>
          <w:rFonts w:ascii="Times New Roman" w:hAnsi="Times New Roman" w:cs="Times New Roman"/>
          <w:sz w:val="24"/>
          <w:szCs w:val="24"/>
        </w:rPr>
        <w:t xml:space="preserve">via IGF-1 </w:t>
      </w:r>
      <w:r w:rsidR="00BF40F9" w:rsidRPr="00BF40F9">
        <w:rPr>
          <w:rFonts w:ascii="Times New Roman" w:hAnsi="Times New Roman" w:cs="Times New Roman"/>
          <w:sz w:val="24"/>
          <w:szCs w:val="24"/>
        </w:rPr>
        <w:t>promovendo a expressão de genes envolvidos na síntese miofibrilar</w:t>
      </w:r>
      <w:r w:rsidR="00E15440">
        <w:rPr>
          <w:rFonts w:ascii="Times New Roman" w:hAnsi="Times New Roman" w:cs="Times New Roman"/>
          <w:sz w:val="24"/>
          <w:szCs w:val="24"/>
        </w:rPr>
        <w:t xml:space="preserve">. Entre esses mediadores, os mais estudados são os </w:t>
      </w:r>
      <w:r w:rsidR="00A711F8">
        <w:rPr>
          <w:rFonts w:ascii="Times New Roman" w:hAnsi="Times New Roman" w:cs="Times New Roman"/>
          <w:sz w:val="24"/>
          <w:szCs w:val="24"/>
        </w:rPr>
        <w:t>ácidos graxos de cadeia curta (</w:t>
      </w:r>
      <w:r w:rsidR="00E15440">
        <w:rPr>
          <w:rFonts w:ascii="Times New Roman" w:hAnsi="Times New Roman" w:cs="Times New Roman"/>
          <w:sz w:val="24"/>
          <w:szCs w:val="24"/>
        </w:rPr>
        <w:t>AGCC</w:t>
      </w:r>
      <w:r w:rsidR="00A711F8">
        <w:rPr>
          <w:rFonts w:ascii="Times New Roman" w:hAnsi="Times New Roman" w:cs="Times New Roman"/>
          <w:sz w:val="24"/>
          <w:szCs w:val="24"/>
        </w:rPr>
        <w:t>), em que s</w:t>
      </w:r>
      <w:r w:rsidR="00A93584">
        <w:rPr>
          <w:rFonts w:ascii="Times New Roman" w:hAnsi="Times New Roman" w:cs="Times New Roman"/>
          <w:sz w:val="24"/>
          <w:szCs w:val="24"/>
        </w:rPr>
        <w:t>ua produção acontec</w:t>
      </w:r>
      <w:r w:rsidR="00BA7030">
        <w:rPr>
          <w:rFonts w:ascii="Times New Roman" w:hAnsi="Times New Roman" w:cs="Times New Roman"/>
          <w:sz w:val="24"/>
          <w:szCs w:val="24"/>
        </w:rPr>
        <w:t xml:space="preserve">e </w:t>
      </w:r>
      <w:r w:rsidR="00A93584">
        <w:rPr>
          <w:rFonts w:ascii="Times New Roman" w:hAnsi="Times New Roman" w:cs="Times New Roman"/>
          <w:sz w:val="24"/>
          <w:szCs w:val="24"/>
        </w:rPr>
        <w:t>p</w:t>
      </w:r>
      <w:r w:rsidR="00BA7030">
        <w:rPr>
          <w:rFonts w:ascii="Times New Roman" w:hAnsi="Times New Roman" w:cs="Times New Roman"/>
          <w:sz w:val="24"/>
          <w:szCs w:val="24"/>
        </w:rPr>
        <w:t>or bactérias</w:t>
      </w:r>
      <w:r w:rsidR="00A93584">
        <w:rPr>
          <w:rFonts w:ascii="Times New Roman" w:hAnsi="Times New Roman" w:cs="Times New Roman"/>
          <w:sz w:val="24"/>
          <w:szCs w:val="24"/>
        </w:rPr>
        <w:t xml:space="preserve"> intestinais</w:t>
      </w:r>
      <w:r w:rsidR="00BA7030">
        <w:rPr>
          <w:rFonts w:ascii="Times New Roman" w:hAnsi="Times New Roman" w:cs="Times New Roman"/>
          <w:sz w:val="24"/>
          <w:szCs w:val="24"/>
        </w:rPr>
        <w:t xml:space="preserve"> como </w:t>
      </w:r>
      <w:r w:rsidR="00BA703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93584">
        <w:rPr>
          <w:rFonts w:ascii="Times New Roman" w:hAnsi="Times New Roman" w:cs="Times New Roman"/>
          <w:sz w:val="24"/>
          <w:szCs w:val="24"/>
        </w:rPr>
        <w:t xml:space="preserve"> </w:t>
      </w:r>
      <w:r w:rsidR="00A93584" w:rsidRPr="006A076E">
        <w:rPr>
          <w:rFonts w:ascii="Times New Roman" w:hAnsi="Times New Roman" w:cs="Times New Roman"/>
          <w:i/>
          <w:iCs/>
          <w:sz w:val="24"/>
          <w:szCs w:val="24"/>
        </w:rPr>
        <w:t>Faecalibacterium</w:t>
      </w:r>
      <w:r w:rsidR="00A93584">
        <w:rPr>
          <w:rFonts w:ascii="Times New Roman" w:hAnsi="Times New Roman" w:cs="Times New Roman"/>
          <w:sz w:val="24"/>
          <w:szCs w:val="24"/>
        </w:rPr>
        <w:t>,</w:t>
      </w:r>
      <w:r w:rsidR="00BA7030">
        <w:rPr>
          <w:rFonts w:ascii="Times New Roman" w:hAnsi="Times New Roman" w:cs="Times New Roman"/>
          <w:sz w:val="24"/>
          <w:szCs w:val="24"/>
        </w:rPr>
        <w:t xml:space="preserve"> </w:t>
      </w:r>
      <w:r w:rsidR="00A711F8">
        <w:rPr>
          <w:rFonts w:ascii="Times New Roman" w:hAnsi="Times New Roman" w:cs="Times New Roman"/>
          <w:sz w:val="24"/>
          <w:szCs w:val="24"/>
        </w:rPr>
        <w:t xml:space="preserve">a qual é </w:t>
      </w:r>
      <w:r w:rsidR="00BA7030">
        <w:rPr>
          <w:rFonts w:ascii="Times New Roman" w:hAnsi="Times New Roman" w:cs="Times New Roman"/>
          <w:sz w:val="24"/>
          <w:szCs w:val="24"/>
        </w:rPr>
        <w:t>pouco existente na microbiota do idoso devido a menor diversidade</w:t>
      </w:r>
      <w:r w:rsidR="0042271B">
        <w:rPr>
          <w:rFonts w:ascii="Times New Roman" w:hAnsi="Times New Roman" w:cs="Times New Roman"/>
          <w:sz w:val="24"/>
          <w:szCs w:val="24"/>
        </w:rPr>
        <w:t xml:space="preserve"> </w:t>
      </w:r>
      <w:r w:rsidR="00D95F84">
        <w:rPr>
          <w:rFonts w:ascii="Times New Roman" w:hAnsi="Times New Roman" w:cs="Times New Roman"/>
          <w:sz w:val="24"/>
          <w:szCs w:val="24"/>
        </w:rPr>
        <w:t>(TICIN</w:t>
      </w:r>
      <w:r w:rsidR="006D1843">
        <w:rPr>
          <w:rFonts w:ascii="Times New Roman" w:hAnsi="Times New Roman" w:cs="Times New Roman"/>
          <w:sz w:val="24"/>
          <w:szCs w:val="24"/>
        </w:rPr>
        <w:t>E</w:t>
      </w:r>
      <w:r w:rsidR="00D95F84">
        <w:rPr>
          <w:rFonts w:ascii="Times New Roman" w:hAnsi="Times New Roman" w:cs="Times New Roman"/>
          <w:sz w:val="24"/>
          <w:szCs w:val="24"/>
        </w:rPr>
        <w:t>SI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al.,</w:t>
      </w:r>
      <w:r w:rsidR="00D95F84">
        <w:rPr>
          <w:rFonts w:ascii="Times New Roman" w:hAnsi="Times New Roman" w:cs="Times New Roman"/>
          <w:sz w:val="24"/>
          <w:szCs w:val="24"/>
        </w:rPr>
        <w:t xml:space="preserve"> 2017)</w:t>
      </w:r>
      <w:r w:rsidR="00BA70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5D1D1" w14:textId="38D77088" w:rsidR="00E15440" w:rsidRDefault="00AE6EF8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AGCC têm como um dos seus alvos principais as mitocôndrias do músculo esquelético</w:t>
      </w:r>
      <w:r w:rsidR="0042271B">
        <w:rPr>
          <w:rFonts w:ascii="Times New Roman" w:hAnsi="Times New Roman" w:cs="Times New Roman"/>
          <w:sz w:val="24"/>
          <w:szCs w:val="24"/>
        </w:rPr>
        <w:t>, estes acabam por entrar</w:t>
      </w:r>
      <w:r w:rsidR="00BA7030">
        <w:rPr>
          <w:rFonts w:ascii="Times New Roman" w:hAnsi="Times New Roman" w:cs="Times New Roman"/>
          <w:sz w:val="24"/>
          <w:szCs w:val="24"/>
        </w:rPr>
        <w:t xml:space="preserve"> na circulação e s</w:t>
      </w:r>
      <w:r w:rsidR="0042271B">
        <w:rPr>
          <w:rFonts w:ascii="Times New Roman" w:hAnsi="Times New Roman" w:cs="Times New Roman"/>
          <w:sz w:val="24"/>
          <w:szCs w:val="24"/>
        </w:rPr>
        <w:t>ão</w:t>
      </w:r>
      <w:r w:rsidR="00BA7030">
        <w:rPr>
          <w:rFonts w:ascii="Times New Roman" w:hAnsi="Times New Roman" w:cs="Times New Roman"/>
          <w:sz w:val="24"/>
          <w:szCs w:val="24"/>
        </w:rPr>
        <w:t xml:space="preserve"> absorvidos pelas células do músculo esquelético </w:t>
      </w:r>
      <w:r w:rsidR="00A9558A">
        <w:rPr>
          <w:rFonts w:ascii="Times New Roman" w:hAnsi="Times New Roman" w:cs="Times New Roman"/>
          <w:sz w:val="24"/>
          <w:szCs w:val="24"/>
        </w:rPr>
        <w:t xml:space="preserve">atuando em receptores de ácidos graxos livres </w:t>
      </w:r>
      <w:r w:rsidR="00E15440" w:rsidRPr="00E15440">
        <w:rPr>
          <w:rFonts w:ascii="Times New Roman" w:hAnsi="Times New Roman" w:cs="Times New Roman"/>
          <w:sz w:val="24"/>
          <w:szCs w:val="24"/>
        </w:rPr>
        <w:t>(FFAR-2 e FFAR3)</w:t>
      </w:r>
      <w:r w:rsidR="00A9558A">
        <w:rPr>
          <w:rFonts w:ascii="Times New Roman" w:hAnsi="Times New Roman" w:cs="Times New Roman"/>
          <w:sz w:val="24"/>
          <w:szCs w:val="24"/>
        </w:rPr>
        <w:t xml:space="preserve">, os quais influenciam na modulação da captação e do metabolismo de glicose e, assim, na sensibilidade à insulina. Como também é responsável por </w:t>
      </w:r>
      <w:r w:rsidR="00E15440" w:rsidRPr="00E15440">
        <w:rPr>
          <w:rFonts w:ascii="Times New Roman" w:hAnsi="Times New Roman" w:cs="Times New Roman"/>
          <w:sz w:val="24"/>
          <w:szCs w:val="24"/>
        </w:rPr>
        <w:t>regula</w:t>
      </w:r>
      <w:r w:rsidR="00A9558A">
        <w:rPr>
          <w:rFonts w:ascii="Times New Roman" w:hAnsi="Times New Roman" w:cs="Times New Roman"/>
          <w:sz w:val="24"/>
          <w:szCs w:val="24"/>
        </w:rPr>
        <w:t>r</w:t>
      </w:r>
      <w:r w:rsidR="00E15440" w:rsidRPr="00E15440">
        <w:rPr>
          <w:rFonts w:ascii="Times New Roman" w:hAnsi="Times New Roman" w:cs="Times New Roman"/>
          <w:sz w:val="24"/>
          <w:szCs w:val="24"/>
        </w:rPr>
        <w:t xml:space="preserve"> positivamente o receptor deacetilase</w:t>
      </w:r>
      <w:r w:rsidR="00A9558A">
        <w:rPr>
          <w:rFonts w:ascii="Times New Roman" w:hAnsi="Times New Roman" w:cs="Times New Roman"/>
          <w:sz w:val="24"/>
          <w:szCs w:val="24"/>
        </w:rPr>
        <w:t xml:space="preserve"> </w:t>
      </w:r>
      <w:r w:rsidR="00E15440" w:rsidRPr="00E15440">
        <w:rPr>
          <w:rFonts w:ascii="Times New Roman" w:hAnsi="Times New Roman" w:cs="Times New Roman"/>
          <w:sz w:val="24"/>
          <w:szCs w:val="24"/>
        </w:rPr>
        <w:t>sirtuin-1 (SIRT1) dependente de NAD, que é um modulador da biogênese mitocondrial</w:t>
      </w:r>
      <w:r w:rsidR="00A9558A">
        <w:rPr>
          <w:rFonts w:ascii="Times New Roman" w:hAnsi="Times New Roman" w:cs="Times New Roman"/>
          <w:sz w:val="24"/>
          <w:szCs w:val="24"/>
        </w:rPr>
        <w:t xml:space="preserve">. O butirato parece diminuir a inflamação através da inibição da translocação bacteriana ao reforçar as junções estreitas do intestino, conhecidas como </w:t>
      </w:r>
      <w:r w:rsidR="00A9558A" w:rsidRPr="006A076E">
        <w:rPr>
          <w:rFonts w:ascii="Times New Roman" w:hAnsi="Times New Roman" w:cs="Times New Roman"/>
          <w:i/>
          <w:iCs/>
          <w:sz w:val="24"/>
          <w:szCs w:val="24"/>
        </w:rPr>
        <w:t>tight junctions</w:t>
      </w:r>
      <w:r w:rsidR="00D95F84">
        <w:rPr>
          <w:rFonts w:ascii="Times New Roman" w:hAnsi="Times New Roman" w:cs="Times New Roman"/>
          <w:sz w:val="24"/>
          <w:szCs w:val="24"/>
        </w:rPr>
        <w:t xml:space="preserve"> (CASATI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al., 2019</w:t>
      </w:r>
      <w:r w:rsidR="00D95F84">
        <w:rPr>
          <w:rFonts w:ascii="Times New Roman" w:hAnsi="Times New Roman" w:cs="Times New Roman"/>
          <w:sz w:val="24"/>
          <w:szCs w:val="24"/>
        </w:rPr>
        <w:t>).</w:t>
      </w:r>
    </w:p>
    <w:p w14:paraId="3F912E57" w14:textId="602072DF" w:rsidR="001B60E5" w:rsidRPr="001B60E5" w:rsidRDefault="001B60E5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possivelmente uma maior necessidade da síntese de proteína muscular, característico de miócitos envelhecidos, que é chamado de resistência anabólica</w:t>
      </w:r>
      <w:r w:rsidR="00A71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devido a uma microbiota alterada. Esta resistência envolve a diminuição </w:t>
      </w:r>
      <w:r w:rsidR="00404111" w:rsidRPr="00404111">
        <w:rPr>
          <w:rFonts w:ascii="Times New Roman" w:hAnsi="Times New Roman" w:cs="Times New Roman"/>
          <w:sz w:val="24"/>
          <w:szCs w:val="24"/>
        </w:rPr>
        <w:t>da síntese prot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4111" w:rsidRPr="00404111">
        <w:rPr>
          <w:rFonts w:ascii="Times New Roman" w:hAnsi="Times New Roman" w:cs="Times New Roman"/>
          <w:sz w:val="24"/>
          <w:szCs w:val="24"/>
        </w:rPr>
        <w:t>ica muscular e</w:t>
      </w:r>
      <w:r>
        <w:rPr>
          <w:rFonts w:ascii="Times New Roman" w:hAnsi="Times New Roman" w:cs="Times New Roman"/>
          <w:sz w:val="24"/>
          <w:szCs w:val="24"/>
        </w:rPr>
        <w:t xml:space="preserve">, assim, </w:t>
      </w:r>
      <w:r w:rsidR="00404111" w:rsidRPr="00404111">
        <w:rPr>
          <w:rFonts w:ascii="Times New Roman" w:hAnsi="Times New Roman" w:cs="Times New Roman"/>
          <w:sz w:val="24"/>
          <w:szCs w:val="24"/>
        </w:rPr>
        <w:t>alteração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11" w:rsidRPr="00404111">
        <w:rPr>
          <w:rFonts w:ascii="Times New Roman" w:hAnsi="Times New Roman" w:cs="Times New Roman"/>
          <w:sz w:val="24"/>
          <w:szCs w:val="24"/>
        </w:rPr>
        <w:t xml:space="preserve">fisiologia muscular, </w:t>
      </w:r>
      <w:r>
        <w:rPr>
          <w:rFonts w:ascii="Times New Roman" w:hAnsi="Times New Roman" w:cs="Times New Roman"/>
          <w:sz w:val="24"/>
          <w:szCs w:val="24"/>
        </w:rPr>
        <w:t xml:space="preserve">podendo resultar em </w:t>
      </w:r>
      <w:r w:rsidR="00404111" w:rsidRPr="00404111">
        <w:rPr>
          <w:rFonts w:ascii="Times New Roman" w:hAnsi="Times New Roman" w:cs="Times New Roman"/>
          <w:sz w:val="24"/>
          <w:szCs w:val="24"/>
        </w:rPr>
        <w:t>sarcopenia</w:t>
      </w:r>
      <w:r>
        <w:rPr>
          <w:rFonts w:ascii="Times New Roman" w:hAnsi="Times New Roman" w:cs="Times New Roman"/>
          <w:sz w:val="24"/>
          <w:szCs w:val="24"/>
        </w:rPr>
        <w:t xml:space="preserve">. Esta enfermidade é composta por </w:t>
      </w:r>
      <w:r w:rsidRPr="001B60E5">
        <w:rPr>
          <w:rFonts w:ascii="Times New Roman" w:hAnsi="Times New Roman" w:cs="Times New Roman"/>
          <w:sz w:val="24"/>
          <w:szCs w:val="24"/>
        </w:rPr>
        <w:t>declínio do hormônio do crescimento (GH) e do fator de crescimento</w:t>
      </w:r>
      <w:r w:rsidR="00D867BB">
        <w:rPr>
          <w:rFonts w:ascii="Times New Roman" w:hAnsi="Times New Roman" w:cs="Times New Roman"/>
          <w:sz w:val="24"/>
          <w:szCs w:val="24"/>
        </w:rPr>
        <w:t xml:space="preserve"> </w:t>
      </w:r>
      <w:r w:rsidRPr="001B60E5">
        <w:rPr>
          <w:rFonts w:ascii="Times New Roman" w:hAnsi="Times New Roman" w:cs="Times New Roman"/>
          <w:sz w:val="24"/>
          <w:szCs w:val="24"/>
        </w:rPr>
        <w:t>semelhante à insulina</w:t>
      </w:r>
      <w:r w:rsidR="00A711F8">
        <w:rPr>
          <w:rFonts w:ascii="Times New Roman" w:hAnsi="Times New Roman" w:cs="Times New Roman"/>
          <w:sz w:val="24"/>
          <w:szCs w:val="24"/>
        </w:rPr>
        <w:t>-</w:t>
      </w:r>
      <w:r w:rsidRPr="001B60E5">
        <w:rPr>
          <w:rFonts w:ascii="Times New Roman" w:hAnsi="Times New Roman" w:cs="Times New Roman"/>
          <w:sz w:val="24"/>
          <w:szCs w:val="24"/>
        </w:rPr>
        <w:t>1 (IGF-1)</w:t>
      </w:r>
      <w:r w:rsidR="00D867BB">
        <w:rPr>
          <w:rFonts w:ascii="Times New Roman" w:hAnsi="Times New Roman" w:cs="Times New Roman"/>
          <w:sz w:val="24"/>
          <w:szCs w:val="24"/>
        </w:rPr>
        <w:t xml:space="preserve">. </w:t>
      </w:r>
      <w:r w:rsidR="00A711F8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D867BB">
        <w:rPr>
          <w:rFonts w:ascii="Times New Roman" w:hAnsi="Times New Roman" w:cs="Times New Roman"/>
          <w:sz w:val="24"/>
          <w:szCs w:val="24"/>
        </w:rPr>
        <w:t xml:space="preserve">observou-se que os AGCC podem estar relacionados à liberação </w:t>
      </w:r>
      <w:r w:rsidRPr="001B60E5">
        <w:rPr>
          <w:rFonts w:ascii="Times New Roman" w:hAnsi="Times New Roman" w:cs="Times New Roman"/>
          <w:sz w:val="24"/>
          <w:szCs w:val="24"/>
        </w:rPr>
        <w:t>IGF-</w:t>
      </w:r>
      <w:r w:rsidR="00D867BB">
        <w:rPr>
          <w:rFonts w:ascii="Times New Roman" w:hAnsi="Times New Roman" w:cs="Times New Roman"/>
          <w:sz w:val="24"/>
          <w:szCs w:val="24"/>
        </w:rPr>
        <w:t>1</w:t>
      </w:r>
      <w:r w:rsidR="00D95F84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3392345"/>
      <w:r w:rsidR="00D95F84">
        <w:rPr>
          <w:rFonts w:ascii="Times New Roman" w:hAnsi="Times New Roman" w:cs="Times New Roman"/>
          <w:sz w:val="24"/>
          <w:szCs w:val="24"/>
        </w:rPr>
        <w:t>CASATI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</w:t>
      </w:r>
      <w:r w:rsidR="006D1843">
        <w:rPr>
          <w:rFonts w:ascii="Times New Roman" w:hAnsi="Times New Roman" w:cs="Times New Roman"/>
          <w:sz w:val="24"/>
          <w:szCs w:val="24"/>
        </w:rPr>
        <w:t>.</w:t>
      </w:r>
      <w:r w:rsidR="00373BCD">
        <w:rPr>
          <w:rFonts w:ascii="Times New Roman" w:hAnsi="Times New Roman" w:cs="Times New Roman"/>
          <w:sz w:val="24"/>
          <w:szCs w:val="24"/>
        </w:rPr>
        <w:t>, 2019</w:t>
      </w:r>
      <w:bookmarkEnd w:id="7"/>
      <w:r w:rsidR="00D95F84">
        <w:rPr>
          <w:rFonts w:ascii="Times New Roman" w:hAnsi="Times New Roman" w:cs="Times New Roman"/>
          <w:sz w:val="24"/>
          <w:szCs w:val="24"/>
        </w:rPr>
        <w:t>).</w:t>
      </w:r>
    </w:p>
    <w:p w14:paraId="03AC26F5" w14:textId="1FA27FB0" w:rsidR="00B23296" w:rsidRDefault="00B23296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96">
        <w:rPr>
          <w:rFonts w:ascii="Times New Roman" w:hAnsi="Times New Roman" w:cs="Times New Roman"/>
          <w:sz w:val="24"/>
          <w:szCs w:val="24"/>
        </w:rPr>
        <w:t>Assim, a redução dos AGCC devido ao “envelhecimento” da microbiota pode resultar em resistência à insulina, redução da oxidação mitocondrial de ácidos graxos e, consequentemente, aumento da deposição de ácidos graxos intramusculares</w:t>
      </w:r>
      <w:r w:rsidR="00544D5B">
        <w:rPr>
          <w:rFonts w:ascii="Times New Roman" w:hAnsi="Times New Roman" w:cs="Times New Roman"/>
          <w:sz w:val="24"/>
          <w:szCs w:val="24"/>
        </w:rPr>
        <w:t>,</w:t>
      </w:r>
      <w:r w:rsidR="00C23556">
        <w:rPr>
          <w:rFonts w:ascii="Times New Roman" w:hAnsi="Times New Roman" w:cs="Times New Roman"/>
          <w:sz w:val="24"/>
          <w:szCs w:val="24"/>
        </w:rPr>
        <w:t xml:space="preserve"> levando</w:t>
      </w:r>
      <w:r w:rsidRPr="00B23296">
        <w:rPr>
          <w:rFonts w:ascii="Times New Roman" w:hAnsi="Times New Roman" w:cs="Times New Roman"/>
          <w:sz w:val="24"/>
          <w:szCs w:val="24"/>
        </w:rPr>
        <w:t xml:space="preserve"> à redução da força e qualidade muscular </w:t>
      </w:r>
      <w:r w:rsidR="00B7308B">
        <w:rPr>
          <w:rFonts w:ascii="Times New Roman" w:hAnsi="Times New Roman" w:cs="Times New Roman"/>
          <w:sz w:val="24"/>
          <w:szCs w:val="24"/>
        </w:rPr>
        <w:t>contribuindo para o desenvolvimento da</w:t>
      </w:r>
      <w:r w:rsidRPr="00B23296">
        <w:rPr>
          <w:rFonts w:ascii="Times New Roman" w:hAnsi="Times New Roman" w:cs="Times New Roman"/>
          <w:sz w:val="24"/>
          <w:szCs w:val="24"/>
        </w:rPr>
        <w:t xml:space="preserve"> resistência à insulina, o que resulta em um ciclo vicioso que</w:t>
      </w:r>
      <w:r w:rsidR="00B7308B">
        <w:rPr>
          <w:rFonts w:ascii="Times New Roman" w:hAnsi="Times New Roman" w:cs="Times New Roman"/>
          <w:sz w:val="24"/>
          <w:szCs w:val="24"/>
        </w:rPr>
        <w:t xml:space="preserve"> pode favorecer o surgimento da</w:t>
      </w:r>
      <w:r w:rsidRPr="00B23296">
        <w:rPr>
          <w:rFonts w:ascii="Times New Roman" w:hAnsi="Times New Roman" w:cs="Times New Roman"/>
          <w:sz w:val="24"/>
          <w:szCs w:val="24"/>
        </w:rPr>
        <w:t xml:space="preserve"> sarcopenia</w:t>
      </w:r>
      <w:r w:rsidR="00D95F84">
        <w:rPr>
          <w:rFonts w:ascii="Times New Roman" w:hAnsi="Times New Roman" w:cs="Times New Roman"/>
          <w:sz w:val="24"/>
          <w:szCs w:val="24"/>
        </w:rPr>
        <w:t xml:space="preserve"> (TICINESI</w:t>
      </w:r>
      <w:r w:rsidR="00373BCD">
        <w:rPr>
          <w:rFonts w:ascii="Times New Roman" w:hAnsi="Times New Roman" w:cs="Times New Roman"/>
          <w:sz w:val="24"/>
          <w:szCs w:val="24"/>
        </w:rPr>
        <w:t xml:space="preserve"> et al., </w:t>
      </w:r>
      <w:r w:rsidR="00D95F84">
        <w:rPr>
          <w:rFonts w:ascii="Times New Roman" w:hAnsi="Times New Roman" w:cs="Times New Roman"/>
          <w:sz w:val="24"/>
          <w:szCs w:val="24"/>
        </w:rPr>
        <w:t>2019).</w:t>
      </w:r>
    </w:p>
    <w:p w14:paraId="10EF36A6" w14:textId="5F5A427A" w:rsidR="00A22F54" w:rsidRDefault="00A22F54" w:rsidP="0079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poucos são</w:t>
      </w:r>
      <w:r w:rsidR="001F0608">
        <w:rPr>
          <w:rFonts w:ascii="Times New Roman" w:hAnsi="Times New Roman" w:cs="Times New Roman"/>
          <w:sz w:val="24"/>
          <w:szCs w:val="24"/>
        </w:rPr>
        <w:t xml:space="preserve"> </w:t>
      </w:r>
      <w:r w:rsidR="00B7308B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estudos que apresentam a relação entre a sarcopenia e a microbiota, sendo a maioria </w:t>
      </w:r>
      <w:r w:rsidR="00544D5B">
        <w:rPr>
          <w:rFonts w:ascii="Times New Roman" w:hAnsi="Times New Roman" w:cs="Times New Roman"/>
          <w:sz w:val="24"/>
          <w:szCs w:val="24"/>
        </w:rPr>
        <w:t xml:space="preserve">realizados </w:t>
      </w:r>
      <w:r>
        <w:rPr>
          <w:rFonts w:ascii="Times New Roman" w:hAnsi="Times New Roman" w:cs="Times New Roman"/>
          <w:sz w:val="24"/>
          <w:szCs w:val="24"/>
        </w:rPr>
        <w:t>com animais</w:t>
      </w:r>
      <w:r w:rsidR="00544D5B">
        <w:rPr>
          <w:rFonts w:ascii="Times New Roman" w:hAnsi="Times New Roman" w:cs="Times New Roman"/>
          <w:sz w:val="24"/>
          <w:szCs w:val="24"/>
        </w:rPr>
        <w:t xml:space="preserve">, </w:t>
      </w:r>
      <w:r w:rsidR="00802888">
        <w:rPr>
          <w:rFonts w:ascii="Times New Roman" w:hAnsi="Times New Roman" w:cs="Times New Roman"/>
          <w:sz w:val="24"/>
          <w:szCs w:val="24"/>
        </w:rPr>
        <w:t xml:space="preserve">assim, </w:t>
      </w:r>
      <w:r w:rsidR="00931043" w:rsidRPr="00B7308B">
        <w:rPr>
          <w:rFonts w:ascii="Times New Roman" w:hAnsi="Times New Roman" w:cs="Times New Roman"/>
          <w:sz w:val="24"/>
          <w:szCs w:val="24"/>
        </w:rPr>
        <w:t xml:space="preserve">novos </w:t>
      </w:r>
      <w:r w:rsidRPr="00B7308B">
        <w:rPr>
          <w:rFonts w:ascii="Times New Roman" w:hAnsi="Times New Roman" w:cs="Times New Roman"/>
          <w:sz w:val="24"/>
          <w:szCs w:val="24"/>
        </w:rPr>
        <w:t>estudos</w:t>
      </w:r>
      <w:r w:rsidR="00931043">
        <w:rPr>
          <w:rFonts w:ascii="Times New Roman" w:hAnsi="Times New Roman" w:cs="Times New Roman"/>
          <w:sz w:val="24"/>
          <w:szCs w:val="24"/>
        </w:rPr>
        <w:t xml:space="preserve"> </w:t>
      </w:r>
      <w:r w:rsidR="00B7308B">
        <w:rPr>
          <w:rFonts w:ascii="Times New Roman" w:hAnsi="Times New Roman" w:cs="Times New Roman"/>
          <w:sz w:val="24"/>
          <w:szCs w:val="24"/>
        </w:rPr>
        <w:t xml:space="preserve">que supram essas lacunas </w:t>
      </w:r>
      <w:r w:rsidR="00931043">
        <w:rPr>
          <w:rFonts w:ascii="Times New Roman" w:hAnsi="Times New Roman" w:cs="Times New Roman"/>
          <w:sz w:val="24"/>
          <w:szCs w:val="24"/>
        </w:rPr>
        <w:t>são essenciais</w:t>
      </w:r>
      <w:r>
        <w:rPr>
          <w:rFonts w:ascii="Times New Roman" w:hAnsi="Times New Roman" w:cs="Times New Roman"/>
          <w:sz w:val="24"/>
          <w:szCs w:val="24"/>
        </w:rPr>
        <w:t>. Além disso, as evidências relatam que não há conhecimento se a relação da microbiota intestinal e a sarcopenia é de causa ou consequência</w:t>
      </w:r>
      <w:r w:rsidR="00544D5B">
        <w:rPr>
          <w:rFonts w:ascii="Times New Roman" w:hAnsi="Times New Roman" w:cs="Times New Roman"/>
          <w:sz w:val="24"/>
          <w:szCs w:val="24"/>
        </w:rPr>
        <w:t xml:space="preserve"> e,</w:t>
      </w:r>
      <w:r w:rsidR="00E7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embora não se tenha ce</w:t>
      </w:r>
      <w:r w:rsidR="004A348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teza da existência do eixo intestino-músculo, </w:t>
      </w:r>
      <w:r w:rsidR="004A348A">
        <w:rPr>
          <w:rFonts w:ascii="Times New Roman" w:hAnsi="Times New Roman" w:cs="Times New Roman"/>
          <w:sz w:val="24"/>
          <w:szCs w:val="24"/>
        </w:rPr>
        <w:t xml:space="preserve">acredita-se que haja essa via devido a estudos que mostram </w:t>
      </w:r>
      <w:r>
        <w:rPr>
          <w:rFonts w:ascii="Times New Roman" w:hAnsi="Times New Roman" w:cs="Times New Roman"/>
          <w:sz w:val="24"/>
          <w:szCs w:val="24"/>
        </w:rPr>
        <w:t xml:space="preserve">que a redução do exercício físico foi responsável por ocasionar uma alteração na microbiota, </w:t>
      </w:r>
      <w:r w:rsidRPr="001B60E5">
        <w:rPr>
          <w:rFonts w:ascii="Times New Roman" w:hAnsi="Times New Roman" w:cs="Times New Roman"/>
          <w:sz w:val="24"/>
          <w:szCs w:val="24"/>
        </w:rPr>
        <w:t>sugerindo uma interferência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0E5">
        <w:rPr>
          <w:rFonts w:ascii="Times New Roman" w:hAnsi="Times New Roman" w:cs="Times New Roman"/>
          <w:sz w:val="24"/>
          <w:szCs w:val="24"/>
        </w:rPr>
        <w:t xml:space="preserve">bidirecional entre 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B60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1B60E5">
        <w:rPr>
          <w:rFonts w:ascii="Times New Roman" w:hAnsi="Times New Roman" w:cs="Times New Roman"/>
          <w:sz w:val="24"/>
          <w:szCs w:val="24"/>
        </w:rPr>
        <w:t>scul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0E5">
        <w:rPr>
          <w:rFonts w:ascii="Times New Roman" w:hAnsi="Times New Roman" w:cs="Times New Roman"/>
          <w:sz w:val="24"/>
          <w:szCs w:val="24"/>
        </w:rPr>
        <w:t xml:space="preserve"> e intestin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5F84">
        <w:rPr>
          <w:rFonts w:ascii="Times New Roman" w:hAnsi="Times New Roman" w:cs="Times New Roman"/>
          <w:sz w:val="24"/>
          <w:szCs w:val="24"/>
        </w:rPr>
        <w:t xml:space="preserve"> (</w:t>
      </w:r>
      <w:r w:rsidR="00373BCD" w:rsidRPr="00373BCD">
        <w:rPr>
          <w:rFonts w:ascii="Times New Roman" w:hAnsi="Times New Roman" w:cs="Times New Roman"/>
          <w:sz w:val="24"/>
          <w:szCs w:val="24"/>
        </w:rPr>
        <w:t>TICINESI; TANA; NOUVENNE</w:t>
      </w:r>
      <w:r w:rsidR="00373BCD">
        <w:rPr>
          <w:rFonts w:ascii="Times New Roman" w:hAnsi="Times New Roman" w:cs="Times New Roman"/>
          <w:sz w:val="24"/>
          <w:szCs w:val="24"/>
        </w:rPr>
        <w:t>, 2019).</w:t>
      </w:r>
    </w:p>
    <w:p w14:paraId="7A0F6D54" w14:textId="6D0AF166" w:rsidR="003B5697" w:rsidRPr="006D1843" w:rsidRDefault="004A348A" w:rsidP="006A07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entende-se a importância de se avaliar cada vez mais a microbiota intestinal como </w:t>
      </w:r>
      <w:r w:rsidRPr="009F4C57">
        <w:rPr>
          <w:rFonts w:ascii="Times New Roman" w:hAnsi="Times New Roman" w:cs="Times New Roman"/>
          <w:sz w:val="24"/>
          <w:szCs w:val="24"/>
        </w:rPr>
        <w:t>alvo potencial para intervenções contra a sarcopenia</w:t>
      </w:r>
      <w:r>
        <w:rPr>
          <w:rFonts w:ascii="Times New Roman" w:hAnsi="Times New Roman" w:cs="Times New Roman"/>
          <w:sz w:val="24"/>
          <w:szCs w:val="24"/>
        </w:rPr>
        <w:t>. Entendendo sua via de comunicação bidirecional com o músculo esquelético, possivelmente através do eixo intestino-músculo</w:t>
      </w:r>
      <w:r w:rsidR="00EA61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53490689"/>
    </w:p>
    <w:bookmarkEnd w:id="8"/>
    <w:p w14:paraId="7EE1F593" w14:textId="77777777" w:rsidR="0059547E" w:rsidRDefault="0059547E" w:rsidP="005954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8F8B2" w14:textId="7A98F01B" w:rsidR="0059547E" w:rsidRDefault="0059547E" w:rsidP="0059547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t>CONCLUSÃO</w:t>
      </w:r>
      <w:r w:rsidR="00A93584" w:rsidRPr="00595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5A93D6" w14:textId="536CAFA9" w:rsidR="006E5877" w:rsidRDefault="0059547E" w:rsidP="00797A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Os resultados encontrados sugerem que existe uma associação entre a sarcopenia e microbiota intestinal possivelmente através do eixo intestino</w:t>
      </w:r>
      <w:r w:rsidR="00144B86">
        <w:rPr>
          <w:rFonts w:ascii="Times New Roman" w:hAnsi="Times New Roman" w:cs="Times New Roman"/>
          <w:sz w:val="24"/>
          <w:szCs w:val="24"/>
        </w:rPr>
        <w:t>-</w:t>
      </w:r>
      <w:r w:rsidRPr="0059547E">
        <w:rPr>
          <w:rFonts w:ascii="Times New Roman" w:hAnsi="Times New Roman" w:cs="Times New Roman"/>
          <w:sz w:val="24"/>
          <w:szCs w:val="24"/>
        </w:rPr>
        <w:t>músculo. As evidências relatam que a microbiota pode influenciar na sarcopenia através de alguns mecanismos</w:t>
      </w:r>
      <w:r w:rsidR="00544D5B">
        <w:rPr>
          <w:rFonts w:ascii="Times New Roman" w:hAnsi="Times New Roman" w:cs="Times New Roman"/>
          <w:sz w:val="24"/>
          <w:szCs w:val="24"/>
        </w:rPr>
        <w:t xml:space="preserve"> e</w:t>
      </w:r>
      <w:r w:rsidRPr="0059547E">
        <w:rPr>
          <w:rFonts w:ascii="Times New Roman" w:hAnsi="Times New Roman" w:cs="Times New Roman"/>
          <w:sz w:val="24"/>
          <w:szCs w:val="24"/>
        </w:rPr>
        <w:t xml:space="preserve"> o conhecimento sobre tais variáveis </w:t>
      </w:r>
      <w:r>
        <w:rPr>
          <w:rFonts w:ascii="Times New Roman" w:hAnsi="Times New Roman" w:cs="Times New Roman"/>
          <w:sz w:val="24"/>
          <w:szCs w:val="24"/>
        </w:rPr>
        <w:t xml:space="preserve">é essencial para entender sua relação e melhorar o tratamento terapêutico e qualidade de vida desses indivíduos. </w:t>
      </w:r>
    </w:p>
    <w:p w14:paraId="0B9BD2E5" w14:textId="77777777" w:rsidR="00E76A34" w:rsidRDefault="00E76A34" w:rsidP="00797A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727BB2" w14:textId="2764D7A9" w:rsidR="006E5877" w:rsidRPr="006E5877" w:rsidRDefault="006E5877" w:rsidP="006E58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877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6F82B502" w14:textId="19DA27FC" w:rsidR="006E5877" w:rsidRPr="00C83181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Cs w:val="24"/>
        </w:rPr>
      </w:pPr>
      <w:r w:rsidRPr="00642CB2">
        <w:rPr>
          <w:rFonts w:ascii="Times New Roman" w:hAnsi="Times New Roman" w:cs="Times New Roman"/>
        </w:rPr>
        <w:fldChar w:fldCharType="begin" w:fldLock="1"/>
      </w:r>
      <w:r w:rsidRPr="00797A0E">
        <w:rPr>
          <w:rFonts w:ascii="Times New Roman" w:hAnsi="Times New Roman" w:cs="Times New Roman"/>
          <w:lang w:val="en-US"/>
        </w:rPr>
        <w:instrText xml:space="preserve">ADDIN Mendeley Bibliography CSL_BIBLIOGRAPHY </w:instrText>
      </w:r>
      <w:r w:rsidRPr="00642CB2">
        <w:rPr>
          <w:rFonts w:ascii="Times New Roman" w:hAnsi="Times New Roman" w:cs="Times New Roman"/>
        </w:rPr>
        <w:fldChar w:fldCharType="separate"/>
      </w: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ALEXANDRE, T. S et al. Prevalence and associated factors of sarcopenia, dynapenia, and sarcodynapenia in community-dwelling elderly in são paulo – sabe study. </w:t>
      </w:r>
      <w:r w:rsidRPr="00C83181">
        <w:rPr>
          <w:rFonts w:ascii="Times New Roman" w:hAnsi="Times New Roman" w:cs="Times New Roman"/>
          <w:b/>
          <w:bCs/>
          <w:noProof/>
          <w:szCs w:val="24"/>
        </w:rPr>
        <w:t>Revista Brasileira de Epidemiologia</w:t>
      </w:r>
      <w:r w:rsidR="00C23556" w:rsidRPr="00C83181">
        <w:rPr>
          <w:rFonts w:ascii="Times New Roman" w:hAnsi="Times New Roman" w:cs="Times New Roman"/>
          <w:noProof/>
          <w:szCs w:val="24"/>
        </w:rPr>
        <w:t>, v. 21</w:t>
      </w:r>
      <w:r w:rsidRPr="00C83181">
        <w:rPr>
          <w:rFonts w:ascii="Times New Roman" w:hAnsi="Times New Roman" w:cs="Times New Roman"/>
          <w:noProof/>
          <w:szCs w:val="24"/>
        </w:rPr>
        <w:t xml:space="preserve">, p. 1–13, 2018; </w:t>
      </w:r>
    </w:p>
    <w:p w14:paraId="0466FD73" w14:textId="334C6D13" w:rsidR="006E5877" w:rsidRPr="00642CB2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Cs w:val="24"/>
        </w:rPr>
      </w:pPr>
      <w:r w:rsidRPr="00C83181">
        <w:rPr>
          <w:rFonts w:ascii="Times New Roman" w:hAnsi="Times New Roman" w:cs="Times New Roman"/>
          <w:noProof/>
          <w:szCs w:val="24"/>
        </w:rPr>
        <w:t xml:space="preserve">CASATI, M et al. 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Gut microbiota and physical frailty through the mediation of sarcopenia. </w:t>
      </w:r>
      <w:r w:rsidRPr="00C83181">
        <w:rPr>
          <w:rFonts w:ascii="Times New Roman" w:hAnsi="Times New Roman" w:cs="Times New Roman"/>
          <w:b/>
          <w:bCs/>
          <w:noProof/>
          <w:szCs w:val="24"/>
        </w:rPr>
        <w:t>Experimental Gerontology</w:t>
      </w:r>
      <w:r w:rsidRPr="00C83181">
        <w:rPr>
          <w:rFonts w:ascii="Times New Roman" w:hAnsi="Times New Roman" w:cs="Times New Roman"/>
          <w:noProof/>
          <w:szCs w:val="24"/>
        </w:rPr>
        <w:t>, v</w:t>
      </w:r>
      <w:r w:rsidR="00C23556">
        <w:rPr>
          <w:rFonts w:ascii="Times New Roman" w:hAnsi="Times New Roman" w:cs="Times New Roman"/>
          <w:noProof/>
          <w:szCs w:val="24"/>
        </w:rPr>
        <w:t>. 124</w:t>
      </w:r>
      <w:r w:rsidRPr="00642CB2">
        <w:rPr>
          <w:rFonts w:ascii="Times New Roman" w:hAnsi="Times New Roman" w:cs="Times New Roman"/>
          <w:noProof/>
          <w:szCs w:val="24"/>
        </w:rPr>
        <w:t>, p. 1–7, 2019;</w:t>
      </w:r>
    </w:p>
    <w:p w14:paraId="7E15D1A8" w14:textId="675FC5D4" w:rsidR="006E5877" w:rsidRPr="00797A0E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Cs w:val="24"/>
          <w:lang w:val="en-US"/>
        </w:rPr>
      </w:pPr>
      <w:r w:rsidRPr="00642CB2">
        <w:rPr>
          <w:rFonts w:ascii="Times New Roman" w:hAnsi="Times New Roman" w:cs="Times New Roman"/>
          <w:noProof/>
          <w:szCs w:val="24"/>
        </w:rPr>
        <w:t xml:space="preserve">CONRADO, B. Á et al. Disbiose Intestinal em idosos e aplicabilidade dos probióticos e prebióticos. </w:t>
      </w:r>
      <w:r w:rsidRPr="00797A0E">
        <w:rPr>
          <w:rFonts w:ascii="Times New Roman" w:hAnsi="Times New Roman" w:cs="Times New Roman"/>
          <w:b/>
          <w:bCs/>
          <w:noProof/>
          <w:szCs w:val="24"/>
          <w:lang w:val="en-US"/>
        </w:rPr>
        <w:t>Cadernos UniF</w:t>
      </w:r>
      <w:r w:rsidRPr="00182F8A">
        <w:rPr>
          <w:rFonts w:ascii="Times New Roman" w:hAnsi="Times New Roman" w:cs="Times New Roman"/>
          <w:b/>
          <w:bCs/>
          <w:noProof/>
          <w:szCs w:val="24"/>
          <w:lang w:val="en-US"/>
        </w:rPr>
        <w:t>OA</w:t>
      </w:r>
      <w:r w:rsidRPr="00182F8A">
        <w:rPr>
          <w:rFonts w:ascii="Times New Roman" w:hAnsi="Times New Roman" w:cs="Times New Roman"/>
          <w:noProof/>
          <w:szCs w:val="24"/>
          <w:lang w:val="en-US"/>
        </w:rPr>
        <w:t>,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="008A4101">
        <w:rPr>
          <w:rFonts w:ascii="Times New Roman" w:hAnsi="Times New Roman" w:cs="Times New Roman"/>
          <w:noProof/>
          <w:szCs w:val="24"/>
          <w:lang w:val="en-US"/>
        </w:rPr>
        <w:t>v. 13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>, p. 71–78, 2018;</w:t>
      </w:r>
    </w:p>
    <w:p w14:paraId="261912AB" w14:textId="5AB6EAA6" w:rsidR="006E5877" w:rsidRPr="00797A0E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Cs w:val="24"/>
          <w:lang w:val="en-US"/>
        </w:rPr>
      </w:pP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TICINESI, A et al. Nutrition , Physical Frailty , and Sarcopenia : Is There a Gut – Muscle Axis ? </w:t>
      </w:r>
      <w:r w:rsidR="000521F5" w:rsidRPr="00182F8A">
        <w:rPr>
          <w:rFonts w:ascii="Times New Roman" w:hAnsi="Times New Roman" w:cs="Times New Roman"/>
          <w:b/>
          <w:bCs/>
          <w:noProof/>
          <w:szCs w:val="24"/>
          <w:lang w:val="en-US"/>
        </w:rPr>
        <w:t>N</w:t>
      </w:r>
      <w:r w:rsidR="00273B63" w:rsidRPr="00182F8A">
        <w:rPr>
          <w:rFonts w:ascii="Times New Roman" w:hAnsi="Times New Roman" w:cs="Times New Roman"/>
          <w:b/>
          <w:bCs/>
          <w:noProof/>
          <w:szCs w:val="24"/>
          <w:lang w:val="en-US"/>
        </w:rPr>
        <w:t>utrient</w:t>
      </w:r>
      <w:r w:rsidRPr="00182F8A">
        <w:rPr>
          <w:rFonts w:ascii="Times New Roman" w:hAnsi="Times New Roman" w:cs="Times New Roman"/>
          <w:b/>
          <w:bCs/>
          <w:noProof/>
          <w:szCs w:val="24"/>
          <w:lang w:val="en-US"/>
        </w:rPr>
        <w:t>s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>, v</w:t>
      </w:r>
      <w:r w:rsidRPr="00182F8A">
        <w:rPr>
          <w:rFonts w:ascii="Times New Roman" w:hAnsi="Times New Roman" w:cs="Times New Roman"/>
          <w:noProof/>
          <w:szCs w:val="24"/>
          <w:lang w:val="en-US"/>
        </w:rPr>
        <w:t>. 9,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 p. 1–20, 2017;</w:t>
      </w:r>
    </w:p>
    <w:p w14:paraId="2AEDEEAF" w14:textId="44376F54" w:rsidR="006E5877" w:rsidRPr="00797A0E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Cs w:val="24"/>
          <w:lang w:val="en-US"/>
        </w:rPr>
      </w:pPr>
      <w:r w:rsidRPr="00797A0E">
        <w:rPr>
          <w:rFonts w:ascii="Times New Roman" w:hAnsi="Times New Roman" w:cs="Times New Roman"/>
          <w:noProof/>
          <w:szCs w:val="24"/>
          <w:lang w:val="en-US"/>
        </w:rPr>
        <w:t xml:space="preserve">TICINESI, A et al. Gut Microbiota , Muscle Mass and Function in Aging : A Focus on Physical Frailty and Sarcopenia. </w:t>
      </w:r>
      <w:r w:rsidR="000521F5">
        <w:rPr>
          <w:rFonts w:ascii="Times New Roman" w:hAnsi="Times New Roman" w:cs="Times New Roman"/>
          <w:b/>
          <w:bCs/>
          <w:noProof/>
          <w:szCs w:val="24"/>
          <w:lang w:val="en-US"/>
        </w:rPr>
        <w:t>N</w:t>
      </w:r>
      <w:r w:rsidRPr="00797A0E">
        <w:rPr>
          <w:rFonts w:ascii="Times New Roman" w:hAnsi="Times New Roman" w:cs="Times New Roman"/>
          <w:b/>
          <w:bCs/>
          <w:noProof/>
          <w:szCs w:val="24"/>
          <w:lang w:val="en-US"/>
        </w:rPr>
        <w:t>utr</w:t>
      </w:r>
      <w:r w:rsidR="00273B63">
        <w:rPr>
          <w:rFonts w:ascii="Times New Roman" w:hAnsi="Times New Roman" w:cs="Times New Roman"/>
          <w:b/>
          <w:bCs/>
          <w:noProof/>
          <w:szCs w:val="24"/>
          <w:lang w:val="en-US"/>
        </w:rPr>
        <w:t>ient</w:t>
      </w:r>
      <w:r w:rsidRPr="00797A0E">
        <w:rPr>
          <w:rFonts w:ascii="Times New Roman" w:hAnsi="Times New Roman" w:cs="Times New Roman"/>
          <w:b/>
          <w:bCs/>
          <w:noProof/>
          <w:szCs w:val="24"/>
          <w:lang w:val="en-US"/>
        </w:rPr>
        <w:t>s</w:t>
      </w:r>
      <w:r w:rsidRPr="00797A0E">
        <w:rPr>
          <w:rFonts w:ascii="Times New Roman" w:hAnsi="Times New Roman" w:cs="Times New Roman"/>
          <w:noProof/>
          <w:szCs w:val="24"/>
          <w:lang w:val="en-US"/>
        </w:rPr>
        <w:t>, v. 11, p. 1–21, 2019;</w:t>
      </w:r>
    </w:p>
    <w:p w14:paraId="04EA6AC6" w14:textId="42A2D7CB" w:rsidR="006E5877" w:rsidRPr="00273B63" w:rsidRDefault="006E5877" w:rsidP="00C24BB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lang w:val="en-US"/>
        </w:rPr>
      </w:pPr>
      <w:r w:rsidRPr="00797A0E">
        <w:rPr>
          <w:rFonts w:ascii="Times New Roman" w:hAnsi="Times New Roman" w:cs="Times New Roman"/>
          <w:noProof/>
          <w:szCs w:val="24"/>
          <w:lang w:val="en-US"/>
        </w:rPr>
        <w:t>TICINESI, A.; TANA, C.; NOUVENNE, A. The intestinal microbiome and its relevance for functionality in older persons.</w:t>
      </w:r>
      <w:r w:rsidR="00273B63" w:rsidRPr="00273B6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73B63" w:rsidRPr="00273B6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Current Opinion in Clinical Nutrition and Metabolic Care</w:t>
      </w:r>
      <w:r w:rsidR="00C23556">
        <w:rPr>
          <w:rFonts w:ascii="Times New Roman" w:hAnsi="Times New Roman" w:cs="Times New Roman"/>
          <w:noProof/>
          <w:szCs w:val="24"/>
          <w:lang w:val="en-US"/>
        </w:rPr>
        <w:t>, v. 22</w:t>
      </w:r>
      <w:r w:rsidRPr="00273B63">
        <w:rPr>
          <w:rFonts w:ascii="Times New Roman" w:hAnsi="Times New Roman" w:cs="Times New Roman"/>
          <w:noProof/>
          <w:szCs w:val="24"/>
          <w:lang w:val="en-US"/>
        </w:rPr>
        <w:t xml:space="preserve">, p. 4–12, 2019. </w:t>
      </w:r>
    </w:p>
    <w:p w14:paraId="6D454E14" w14:textId="300ECE13" w:rsidR="006E5877" w:rsidRPr="00273B63" w:rsidRDefault="006E5877" w:rsidP="00C24B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CB2">
        <w:rPr>
          <w:rFonts w:ascii="Times New Roman" w:hAnsi="Times New Roman" w:cs="Times New Roman"/>
        </w:rPr>
        <w:fldChar w:fldCharType="end"/>
      </w:r>
    </w:p>
    <w:p w14:paraId="4C847EC1" w14:textId="77777777" w:rsidR="006E5877" w:rsidRPr="00273B63" w:rsidRDefault="006E5877" w:rsidP="006E5877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B6634C" w14:textId="77777777" w:rsidR="00727B4D" w:rsidRPr="00273B63" w:rsidRDefault="00727B4D" w:rsidP="00727B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2273D" w14:textId="75C2D934" w:rsidR="00727B4D" w:rsidRPr="00273B63" w:rsidRDefault="00727B4D" w:rsidP="00BF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AE73B1" w14:textId="77777777" w:rsidR="001C07E0" w:rsidRPr="00273B63" w:rsidRDefault="001C07E0" w:rsidP="00F922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FBE968" w14:textId="48933941" w:rsidR="00FA4126" w:rsidRPr="00273B63" w:rsidRDefault="00FA4126" w:rsidP="006A076E">
      <w:pPr>
        <w:pStyle w:val="Pa4"/>
        <w:jc w:val="both"/>
        <w:rPr>
          <w:lang w:val="en-US"/>
        </w:rPr>
      </w:pPr>
    </w:p>
    <w:sectPr w:rsidR="00FA4126" w:rsidRPr="00273B63" w:rsidSect="00106C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BABA" w16cex:dateUtc="2020-10-27T18:26:00Z"/>
  <w16cex:commentExtensible w16cex:durableId="2342B176" w16cex:dateUtc="2020-10-27T17:47:00Z"/>
  <w16cex:commentExtensible w16cex:durableId="2342BAE1" w16cex:dateUtc="2020-10-27T18:27:00Z"/>
  <w16cex:commentExtensible w16cex:durableId="2342BB7B" w16cex:dateUtc="2020-10-27T18:30:00Z"/>
  <w16cex:commentExtensible w16cex:durableId="2342B132" w16cex:dateUtc="2020-10-27T17:46:00Z"/>
  <w16cex:commentExtensible w16cex:durableId="2342B144" w16cex:dateUtc="2020-10-27T17:46:00Z"/>
  <w16cex:commentExtensible w16cex:durableId="2342B218" w16cex:dateUtc="2020-10-27T17:50:00Z"/>
  <w16cex:commentExtensible w16cex:durableId="2342BBC7" w16cex:dateUtc="2020-10-27T18:31:00Z"/>
  <w16cex:commentExtensible w16cex:durableId="2342B48C" w16cex:dateUtc="2020-10-27T18:00:00Z"/>
  <w16cex:commentExtensible w16cex:durableId="2342B286" w16cex:dateUtc="2020-10-27T17:51:00Z"/>
  <w16cex:commentExtensible w16cex:durableId="2342BC1E" w16cex:dateUtc="2020-10-27T18:32:00Z"/>
  <w16cex:commentExtensible w16cex:durableId="2342BBF3" w16cex:dateUtc="2020-10-27T18:32:00Z"/>
  <w16cex:commentExtensible w16cex:durableId="2342B925" w16cex:dateUtc="2020-10-27T18:20:00Z"/>
  <w16cex:commentExtensible w16cex:durableId="2342B957" w16cex:dateUtc="2020-10-27T18:20:00Z"/>
  <w16cex:commentExtensible w16cex:durableId="2342BD1D" w16cex:dateUtc="2020-10-27T18:37:00Z"/>
  <w16cex:commentExtensible w16cex:durableId="2342B9EC" w16cex:dateUtc="2020-10-27T18:23:00Z"/>
  <w16cex:commentExtensible w16cex:durableId="2342AB4A" w16cex:dateUtc="2020-10-27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2DD56C" w16cid:durableId="2342BABA"/>
  <w16cid:commentId w16cid:paraId="1A37A81F" w16cid:durableId="2342B176"/>
  <w16cid:commentId w16cid:paraId="7DFEEE7E" w16cid:durableId="2342BAE1"/>
  <w16cid:commentId w16cid:paraId="794DA68D" w16cid:durableId="2342BB7B"/>
  <w16cid:commentId w16cid:paraId="7B0F6014" w16cid:durableId="2342B132"/>
  <w16cid:commentId w16cid:paraId="7A6B6E85" w16cid:durableId="2342B144"/>
  <w16cid:commentId w16cid:paraId="006533B7" w16cid:durableId="2342B218"/>
  <w16cid:commentId w16cid:paraId="79AC9840" w16cid:durableId="2342BBC7"/>
  <w16cid:commentId w16cid:paraId="0AAC17C0" w16cid:durableId="2342B48C"/>
  <w16cid:commentId w16cid:paraId="2EE1AE23" w16cid:durableId="2342B286"/>
  <w16cid:commentId w16cid:paraId="4ACC593C" w16cid:durableId="2342BC1E"/>
  <w16cid:commentId w16cid:paraId="7D29B55E" w16cid:durableId="2342BBF3"/>
  <w16cid:commentId w16cid:paraId="23239452" w16cid:durableId="2342B925"/>
  <w16cid:commentId w16cid:paraId="7523D09F" w16cid:durableId="2342B957"/>
  <w16cid:commentId w16cid:paraId="60CDA1C7" w16cid:durableId="2342BD1D"/>
  <w16cid:commentId w16cid:paraId="30F1B449" w16cid:durableId="2342B9EC"/>
  <w16cid:commentId w16cid:paraId="1A09E300" w16cid:durableId="2342AB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AD51" w14:textId="77777777" w:rsidR="000C652A" w:rsidRDefault="000C652A" w:rsidP="00C73FF2">
      <w:pPr>
        <w:spacing w:after="0" w:line="240" w:lineRule="auto"/>
      </w:pPr>
      <w:r>
        <w:separator/>
      </w:r>
    </w:p>
  </w:endnote>
  <w:endnote w:type="continuationSeparator" w:id="0">
    <w:p w14:paraId="2EB6E4B3" w14:textId="77777777" w:rsidR="000C652A" w:rsidRDefault="000C652A" w:rsidP="00C7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597520"/>
      <w:docPartObj>
        <w:docPartGallery w:val="Page Numbers (Bottom of Page)"/>
        <w:docPartUnique/>
      </w:docPartObj>
    </w:sdtPr>
    <w:sdtEndPr/>
    <w:sdtContent>
      <w:p w14:paraId="08B1377B" w14:textId="3AE88F58" w:rsidR="0089420E" w:rsidRDefault="008942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47">
          <w:rPr>
            <w:noProof/>
          </w:rPr>
          <w:t>6</w:t>
        </w:r>
        <w:r>
          <w:fldChar w:fldCharType="end"/>
        </w:r>
      </w:p>
    </w:sdtContent>
  </w:sdt>
  <w:p w14:paraId="7FE449A5" w14:textId="77777777" w:rsidR="0089420E" w:rsidRDefault="00894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3004" w14:textId="77777777" w:rsidR="000C652A" w:rsidRDefault="000C652A" w:rsidP="00C73FF2">
      <w:pPr>
        <w:spacing w:after="0" w:line="240" w:lineRule="auto"/>
      </w:pPr>
      <w:r>
        <w:separator/>
      </w:r>
    </w:p>
  </w:footnote>
  <w:footnote w:type="continuationSeparator" w:id="0">
    <w:p w14:paraId="1D3268D7" w14:textId="77777777" w:rsidR="000C652A" w:rsidRDefault="000C652A" w:rsidP="00C7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A7B8" w14:textId="77777777" w:rsidR="0089420E" w:rsidRPr="00C73FF2" w:rsidRDefault="0089420E" w:rsidP="00C73FF2">
    <w:pPr>
      <w:spacing w:after="0" w:line="276" w:lineRule="auto"/>
      <w:rPr>
        <w:rFonts w:ascii="Eurostile LT Std" w:eastAsia="Times New Roman" w:hAnsi="Eurostile LT Std" w:cs="Times New Roman"/>
        <w:lang w:eastAsia="pt-BR"/>
      </w:rPr>
    </w:pPr>
    <w:r w:rsidRPr="00C73FF2">
      <w:rPr>
        <w:rFonts w:ascii="Eurostile LT Std" w:eastAsia="Times New Roman" w:hAnsi="Eurostile LT Std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76AD51" wp14:editId="43E3E5ED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FF2"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88559" wp14:editId="11206F6B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D09B8C9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" filled="f" strokecolor="#f79646" strokeweight="2pt">
              <w10:wrap anchorx="margin"/>
            </v:shape>
          </w:pict>
        </mc:Fallback>
      </mc:AlternateContent>
    </w:r>
  </w:p>
  <w:p w14:paraId="65A02AA3" w14:textId="77777777" w:rsidR="0089420E" w:rsidRPr="00C73FF2" w:rsidRDefault="0089420E" w:rsidP="00C73FF2">
    <w:pPr>
      <w:spacing w:after="0" w:line="276" w:lineRule="auto"/>
      <w:rPr>
        <w:rFonts w:ascii="Arial Rounded MT Bold" w:eastAsia="Times New Roman" w:hAnsi="Arial Rounded MT Bold" w:cs="Times New Roman"/>
        <w:lang w:eastAsia="pt-BR"/>
      </w:rPr>
    </w:pPr>
    <w:r w:rsidRPr="00C73FF2">
      <w:rPr>
        <w:rFonts w:ascii="Arial Rounded MT Bold" w:eastAsia="Times New Roman" w:hAnsi="Arial Rounded MT Bold" w:cs="Times New Roman"/>
        <w:lang w:eastAsia="pt-BR"/>
      </w:rPr>
      <w:t>III Congresso Internacional de Nutrição</w:t>
    </w:r>
  </w:p>
  <w:p w14:paraId="4C90A587" w14:textId="77777777" w:rsidR="0089420E" w:rsidRPr="00C73FF2" w:rsidRDefault="0089420E" w:rsidP="00C73FF2">
    <w:pPr>
      <w:tabs>
        <w:tab w:val="center" w:pos="4252"/>
        <w:tab w:val="right" w:pos="8504"/>
      </w:tabs>
      <w:spacing w:after="0" w:line="240" w:lineRule="auto"/>
      <w:rPr>
        <w:rFonts w:ascii="Arial Rounded MT Bold" w:eastAsia="Times New Roman" w:hAnsi="Arial Rounded MT Bold" w:cs="Times New Roman"/>
        <w:lang w:eastAsia="pt-BR"/>
      </w:rPr>
    </w:pPr>
    <w:r w:rsidRPr="00C73FF2">
      <w:rPr>
        <w:rFonts w:ascii="Arial Rounded MT Bold" w:eastAsia="Times New Roman" w:hAnsi="Arial Rounded MT Bold" w:cs="Times New Roman"/>
        <w:lang w:eastAsia="pt-BR"/>
      </w:rPr>
      <w:t>Online</w:t>
    </w:r>
  </w:p>
  <w:p w14:paraId="642AFE9D" w14:textId="77777777" w:rsidR="0089420E" w:rsidRPr="00C73FF2" w:rsidRDefault="0089420E" w:rsidP="00C73FF2">
    <w:pPr>
      <w:tabs>
        <w:tab w:val="center" w:pos="4252"/>
        <w:tab w:val="right" w:pos="8504"/>
      </w:tabs>
      <w:spacing w:after="0" w:line="240" w:lineRule="auto"/>
      <w:rPr>
        <w:rFonts w:ascii="Eurostile LT Std" w:eastAsia="Times New Roman" w:hAnsi="Eurostile LT Std" w:cs="Times New Roman"/>
        <w:lang w:eastAsia="pt-BR"/>
      </w:rPr>
    </w:pPr>
  </w:p>
  <w:p w14:paraId="65AB325D" w14:textId="6234A51D" w:rsidR="0089420E" w:rsidRDefault="0089420E">
    <w:pPr>
      <w:pStyle w:val="Cabealho"/>
    </w:pPr>
  </w:p>
  <w:p w14:paraId="55796C40" w14:textId="77777777" w:rsidR="0089420E" w:rsidRDefault="008942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50854"/>
    <w:multiLevelType w:val="hybridMultilevel"/>
    <w:tmpl w:val="772E8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D"/>
    <w:rsid w:val="00015AC6"/>
    <w:rsid w:val="000521F5"/>
    <w:rsid w:val="000C652A"/>
    <w:rsid w:val="000D72B9"/>
    <w:rsid w:val="00106A90"/>
    <w:rsid w:val="00106C2B"/>
    <w:rsid w:val="00124FAF"/>
    <w:rsid w:val="00126516"/>
    <w:rsid w:val="00144B86"/>
    <w:rsid w:val="00165E89"/>
    <w:rsid w:val="00180621"/>
    <w:rsid w:val="00182F8A"/>
    <w:rsid w:val="00194494"/>
    <w:rsid w:val="001968CE"/>
    <w:rsid w:val="001B29BE"/>
    <w:rsid w:val="001B60E5"/>
    <w:rsid w:val="001C07E0"/>
    <w:rsid w:val="001F0608"/>
    <w:rsid w:val="00200F44"/>
    <w:rsid w:val="00242B76"/>
    <w:rsid w:val="00242FA7"/>
    <w:rsid w:val="00262DD8"/>
    <w:rsid w:val="00273B63"/>
    <w:rsid w:val="002A157D"/>
    <w:rsid w:val="002D2255"/>
    <w:rsid w:val="00302979"/>
    <w:rsid w:val="003202CD"/>
    <w:rsid w:val="00333BB5"/>
    <w:rsid w:val="0037043F"/>
    <w:rsid w:val="00373BCD"/>
    <w:rsid w:val="003B34A1"/>
    <w:rsid w:val="003B5697"/>
    <w:rsid w:val="003B6FE8"/>
    <w:rsid w:val="00404111"/>
    <w:rsid w:val="0042271B"/>
    <w:rsid w:val="00435FB5"/>
    <w:rsid w:val="00462B23"/>
    <w:rsid w:val="00466BD2"/>
    <w:rsid w:val="00493FD5"/>
    <w:rsid w:val="0049624D"/>
    <w:rsid w:val="004A348A"/>
    <w:rsid w:val="004A7337"/>
    <w:rsid w:val="004C5F89"/>
    <w:rsid w:val="004D7306"/>
    <w:rsid w:val="00500FD1"/>
    <w:rsid w:val="0054147E"/>
    <w:rsid w:val="00544D5B"/>
    <w:rsid w:val="0059547E"/>
    <w:rsid w:val="005A38A7"/>
    <w:rsid w:val="005B4C70"/>
    <w:rsid w:val="005B502D"/>
    <w:rsid w:val="005C6380"/>
    <w:rsid w:val="005C65F7"/>
    <w:rsid w:val="005E7954"/>
    <w:rsid w:val="005F63E1"/>
    <w:rsid w:val="00641C65"/>
    <w:rsid w:val="00655DBF"/>
    <w:rsid w:val="006A076E"/>
    <w:rsid w:val="006B6107"/>
    <w:rsid w:val="006D0DBA"/>
    <w:rsid w:val="006D1843"/>
    <w:rsid w:val="006E211A"/>
    <w:rsid w:val="006E3BEB"/>
    <w:rsid w:val="006E5877"/>
    <w:rsid w:val="006F2294"/>
    <w:rsid w:val="00727B4D"/>
    <w:rsid w:val="007565FD"/>
    <w:rsid w:val="00766E6E"/>
    <w:rsid w:val="00774354"/>
    <w:rsid w:val="00797A0E"/>
    <w:rsid w:val="00802888"/>
    <w:rsid w:val="008041CE"/>
    <w:rsid w:val="0081345E"/>
    <w:rsid w:val="0082320D"/>
    <w:rsid w:val="00860E43"/>
    <w:rsid w:val="0089420E"/>
    <w:rsid w:val="008A4101"/>
    <w:rsid w:val="008D0ED9"/>
    <w:rsid w:val="00926301"/>
    <w:rsid w:val="00931043"/>
    <w:rsid w:val="00955E9C"/>
    <w:rsid w:val="009808D8"/>
    <w:rsid w:val="00990242"/>
    <w:rsid w:val="009B297A"/>
    <w:rsid w:val="009E0B10"/>
    <w:rsid w:val="009F4414"/>
    <w:rsid w:val="009F4C57"/>
    <w:rsid w:val="00A11B4D"/>
    <w:rsid w:val="00A22F54"/>
    <w:rsid w:val="00A64DD5"/>
    <w:rsid w:val="00A711F8"/>
    <w:rsid w:val="00A93584"/>
    <w:rsid w:val="00A93608"/>
    <w:rsid w:val="00A9558A"/>
    <w:rsid w:val="00A96FB9"/>
    <w:rsid w:val="00AB6436"/>
    <w:rsid w:val="00AE6EF8"/>
    <w:rsid w:val="00B111E3"/>
    <w:rsid w:val="00B23296"/>
    <w:rsid w:val="00B26856"/>
    <w:rsid w:val="00B44A2D"/>
    <w:rsid w:val="00B7308B"/>
    <w:rsid w:val="00BA5D47"/>
    <w:rsid w:val="00BA7030"/>
    <w:rsid w:val="00BD3D83"/>
    <w:rsid w:val="00BF40F9"/>
    <w:rsid w:val="00C16B3C"/>
    <w:rsid w:val="00C23556"/>
    <w:rsid w:val="00C24BB3"/>
    <w:rsid w:val="00C46253"/>
    <w:rsid w:val="00C66885"/>
    <w:rsid w:val="00C73FF2"/>
    <w:rsid w:val="00C7537E"/>
    <w:rsid w:val="00C83181"/>
    <w:rsid w:val="00C93188"/>
    <w:rsid w:val="00C93C53"/>
    <w:rsid w:val="00CD56E1"/>
    <w:rsid w:val="00D047D3"/>
    <w:rsid w:val="00D3382A"/>
    <w:rsid w:val="00D867BB"/>
    <w:rsid w:val="00D95F84"/>
    <w:rsid w:val="00E03817"/>
    <w:rsid w:val="00E15440"/>
    <w:rsid w:val="00E250E4"/>
    <w:rsid w:val="00E3073A"/>
    <w:rsid w:val="00E3795D"/>
    <w:rsid w:val="00E41AD4"/>
    <w:rsid w:val="00E463C4"/>
    <w:rsid w:val="00E5081F"/>
    <w:rsid w:val="00E54B0A"/>
    <w:rsid w:val="00E62DD4"/>
    <w:rsid w:val="00E71A1F"/>
    <w:rsid w:val="00E762B9"/>
    <w:rsid w:val="00E76A34"/>
    <w:rsid w:val="00E8410B"/>
    <w:rsid w:val="00EA619A"/>
    <w:rsid w:val="00EB09F0"/>
    <w:rsid w:val="00ED16FF"/>
    <w:rsid w:val="00F648E7"/>
    <w:rsid w:val="00F70E1F"/>
    <w:rsid w:val="00F922CC"/>
    <w:rsid w:val="00FA4126"/>
    <w:rsid w:val="00FC5F91"/>
    <w:rsid w:val="00FD737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2110"/>
  <w15:docId w15:val="{4B1F87B6-8116-4E35-B717-1D84ADCA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FF2"/>
  </w:style>
  <w:style w:type="paragraph" w:styleId="Rodap">
    <w:name w:val="footer"/>
    <w:basedOn w:val="Normal"/>
    <w:link w:val="RodapChar"/>
    <w:uiPriority w:val="99"/>
    <w:unhideWhenUsed/>
    <w:rsid w:val="00C7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FF2"/>
  </w:style>
  <w:style w:type="paragraph" w:customStyle="1" w:styleId="Default">
    <w:name w:val="Default"/>
    <w:rsid w:val="00D3382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3382A"/>
    <w:pPr>
      <w:spacing w:line="2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D3382A"/>
    <w:rPr>
      <w:rFonts w:cs="Roboto"/>
      <w:color w:val="000000"/>
      <w:sz w:val="11"/>
      <w:szCs w:val="11"/>
    </w:rPr>
  </w:style>
  <w:style w:type="paragraph" w:styleId="PargrafodaLista">
    <w:name w:val="List Paragraph"/>
    <w:basedOn w:val="Normal"/>
    <w:uiPriority w:val="34"/>
    <w:qFormat/>
    <w:rsid w:val="003B56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4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B29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29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29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29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29B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A076E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106C2B"/>
  </w:style>
  <w:style w:type="character" w:customStyle="1" w:styleId="acopre">
    <w:name w:val="acopre"/>
    <w:basedOn w:val="Fontepargpadro"/>
    <w:rsid w:val="0010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4B11-8B9C-4347-8867-5129BD1B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1588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CLAUDIOMAR</cp:lastModifiedBy>
  <cp:revision>29</cp:revision>
  <dcterms:created xsi:type="dcterms:W3CDTF">2020-10-18T19:41:00Z</dcterms:created>
  <dcterms:modified xsi:type="dcterms:W3CDTF">2020-11-04T14:21:00Z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