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E46" w:rsidRDefault="00116687">
      <w:pPr>
        <w:shd w:val="clear" w:color="auto" w:fill="FFFFFF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FATORES ASSOCIADOS À HIPERTENSÃO ARTERIAL RESISTENTE E PSEUDORESISTENTE EM IDOSOS INSTITUCIONALIZADOS NO MUNICÍPIO DE MACEIÓ</w:t>
      </w:r>
    </w:p>
    <w:p w:rsidR="00B50E46" w:rsidRDefault="00116687">
      <w:pPr>
        <w:tabs>
          <w:tab w:val="left" w:pos="1950"/>
        </w:tabs>
        <w:spacing w:before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B50E46" w:rsidRDefault="00116687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A HAS apresenta alta prevalência em idosos, e com o aumento crescente dessa população, aumentou-se o número de idosos institucionalizados, fator este que pode fragilizar seu estado de saúde.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Objetivo: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Identificar a ocorrência de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Hipertensão Arterial Resistente (HAR)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Pseudorresistente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(HAPR)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em idosos que residem em instituições de longa permanência no município de Maceió – AL e observar possíveis associações entre a ocorrência dessas síndromes hipertensivas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Metodologia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Trata-se de um estudo transversal, do tipo observacional, realizado com 28 idosos residentes em seis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ILP’s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 cidade de Maceió/AL, em 2018. A coleta de dados ocorreu em dois momentos, o primeiro com a aplicação de protocolo de pesquisa, contemplando dados de identificação,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sociodemográficos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hábitos de vida e avaliação antropométrica e da capacidade funcional. No segundo momento, foi realizada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aferição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da PA e FC (em triplicata), sem jaleco.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Resultados: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60,3% eram do sexo feminino, divididos em Hipertensão Arterial Controlada com percentual com 60,3% (17/28) e Hipertensão Arterial Não Controlada (Hipertensão Arterial Resistente - HAR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Pseudorresistente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HAPR) com 39,7% (11/28). Os parâmetros de pressão arterial, o grupo de HAR/HAPR mostrou médias maior (p&lt;0,01). IMC de baixo peso foi mais prevalente no grupo HAC (58,8%), podendo ser um fator de proteção contra HAS, enquanto o excesso de peso acometeu maior número no grupo HAR/HAPR.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Conclusões: </w:t>
      </w:r>
      <w:r>
        <w:rPr>
          <w:rFonts w:ascii="Times New Roman" w:eastAsia="Times New Roman" w:hAnsi="Times New Roman" w:cs="Times New Roman"/>
          <w:sz w:val="24"/>
          <w:szCs w:val="24"/>
        </w:rPr>
        <w:t>O grupo de HAR/HAPR teve maiores médias no dia de coleta foi realizada com o uso de jaleco, entretanto, o contingente amostral pode ser um fator limitante. Evidencia-se a escassez na literatura científica acerca da presente casuística.</w:t>
      </w:r>
    </w:p>
    <w:p w:rsidR="00B50E46" w:rsidRDefault="00116687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Hipertensão Arterial Sistêmica, Envelhecimento, Estado Nutricional. </w:t>
      </w:r>
    </w:p>
    <w:p w:rsidR="00B50E46" w:rsidRDefault="00B50E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0E46" w:rsidRDefault="00B50E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0E46" w:rsidRDefault="00B50E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0E46" w:rsidRDefault="00B50E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0E46" w:rsidRDefault="00B50E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0E46" w:rsidRDefault="00B50E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0E46" w:rsidRDefault="00B50E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0E46" w:rsidRDefault="00B50E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0E46" w:rsidRDefault="00B50E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69C5" w:rsidRDefault="007169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0E46" w:rsidRDefault="001166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INTRODUÇÃO</w:t>
      </w:r>
    </w:p>
    <w:p w:rsidR="00B50E46" w:rsidRDefault="00116687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Atualmente, o envelhecimento é um fenômeno que acomete toda população mundial. No Brasil, de acordo com o censo demográfico de 2010, o número de idosos correspondia a 12% da população, (VOLPINI et al., 2013).</w:t>
      </w:r>
    </w:p>
    <w:p w:rsidR="00B50E46" w:rsidRDefault="00116687">
      <w:pPr>
        <w:spacing w:before="240" w:after="16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Associado a mudança no perfil etário, alterações na estrutura familiar, levou muitas famílias a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internarem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seus idosos em Instituições de Longa Permanência (ILP), Casas de Repouso ou Instituições Geriátricas. Segundo dados do censo demográfico de 2010, havia 150 mil idosos institucionalizados no Brasil (CABREIRA; MARCUZZO; KIRSTEN, 2008; FREITAS; SCHEICHER, 2010; VOLPINI et al., 2013; IBGE, 2013). </w:t>
      </w:r>
    </w:p>
    <w:p w:rsidR="00B50E46" w:rsidRDefault="00116687">
      <w:pPr>
        <w:spacing w:before="240" w:after="16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Diante deste cenário de número crescente de idosos dependentes e residentes em ILP, este estudo que tem como objetivo identificar a ocorrência de HAR e HAPR em idosos que residem em instituições de longa permanência no município de Maceió – AL e observar possíveis associações entre a ocorrência dessas síndromes hipertensivas com variáveis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sociodemográficas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estado nutricional e capacidade funcional.</w:t>
      </w:r>
    </w:p>
    <w:p w:rsidR="00B50E46" w:rsidRDefault="00B50E4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0E46" w:rsidRDefault="0011668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METODOLOGIA</w:t>
      </w:r>
    </w:p>
    <w:p w:rsidR="00B50E46" w:rsidRDefault="00116687">
      <w:pPr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Trata-se de um estudo transversal, do tipo observacional, Elaborado com idosos hipertensos, residentes em seis Instituições de Longa Permanência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ILPs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da cidade de Maceió – AL, no período de março à junho de 2018. </w:t>
      </w:r>
    </w:p>
    <w:p w:rsidR="00B50E46" w:rsidRDefault="00116687">
      <w:pPr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Foram inseridos todos os idosos hipertensos que atenderam aos critérios de inclusão da pesquisa e foi composta por 28 indivíduos, de ambos os sexos. Os fatores de inclusão para a amostra foram idosos com </w:t>
      </w:r>
      <w:r>
        <w:rPr>
          <w:rFonts w:ascii="Arial Unicode MS" w:eastAsia="Arial Unicode MS" w:hAnsi="Arial Unicode MS" w:cs="Arial Unicode MS"/>
          <w:color w:val="202122"/>
          <w:sz w:val="21"/>
          <w:szCs w:val="21"/>
        </w:rPr>
        <w:t>≥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60 anos, ambos os sexos, deambulantes, que apresentavam presença de capacidade de compreensão e comunicação verbal preservada. </w:t>
      </w:r>
    </w:p>
    <w:p w:rsidR="00B50E46" w:rsidRDefault="00116687">
      <w:pPr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coleta de dados se desenvolveu com o preenchimento do protocolo de pesquisa contendo variáveis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sociodemográficas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hábitos de vida e condições de saúde, Além da coleta de variáveis antropométricas para avaliação da composição corporal, e medidas de pressão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arterial para identificação do controle da HA. Foi realizada em dois momentos, um com jaleco e outra sem, seguindo a recomendação da VII Diretriz Brasileira de Hipertensão Arterial.</w:t>
      </w:r>
    </w:p>
    <w:p w:rsidR="00B50E46" w:rsidRDefault="00116687">
      <w:pPr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 dados coletados foram organizados em banco de dados eletrônico. As análises foram realizadas por meio do software Estatístico SPSS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Statistical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Package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 Social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Sciences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em sua versão 20.0®. </w:t>
      </w:r>
    </w:p>
    <w:p w:rsidR="00B50E46" w:rsidRDefault="00116687">
      <w:pPr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 análises estatísticas foram realizadas considerando a distribuição paramétrica das variáveis estudadas. Para análise de associação de frequência foram utilizados os testes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-quadrado de Pearson ou Fisher. A comparação entre médias foi realizada por meio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Teste-t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variáveis dependentes e independentes. Para todas as análises foi fixado em 0,05 o nível de rejeição de hipótese de nulidade.</w:t>
      </w:r>
    </w:p>
    <w:p w:rsidR="00B50E46" w:rsidRDefault="00116687">
      <w:pPr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projeto obteve a aprovação pelo Comitê de Ética em Pesquisa da Universidade Federal de Alagoas, sob o parecer de número 2.352.062/2018.</w:t>
      </w:r>
    </w:p>
    <w:p w:rsidR="00B50E46" w:rsidRDefault="00116687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RESULTADOS E DISCUSSÃO</w:t>
      </w:r>
    </w:p>
    <w:p w:rsidR="00B50E46" w:rsidRDefault="00116687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Foram admitidos no estudo 28 idosos hipertensos, residentes em seis distintas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ILP’s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destes 60,3% (17/28) eram do sexo feminino, com média de idade de 79,0 ± 5,7 anos, sendo distribuídos em Hipertensão Arterial Controlada com percentual de 60,3% (17/28) e Hipertensão Arterial Não Controlada (Hipertensão Arterial Resistente - HAR e Hipertensão Arterial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Pseudorresistente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HAPR) com 39,7% (11/28).</w:t>
      </w:r>
    </w:p>
    <w:p w:rsidR="00B50E46" w:rsidRDefault="00116687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Consoante a este,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Magnanini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al. (200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ao monitorar a PA Ambulatorial e o risco Cardiovascular em mulheres com Hipertensão resistente, averiguaram que das 382 idosas estudadas, 162 (42,4%) foram classificadas como controladas e 220 (58,6%) como não-controladas, a maioria das variáveis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sociodemográficas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foram similares nos dois grupos, entretanto, o grupo controlado teve maior média de idade, enquanto a média de IMC foi maior no grupo não-controlado.</w:t>
      </w:r>
    </w:p>
    <w:p w:rsidR="00B50E46" w:rsidRDefault="00116687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Quanto aos parâmetros de pressão arterial (Tabela 1), o grupo HAC teve maiores médias de frequência cardíaca (FC) nos dias com o uso de jaleco. Enquanto o grupo de HAR/HAPR demonstrou médias maiores no dia de coleta de dados realizado com o uso de jaleco por parte da equipe, quando comparados ao dia sem jaleco, havendo diferença significativa entre 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grupos (p&lt;0,01), revelando a possibilidade do efeito da síndrome do jaleco branco, coincidindo desta forma com os valores aumentados de PAS, PAD e FC. </w:t>
      </w:r>
    </w:p>
    <w:p w:rsidR="00B50E46" w:rsidRDefault="00116687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Tabela 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Análise de parâmetros arteriais em idosos hipertensos institucionalizados avaliados com e sem jaleco em Maceió - AL, 2018.</w:t>
      </w:r>
    </w:p>
    <w:tbl>
      <w:tblPr>
        <w:tblStyle w:val="a"/>
        <w:tblW w:w="10946" w:type="dxa"/>
        <w:tblInd w:w="-1206" w:type="dxa"/>
        <w:tblLayout w:type="fixed"/>
        <w:tblLook w:val="0400" w:firstRow="0" w:lastRow="0" w:firstColumn="0" w:lastColumn="0" w:noHBand="0" w:noVBand="1"/>
      </w:tblPr>
      <w:tblGrid>
        <w:gridCol w:w="1294"/>
        <w:gridCol w:w="190"/>
        <w:gridCol w:w="1032"/>
        <w:gridCol w:w="823"/>
        <w:gridCol w:w="879"/>
        <w:gridCol w:w="823"/>
        <w:gridCol w:w="817"/>
        <w:gridCol w:w="190"/>
        <w:gridCol w:w="1032"/>
        <w:gridCol w:w="823"/>
        <w:gridCol w:w="1032"/>
        <w:gridCol w:w="823"/>
        <w:gridCol w:w="1028"/>
        <w:gridCol w:w="160"/>
      </w:tblGrid>
      <w:tr w:rsidR="00B50E46">
        <w:trPr>
          <w:trHeight w:val="247"/>
        </w:trPr>
        <w:tc>
          <w:tcPr>
            <w:tcW w:w="12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0E46" w:rsidRDefault="00116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E46" w:rsidRDefault="0011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50E46" w:rsidRDefault="0011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HAC</w:t>
            </w:r>
          </w:p>
        </w:tc>
        <w:tc>
          <w:tcPr>
            <w:tcW w:w="1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E46" w:rsidRDefault="0011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50E46" w:rsidRDefault="0011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HAR/HAPR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0E46" w:rsidRDefault="00B50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0E46">
        <w:trPr>
          <w:trHeight w:val="247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0E46" w:rsidRDefault="00B50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E46" w:rsidRDefault="00B5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E46" w:rsidRDefault="0011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Sem jaleco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E46" w:rsidRDefault="0011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Com jaleco</w:t>
            </w:r>
          </w:p>
        </w:tc>
        <w:tc>
          <w:tcPr>
            <w:tcW w:w="81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50E46" w:rsidRDefault="0011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E46" w:rsidRDefault="00B5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E46" w:rsidRDefault="0011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Sem jaleco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E46" w:rsidRDefault="0011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Com jaleco</w:t>
            </w:r>
          </w:p>
        </w:tc>
        <w:tc>
          <w:tcPr>
            <w:tcW w:w="102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50E46" w:rsidRDefault="0011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0E46" w:rsidRDefault="00B50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0E46">
        <w:trPr>
          <w:trHeight w:val="247"/>
        </w:trPr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50E46" w:rsidRDefault="00116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50E46" w:rsidRDefault="0011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50E46" w:rsidRDefault="0011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Méd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50E46" w:rsidRDefault="0011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(DP)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50E46" w:rsidRDefault="0011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Méd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50E46" w:rsidRDefault="0011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(DP)</w:t>
            </w:r>
          </w:p>
        </w:tc>
        <w:tc>
          <w:tcPr>
            <w:tcW w:w="81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50E46" w:rsidRDefault="00B50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50E46" w:rsidRDefault="0011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50E46" w:rsidRDefault="0011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Méd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50E46" w:rsidRDefault="0011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(DP)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50E46" w:rsidRDefault="0011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Méd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50E46" w:rsidRDefault="0011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(DP)</w:t>
            </w:r>
          </w:p>
        </w:tc>
        <w:tc>
          <w:tcPr>
            <w:tcW w:w="102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50E46" w:rsidRDefault="00B50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0E46" w:rsidRDefault="00B50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0E46">
        <w:trPr>
          <w:trHeight w:val="247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0E46" w:rsidRDefault="00116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PAS (mmHg)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0E46" w:rsidRDefault="00B50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E46" w:rsidRDefault="0011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E46" w:rsidRDefault="0011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E46" w:rsidRDefault="0011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E46" w:rsidRDefault="0011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E46" w:rsidRDefault="0011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E46" w:rsidRDefault="00B5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E46" w:rsidRDefault="0011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157,4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E46" w:rsidRDefault="0011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E46" w:rsidRDefault="0011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E46" w:rsidRDefault="0011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25,9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E46" w:rsidRDefault="0011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&lt;0,01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0E46" w:rsidRDefault="00B50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0E46">
        <w:trPr>
          <w:trHeight w:val="247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0E46" w:rsidRDefault="00116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PAD (mmHg)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0E46" w:rsidRDefault="00B50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E46" w:rsidRDefault="0011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E46" w:rsidRDefault="0011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E46" w:rsidRDefault="0011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E46" w:rsidRDefault="0011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E46" w:rsidRDefault="0011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E46" w:rsidRDefault="00B5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E46" w:rsidRDefault="0011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E46" w:rsidRDefault="0011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E46" w:rsidRDefault="0011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E46" w:rsidRDefault="0011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17,9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0E46" w:rsidRDefault="0011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0,86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0E46" w:rsidRDefault="00B50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0E46">
        <w:trPr>
          <w:trHeight w:val="247"/>
        </w:trPr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50E46" w:rsidRDefault="00116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FC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bpm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50E46" w:rsidRDefault="00116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50E46" w:rsidRDefault="0011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50E46" w:rsidRDefault="0011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50E46" w:rsidRDefault="0011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50E46" w:rsidRDefault="0011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50E46" w:rsidRDefault="0011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0,04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50E46" w:rsidRDefault="0011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50E46" w:rsidRDefault="0011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50E46" w:rsidRDefault="0011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50E46" w:rsidRDefault="0011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50E46" w:rsidRDefault="0011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50E46" w:rsidRDefault="0011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0,04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0E46" w:rsidRDefault="00B50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0E46">
        <w:trPr>
          <w:trHeight w:val="247"/>
        </w:trPr>
        <w:tc>
          <w:tcPr>
            <w:tcW w:w="4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0E46" w:rsidRDefault="00116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Teste-t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para variáveis dependentes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0E46" w:rsidRDefault="00B50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0E46" w:rsidRDefault="00B50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0E46" w:rsidRDefault="00B50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0E46" w:rsidRDefault="00B50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0E46" w:rsidRDefault="00B50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0E46" w:rsidRDefault="00B50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0E46" w:rsidRDefault="00B50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0E46" w:rsidRDefault="00B50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0E46" w:rsidRDefault="00B50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50E46" w:rsidRDefault="00116687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Legenda: HAC – Hipertensão Arterial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Contolada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; HAR/HAPR – Hipertensão Arterial Resistente e Hipertensão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Pseudorresistente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 PAS – Pressão Arterial Sistólica; PAD – Pressão Arterial Diastólica; FC – Frequência Cardíaca; DP – Desvio Padrão.</w:t>
      </w:r>
    </w:p>
    <w:p w:rsidR="00B50E46" w:rsidRDefault="00116687">
      <w:pPr>
        <w:pBdr>
          <w:top w:val="nil"/>
          <w:left w:val="nil"/>
          <w:bottom w:val="nil"/>
          <w:right w:val="nil"/>
          <w:between w:val="nil"/>
        </w:pBdr>
        <w:spacing w:before="240" w:after="16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Vale ressaltar que se encontra bem documentado que a hipertensão do jaleco branco se reveste de caráter menos favorável com os desfechos de pacientes, podendo-se assemelhar aqueles hipertensos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pseudorresistentes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(HAPR), e na pior hipótese, aos pacientes verdadeiramente normotensos, sendo este último um fenômeno de igual ou talvez maior importância, por tratar de idosos que não possuem tal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comorbidade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que devido a negligência, fazem uso de fármacos desnecessários (CAMPANA, 2004)</w:t>
      </w:r>
    </w:p>
    <w:p w:rsidR="00B50E46" w:rsidRDefault="00116687">
      <w:pPr>
        <w:pBdr>
          <w:top w:val="nil"/>
          <w:left w:val="nil"/>
          <w:bottom w:val="nil"/>
          <w:right w:val="nil"/>
          <w:between w:val="nil"/>
        </w:pBdr>
        <w:spacing w:before="240" w:after="16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Quanto a avaliação do estado nutricional, a prevalência de IMC (Índice de Massa Corpórea) na faixa de baixo peso foi maior no grupo HAC, igual a 58,8% (10/28), enquanto essa mesma faixa teve percentual de 18,2% (2/28) no grupo HAR/HAPR. De acordo com este resultado, a alta frequência de baixo peso mostrou-se como fator protetor para o controle de HAS na população estudada (p = 0,04). </w:t>
      </w:r>
    </w:p>
    <w:p w:rsidR="00B50E46" w:rsidRDefault="00116687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avaliação de possível associação entre capacidade funcional e a classificação de hipertensão arterial controlada e não controlada, não identificou resultados estatisticamente significantes. </w:t>
      </w:r>
    </w:p>
    <w:p w:rsidR="00B50E46" w:rsidRDefault="00116687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Um estudo realizado em Recife por Dantas et. Al (2013) que avaliou capacidade funcional com doenças crônicas não transmissíveis em idoso institucionalizados constatou que 91,5% dos idosos apresentavam DCNT ou agravos, sendo a hipertensão arterial a mais frequente 48,8%.  </w:t>
      </w:r>
    </w:p>
    <w:p w:rsidR="00B50E46" w:rsidRDefault="00B50E46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0E46" w:rsidRDefault="00B50E46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0E46" w:rsidRDefault="00116687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4. CONCLUSÕES</w:t>
      </w:r>
    </w:p>
    <w:p w:rsidR="00B50E46" w:rsidRDefault="00116687">
      <w:pPr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Foram verificados que os parâmetros arteriais no grupo de HAR/HAPR teve médias maiores no dia de coleta de dados realizado com o uso de jaleco, podendo indicar a possibilidade do efeito da síndrome do jaleco branco na manutenção de níveis pressóricos. O baixo peso apresentou-se como fator protetor na redução do risco, enquanto que a capacidade funcional parece não interferir no controle dos níveis pressóricos dessa amostra. </w:t>
      </w:r>
    </w:p>
    <w:p w:rsidR="00B50E46" w:rsidRDefault="00116687">
      <w:pPr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Entretanto, ressalta-se que o contingente amostral do estudo pode ser considerado um fator limitante para que as variáveis analisadas apresentem melhor correlação entre as mesmas, contudo, a literatura científica sobre a presente casuística encontra-se escassa, necessitando desta forma de mais estudos que avaliem os fatores relacionados ao controle dos níveis pressóricos em idosos residentes 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ILPs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0E46" w:rsidRDefault="00B50E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0E46" w:rsidRDefault="00B50E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0E46" w:rsidRDefault="00B50E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0E46" w:rsidRDefault="00B50E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0E46" w:rsidRDefault="00B50E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0E46" w:rsidRDefault="00B50E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0E46" w:rsidRDefault="00B50E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0E46" w:rsidRDefault="00B50E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0E46" w:rsidRDefault="00B50E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0E46" w:rsidRDefault="00B50E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0E46" w:rsidRDefault="00B50E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0E46" w:rsidRDefault="00B50E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0E46" w:rsidRDefault="00B50E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0E46" w:rsidRDefault="00B50E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0E46" w:rsidRDefault="00B50E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0E46" w:rsidRDefault="00B50E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0E46" w:rsidRDefault="00B50E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0E46" w:rsidRDefault="00B50E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0E46" w:rsidRDefault="00B50E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0E46" w:rsidRDefault="001166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REFERÊNCIAS</w:t>
      </w:r>
    </w:p>
    <w:p w:rsidR="00B50E46" w:rsidRDefault="00B50E46" w:rsidP="00DB23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0E46" w:rsidRDefault="00116687" w:rsidP="00DB23B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CABREIRA,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Tamirys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Pereira; MARCUZZO,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Marciele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Lovatto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; KIRSTEN, Vanessa Ramos. Perfil nutricional de idosos de uma instituição geriátrica de Santa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Maria-RS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Disciplinarum</w:t>
      </w:r>
      <w:proofErr w:type="spellEnd"/>
      <w:r>
        <w:rPr>
          <w:rFonts w:ascii="Times New Roman" w:eastAsia="Times New Roman" w:hAnsi="Times New Roman" w:cs="Times New Roman"/>
          <w:b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Scientia</w:t>
      </w:r>
      <w:proofErr w:type="spellEnd"/>
      <w:r>
        <w:rPr>
          <w:rFonts w:ascii="Times New Roman" w:eastAsia="Times New Roman" w:hAnsi="Times New Roman" w:cs="Times New Roman"/>
          <w:b/>
          <w:highlight w:val="white"/>
        </w:rPr>
        <w:t>| Saúde</w:t>
      </w:r>
      <w:r>
        <w:rPr>
          <w:rFonts w:ascii="Times New Roman" w:eastAsia="Times New Roman" w:hAnsi="Times New Roman" w:cs="Times New Roman"/>
          <w:highlight w:val="white"/>
        </w:rPr>
        <w:t>, v. 9, n. 1, p. 69-76, 2008.</w:t>
      </w:r>
    </w:p>
    <w:p w:rsidR="00B50E46" w:rsidRDefault="00116687" w:rsidP="00DB23BD">
      <w:pPr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CAMPANA, Erika Maria Gonçalves.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Normotensão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do jaleco branco: diagnóstico e valor clínico. 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Rev. bras. 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hipertens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, p. 270-271, 2004. </w:t>
      </w:r>
    </w:p>
    <w:p w:rsidR="00B50E46" w:rsidRDefault="00116687" w:rsidP="00DB23BD">
      <w:pPr>
        <w:spacing w:after="16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DANTAS, Cibele Maria de Holanda Lira et al. Capacidade funcional de idosos com doenças crônicas residentes em Instituições de Longa Permanência. </w:t>
      </w:r>
      <w:r>
        <w:rPr>
          <w:rFonts w:ascii="Times New Roman" w:eastAsia="Times New Roman" w:hAnsi="Times New Roman" w:cs="Times New Roman"/>
          <w:b/>
          <w:highlight w:val="white"/>
        </w:rPr>
        <w:t>Revista Brasileira de Enfermagem</w:t>
      </w:r>
      <w:r>
        <w:rPr>
          <w:rFonts w:ascii="Times New Roman" w:eastAsia="Times New Roman" w:hAnsi="Times New Roman" w:cs="Times New Roman"/>
          <w:highlight w:val="white"/>
        </w:rPr>
        <w:t>, v. 66, n. 6, p. 914-920, 2013.</w:t>
      </w:r>
    </w:p>
    <w:p w:rsidR="00B50E46" w:rsidRDefault="00116687" w:rsidP="00DB23BD">
      <w:pPr>
        <w:spacing w:after="160" w:line="240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FREITAS, Mariana Ayres Vilhena De; SCHEICHER, Marcos Eduardo. Qualidade de vida de idosos institucionalizados. </w:t>
      </w:r>
      <w:r>
        <w:rPr>
          <w:rFonts w:ascii="Times New Roman" w:eastAsia="Times New Roman" w:hAnsi="Times New Roman" w:cs="Times New Roman"/>
          <w:b/>
          <w:highlight w:val="white"/>
        </w:rPr>
        <w:t>Revista Brasileira de Geriatria e Gerontologia</w:t>
      </w:r>
      <w:r>
        <w:rPr>
          <w:rFonts w:ascii="Times New Roman" w:eastAsia="Times New Roman" w:hAnsi="Times New Roman" w:cs="Times New Roman"/>
          <w:highlight w:val="white"/>
        </w:rPr>
        <w:t>, p. 395-401, 2010</w:t>
      </w:r>
      <w:r>
        <w:rPr>
          <w:rFonts w:ascii="Arial" w:eastAsia="Arial" w:hAnsi="Arial" w:cs="Arial"/>
          <w:sz w:val="20"/>
          <w:szCs w:val="20"/>
          <w:highlight w:val="white"/>
        </w:rPr>
        <w:t>.</w:t>
      </w:r>
    </w:p>
    <w:p w:rsidR="00B50E46" w:rsidRDefault="00116687" w:rsidP="00DB23BD">
      <w:pPr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MAGNANINI, Monica Maria Ferreira et al. Monitorização ambulatorial da pressão arterial e risco cardiovascular em mulheres com hipertensão resistente. </w:t>
      </w:r>
      <w:r>
        <w:rPr>
          <w:rFonts w:ascii="Times New Roman" w:eastAsia="Times New Roman" w:hAnsi="Times New Roman" w:cs="Times New Roman"/>
          <w:b/>
          <w:highlight w:val="white"/>
        </w:rPr>
        <w:t>Arquivos Brasileiros de Cardiologia</w:t>
      </w:r>
      <w:r>
        <w:rPr>
          <w:rFonts w:ascii="Times New Roman" w:eastAsia="Times New Roman" w:hAnsi="Times New Roman" w:cs="Times New Roman"/>
          <w:highlight w:val="white"/>
        </w:rPr>
        <w:t>, v. 92, n. 6, p. 484-489, 2009.</w:t>
      </w:r>
    </w:p>
    <w:p w:rsidR="00B50E46" w:rsidRDefault="00116687" w:rsidP="00DB23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SOCIAIS, Indicadores. Uma análise das condições de vida da população brasileira. </w:t>
      </w:r>
      <w:r>
        <w:rPr>
          <w:rFonts w:ascii="Times New Roman" w:eastAsia="Times New Roman" w:hAnsi="Times New Roman" w:cs="Times New Roman"/>
          <w:b/>
          <w:color w:val="222222"/>
          <w:highlight w:val="white"/>
        </w:rPr>
        <w:t>Rio de Janeiro: IBGE</w:t>
      </w:r>
      <w:r>
        <w:rPr>
          <w:rFonts w:ascii="Times New Roman" w:eastAsia="Times New Roman" w:hAnsi="Times New Roman" w:cs="Times New Roman"/>
          <w:color w:val="222222"/>
          <w:highlight w:val="white"/>
        </w:rPr>
        <w:t>, 2013.</w:t>
      </w:r>
    </w:p>
    <w:p w:rsidR="00B50E46" w:rsidRDefault="00B50E46" w:rsidP="00DB23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highlight w:val="white"/>
        </w:rPr>
      </w:pPr>
    </w:p>
    <w:p w:rsidR="00B50E46" w:rsidRDefault="00116687" w:rsidP="00DB23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VOLPINI, Milena Maffei; FRANGELLA, Vera Silvia. Avaliação nutricional de idosos institucionalizados. </w:t>
      </w:r>
      <w:r>
        <w:rPr>
          <w:rFonts w:ascii="Times New Roman" w:eastAsia="Times New Roman" w:hAnsi="Times New Roman" w:cs="Times New Roman"/>
          <w:b/>
          <w:color w:val="222222"/>
          <w:highlight w:val="white"/>
        </w:rPr>
        <w:t>Einstein</w:t>
      </w:r>
      <w:r>
        <w:rPr>
          <w:rFonts w:ascii="Times New Roman" w:eastAsia="Times New Roman" w:hAnsi="Times New Roman" w:cs="Times New Roman"/>
          <w:color w:val="222222"/>
          <w:highlight w:val="white"/>
        </w:rPr>
        <w:t>, v. 11, n. 1, p. 32-40, 2013.</w:t>
      </w:r>
    </w:p>
    <w:p w:rsidR="00B50E46" w:rsidRDefault="00B50E46"/>
    <w:sectPr w:rsidR="00B50E46"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0F0" w:rsidRDefault="006130F0">
      <w:pPr>
        <w:spacing w:after="0" w:line="240" w:lineRule="auto"/>
      </w:pPr>
      <w:r>
        <w:separator/>
      </w:r>
    </w:p>
  </w:endnote>
  <w:endnote w:type="continuationSeparator" w:id="0">
    <w:p w:rsidR="006130F0" w:rsidRDefault="00613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da">
    <w:altName w:val="Times New Roman"/>
    <w:charset w:val="00"/>
    <w:family w:val="auto"/>
    <w:pitch w:val="default"/>
  </w:font>
  <w:font w:name="Arial Rounded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E46" w:rsidRDefault="001166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169C5">
      <w:rPr>
        <w:noProof/>
        <w:color w:val="000000"/>
      </w:rPr>
      <w:t>6</w:t>
    </w:r>
    <w:r>
      <w:rPr>
        <w:color w:val="000000"/>
      </w:rPr>
      <w:fldChar w:fldCharType="end"/>
    </w:r>
  </w:p>
  <w:p w:rsidR="00B50E46" w:rsidRDefault="00B50E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0F0" w:rsidRDefault="006130F0">
      <w:pPr>
        <w:spacing w:after="0" w:line="240" w:lineRule="auto"/>
      </w:pPr>
      <w:r>
        <w:separator/>
      </w:r>
    </w:p>
  </w:footnote>
  <w:footnote w:type="continuationSeparator" w:id="0">
    <w:p w:rsidR="006130F0" w:rsidRDefault="00613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E46" w:rsidRDefault="00116687">
    <w:pPr>
      <w:spacing w:after="0"/>
      <w:rPr>
        <w:rFonts w:ascii="Monda" w:eastAsia="Monda" w:hAnsi="Monda" w:cs="Monda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3782059</wp:posOffset>
          </wp:positionH>
          <wp:positionV relativeFrom="paragraph">
            <wp:posOffset>125095</wp:posOffset>
          </wp:positionV>
          <wp:extent cx="1806575" cy="525145"/>
          <wp:effectExtent l="0" t="0" r="0" b="0"/>
          <wp:wrapSquare wrapText="bothSides" distT="0" distB="0" distL="114300" distR="11430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t="23091" b="47786"/>
                  <a:stretch>
                    <a:fillRect/>
                  </a:stretch>
                </pic:blipFill>
                <pic:spPr>
                  <a:xfrm>
                    <a:off x="0" y="0"/>
                    <a:ext cx="1806575" cy="5251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-380999</wp:posOffset>
              </wp:positionH>
              <wp:positionV relativeFrom="paragraph">
                <wp:posOffset>-12699</wp:posOffset>
              </wp:positionV>
              <wp:extent cx="6337300" cy="860425"/>
              <wp:effectExtent l="0" t="0" r="0" b="0"/>
              <wp:wrapNone/>
              <wp:docPr id="1" name="Forma liv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90050" y="3362488"/>
                        <a:ext cx="6311900" cy="8350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11900" h="835025" extrusionOk="0">
                            <a:moveTo>
                              <a:pt x="0" y="0"/>
                            </a:moveTo>
                            <a:lnTo>
                              <a:pt x="0" y="835025"/>
                            </a:lnTo>
                            <a:lnTo>
                              <a:pt x="6311900" y="835025"/>
                            </a:lnTo>
                            <a:lnTo>
                              <a:pt x="6311900" y="0"/>
                            </a:lnTo>
                            <a:close/>
                          </a:path>
                          <a:path w="6311900" h="835025" fill="none" extrusionOk="0">
                            <a:moveTo>
                              <a:pt x="788987" y="104378"/>
                            </a:moveTo>
                            <a:lnTo>
                              <a:pt x="788987" y="730646"/>
                            </a:lnTo>
                            <a:lnTo>
                              <a:pt x="5522912" y="730646"/>
                            </a:lnTo>
                            <a:lnTo>
                              <a:pt x="5522912" y="104378"/>
                            </a:lnTo>
                            <a:close/>
                          </a:path>
                          <a:path w="6311900" h="835025" fill="none" extrusionOk="0">
                            <a:moveTo>
                              <a:pt x="0" y="0"/>
                            </a:moveTo>
                            <a:lnTo>
                              <a:pt x="788987" y="104378"/>
                            </a:lnTo>
                          </a:path>
                          <a:path w="6311900" h="835025" fill="none" extrusionOk="0">
                            <a:moveTo>
                              <a:pt x="0" y="835025"/>
                            </a:moveTo>
                            <a:lnTo>
                              <a:pt x="788987" y="730646"/>
                            </a:lnTo>
                          </a:path>
                          <a:path w="6311900" h="835025" fill="none" extrusionOk="0">
                            <a:moveTo>
                              <a:pt x="6311900" y="835025"/>
                            </a:moveTo>
                            <a:lnTo>
                              <a:pt x="5522912" y="730646"/>
                            </a:lnTo>
                          </a:path>
                          <a:path w="6311900" h="835025" fill="none" extrusionOk="0">
                            <a:moveTo>
                              <a:pt x="6311900" y="0"/>
                            </a:moveTo>
                            <a:lnTo>
                              <a:pt x="5522912" y="104378"/>
                            </a:lnTo>
                          </a:path>
                        </a:pathLst>
                      </a:custGeom>
                      <a:noFill/>
                      <a:ln w="25400" cap="flat" cmpd="sng">
                        <a:solidFill>
                          <a:srgbClr val="F79646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B50E46" w:rsidRDefault="00B50E46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88900" tIns="38100" rIns="88900" bIns="381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-380999</wp:posOffset>
              </wp:positionH>
              <wp:positionV relativeFrom="paragraph">
                <wp:posOffset>-12699</wp:posOffset>
              </wp:positionV>
              <wp:extent cx="6337300" cy="86042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37300" cy="8604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B50E46" w:rsidRDefault="00116687">
    <w:pPr>
      <w:spacing w:after="0"/>
      <w:rPr>
        <w:rFonts w:ascii="Arial Rounded" w:eastAsia="Arial Rounded" w:hAnsi="Arial Rounded" w:cs="Arial Rounded"/>
        <w:b/>
      </w:rPr>
    </w:pPr>
    <w:r>
      <w:rPr>
        <w:rFonts w:ascii="Arial Rounded" w:eastAsia="Arial Rounded" w:hAnsi="Arial Rounded" w:cs="Arial Rounded"/>
        <w:b/>
      </w:rPr>
      <w:t>III Congresso Internacional de Nutrição</w:t>
    </w:r>
  </w:p>
  <w:p w:rsidR="00B50E46" w:rsidRDefault="001166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 Rounded" w:eastAsia="Arial Rounded" w:hAnsi="Arial Rounded" w:cs="Arial Rounded"/>
        <w:b/>
        <w:color w:val="000000"/>
      </w:rPr>
    </w:pPr>
    <w:r>
      <w:rPr>
        <w:rFonts w:ascii="Arial Rounded" w:eastAsia="Arial Rounded" w:hAnsi="Arial Rounded" w:cs="Arial Rounded"/>
        <w:b/>
        <w:color w:val="000000"/>
      </w:rPr>
      <w:t>Online</w:t>
    </w:r>
  </w:p>
  <w:p w:rsidR="00B50E46" w:rsidRDefault="00B50E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Monda" w:eastAsia="Monda" w:hAnsi="Monda" w:cs="Monda"/>
        <w:color w:val="000000"/>
      </w:rPr>
    </w:pPr>
  </w:p>
  <w:p w:rsidR="00B50E46" w:rsidRDefault="00B50E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Monda" w:eastAsia="Monda" w:hAnsi="Monda" w:cs="Monda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E46"/>
    <w:rsid w:val="00116687"/>
    <w:rsid w:val="006130F0"/>
    <w:rsid w:val="007169C5"/>
    <w:rsid w:val="00B50E46"/>
    <w:rsid w:val="00DB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8B1E22-F00C-42B5-A48B-5D63F81F0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spacing w:line="240" w:lineRule="auto"/>
      <w:outlineLvl w:val="5"/>
    </w:pPr>
    <w:rPr>
      <w:rFonts w:ascii="Times New Roman" w:eastAsia="Times New Roman" w:hAnsi="Times New Roman" w:cs="Times New Roman"/>
      <w:b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1599</Words>
  <Characters>8639</Characters>
  <Application>Microsoft Office Word</Application>
  <DocSecurity>0</DocSecurity>
  <Lines>71</Lines>
  <Paragraphs>20</Paragraphs>
  <ScaleCrop>false</ScaleCrop>
  <Company/>
  <LinksUpToDate>false</LinksUpToDate>
  <CharactersWithSpaces>10218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Cezar</cp:lastModifiedBy>
  <cp:revision>5</cp:revision>
  <dcterms:created xsi:type="dcterms:W3CDTF">2020-11-04T14:30:00Z</dcterms:created>
  <dcterms:modified xsi:type="dcterms:W3CDTF">2020-11-04T14:34:00Z</dcterms:modified>
</cp:coreProperties>
</file>