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83D5EF" w14:textId="77777777" w:rsidR="00E7394C" w:rsidRDefault="00E7394C" w:rsidP="003B3E05">
      <w:pPr>
        <w:shd w:val="clear" w:color="auto" w:fill="FFFFFF"/>
        <w:spacing w:after="0" w:line="240" w:lineRule="auto"/>
        <w:jc w:val="center"/>
        <w:rPr>
          <w:rFonts w:ascii="Arial" w:eastAsia="Times New Roman" w:hAnsi="Arial" w:cs="Arial"/>
          <w:color w:val="333333"/>
          <w:sz w:val="24"/>
          <w:szCs w:val="24"/>
        </w:rPr>
      </w:pPr>
    </w:p>
    <w:p w14:paraId="49B305E5" w14:textId="2AD5CFB9" w:rsidR="00E7394C" w:rsidRDefault="003B3E05" w:rsidP="003B3E05">
      <w:pPr>
        <w:tabs>
          <w:tab w:val="left" w:pos="24807"/>
        </w:tabs>
        <w:spacing w:after="0" w:line="240" w:lineRule="auto"/>
        <w:jc w:val="center"/>
        <w:rPr>
          <w:rFonts w:ascii="Times New Roman" w:hAnsi="Times New Roman" w:cs="Times New Roman"/>
          <w:b/>
          <w:sz w:val="28"/>
          <w:szCs w:val="28"/>
        </w:rPr>
      </w:pPr>
      <w:r w:rsidRPr="003B3E05">
        <w:rPr>
          <w:rFonts w:ascii="Times New Roman" w:hAnsi="Times New Roman" w:cs="Times New Roman"/>
          <w:b/>
          <w:sz w:val="28"/>
          <w:szCs w:val="28"/>
        </w:rPr>
        <w:t xml:space="preserve">PREVALÊNCIA DE DEFICIÊNCIA DE VITAMINA D EM CRIANÇAS </w:t>
      </w:r>
      <w:r w:rsidR="00DF5421">
        <w:rPr>
          <w:rFonts w:ascii="Times New Roman" w:hAnsi="Times New Roman" w:cs="Times New Roman"/>
          <w:b/>
          <w:sz w:val="28"/>
          <w:szCs w:val="28"/>
        </w:rPr>
        <w:t xml:space="preserve">E ADOLESCENTES </w:t>
      </w:r>
      <w:r w:rsidRPr="003B3E05">
        <w:rPr>
          <w:rFonts w:ascii="Times New Roman" w:hAnsi="Times New Roman" w:cs="Times New Roman"/>
          <w:b/>
          <w:sz w:val="28"/>
          <w:szCs w:val="28"/>
        </w:rPr>
        <w:t xml:space="preserve">COM PARALISIA CEREBRAL: UMA REVISÃO </w:t>
      </w:r>
    </w:p>
    <w:p w14:paraId="63B27742" w14:textId="171ABE1D" w:rsidR="002B1E03" w:rsidRDefault="002B1E03" w:rsidP="002B1E03">
      <w:pPr>
        <w:spacing w:after="0" w:line="240" w:lineRule="auto"/>
        <w:rPr>
          <w:rFonts w:ascii="Times New Roman" w:hAnsi="Times New Roman" w:cs="Times New Roman"/>
          <w:b/>
          <w:bCs/>
          <w:sz w:val="24"/>
          <w:szCs w:val="24"/>
        </w:rPr>
      </w:pPr>
    </w:p>
    <w:p w14:paraId="77FC0C9D" w14:textId="77777777" w:rsidR="004C4BCB" w:rsidRDefault="004C4BCB" w:rsidP="00383E90">
      <w:pPr>
        <w:spacing w:after="0" w:line="240" w:lineRule="auto"/>
        <w:jc w:val="right"/>
        <w:rPr>
          <w:rFonts w:ascii="Times New Roman" w:hAnsi="Times New Roman" w:cs="Times New Roman"/>
          <w:b/>
          <w:sz w:val="24"/>
          <w:szCs w:val="24"/>
        </w:rPr>
      </w:pPr>
    </w:p>
    <w:p w14:paraId="3EF3264F" w14:textId="62D331F7" w:rsidR="00E7394C" w:rsidRPr="004B1AFF" w:rsidRDefault="00E7394C" w:rsidP="002B1E03">
      <w:pPr>
        <w:spacing w:before="240"/>
        <w:rPr>
          <w:rFonts w:ascii="Times New Roman" w:hAnsi="Times New Roman" w:cs="Times New Roman"/>
          <w:b/>
          <w:sz w:val="24"/>
          <w:szCs w:val="24"/>
        </w:rPr>
      </w:pPr>
      <w:r w:rsidRPr="004B1AFF">
        <w:rPr>
          <w:rFonts w:ascii="Times New Roman" w:hAnsi="Times New Roman" w:cs="Times New Roman"/>
          <w:b/>
          <w:sz w:val="24"/>
          <w:szCs w:val="24"/>
        </w:rPr>
        <w:t>RESUMO</w:t>
      </w:r>
    </w:p>
    <w:p w14:paraId="44F08C6F" w14:textId="7B5489BD" w:rsidR="00C835CA" w:rsidRPr="001F67D6" w:rsidRDefault="00C608C0" w:rsidP="00244766">
      <w:pPr>
        <w:pStyle w:val="Textodecomentrio"/>
        <w:spacing w:after="0"/>
        <w:jc w:val="both"/>
        <w:rPr>
          <w:rFonts w:ascii="Times New Roman" w:hAnsi="Times New Roman" w:cs="Times New Roman"/>
          <w:sz w:val="24"/>
          <w:szCs w:val="24"/>
        </w:rPr>
      </w:pPr>
      <w:r w:rsidRPr="001F67D6">
        <w:rPr>
          <w:rFonts w:ascii="Times New Roman" w:hAnsi="Times New Roman" w:cs="Times New Roman"/>
          <w:bCs/>
          <w:sz w:val="24"/>
        </w:rPr>
        <w:t xml:space="preserve">A paralisia cerebral (PC) causa </w:t>
      </w:r>
      <w:r w:rsidR="00471106" w:rsidRPr="001F67D6">
        <w:rPr>
          <w:rFonts w:ascii="Times New Roman" w:hAnsi="Times New Roman" w:cs="Times New Roman"/>
          <w:bCs/>
          <w:sz w:val="24"/>
        </w:rPr>
        <w:t>alterações motoras</w:t>
      </w:r>
      <w:r w:rsidRPr="001F67D6">
        <w:rPr>
          <w:rFonts w:ascii="Times New Roman" w:hAnsi="Times New Roman" w:cs="Times New Roman"/>
          <w:bCs/>
          <w:sz w:val="24"/>
        </w:rPr>
        <w:t>, causando prejuízos no desenvolvimento, movimento e postura corporal. Muitos são o</w:t>
      </w:r>
      <w:r w:rsidR="00725C05" w:rsidRPr="001F67D6">
        <w:rPr>
          <w:rFonts w:ascii="Times New Roman" w:hAnsi="Times New Roman" w:cs="Times New Roman"/>
          <w:bCs/>
          <w:sz w:val="24"/>
          <w:szCs w:val="24"/>
        </w:rPr>
        <w:t>s</w:t>
      </w:r>
      <w:r w:rsidRPr="001F67D6">
        <w:rPr>
          <w:rFonts w:ascii="Times New Roman" w:hAnsi="Times New Roman" w:cs="Times New Roman"/>
          <w:bCs/>
          <w:sz w:val="24"/>
          <w:szCs w:val="24"/>
        </w:rPr>
        <w:t xml:space="preserve"> fatores associados a essa problemática, um deles </w:t>
      </w:r>
      <w:r w:rsidR="00F03A19" w:rsidRPr="001F67D6">
        <w:rPr>
          <w:rFonts w:ascii="Times New Roman" w:hAnsi="Times New Roman" w:cs="Times New Roman"/>
          <w:bCs/>
          <w:sz w:val="24"/>
          <w:szCs w:val="24"/>
        </w:rPr>
        <w:t xml:space="preserve">parece ser </w:t>
      </w:r>
      <w:r w:rsidRPr="001F67D6">
        <w:rPr>
          <w:rFonts w:ascii="Times New Roman" w:hAnsi="Times New Roman" w:cs="Times New Roman"/>
          <w:bCs/>
          <w:sz w:val="24"/>
          <w:szCs w:val="24"/>
        </w:rPr>
        <w:t xml:space="preserve">a deficiência da vitamina D. Neste </w:t>
      </w:r>
      <w:r w:rsidR="00471106" w:rsidRPr="001F67D6">
        <w:rPr>
          <w:rFonts w:ascii="Times New Roman" w:hAnsi="Times New Roman" w:cs="Times New Roman"/>
          <w:bCs/>
          <w:sz w:val="24"/>
          <w:szCs w:val="24"/>
        </w:rPr>
        <w:t>contexto, o</w:t>
      </w:r>
      <w:r w:rsidR="00D55093" w:rsidRPr="001F67D6">
        <w:rPr>
          <w:rFonts w:ascii="Times New Roman" w:hAnsi="Times New Roman" w:cs="Times New Roman"/>
          <w:sz w:val="24"/>
          <w:szCs w:val="24"/>
        </w:rPr>
        <w:t xml:space="preserve"> objetivo </w:t>
      </w:r>
      <w:r w:rsidRPr="001F67D6">
        <w:rPr>
          <w:rFonts w:ascii="Times New Roman" w:hAnsi="Times New Roman" w:cs="Times New Roman"/>
          <w:sz w:val="24"/>
          <w:szCs w:val="24"/>
        </w:rPr>
        <w:t>desta pesquisa é suscitar a discussão sobre a</w:t>
      </w:r>
      <w:r w:rsidR="00D55093" w:rsidRPr="001F67D6">
        <w:rPr>
          <w:rFonts w:ascii="Times New Roman" w:hAnsi="Times New Roman" w:cs="Times New Roman"/>
          <w:sz w:val="24"/>
          <w:szCs w:val="24"/>
        </w:rPr>
        <w:t xml:space="preserve"> prevalência de</w:t>
      </w:r>
      <w:r w:rsidRPr="001F67D6">
        <w:rPr>
          <w:rFonts w:ascii="Times New Roman" w:hAnsi="Times New Roman" w:cs="Times New Roman"/>
          <w:sz w:val="24"/>
          <w:szCs w:val="24"/>
        </w:rPr>
        <w:t>ssa carência nutricional em</w:t>
      </w:r>
      <w:r w:rsidR="00D55093" w:rsidRPr="001F67D6">
        <w:rPr>
          <w:rFonts w:ascii="Times New Roman" w:hAnsi="Times New Roman" w:cs="Times New Roman"/>
          <w:sz w:val="24"/>
          <w:szCs w:val="24"/>
        </w:rPr>
        <w:t xml:space="preserve"> </w:t>
      </w:r>
      <w:r w:rsidR="00D55093" w:rsidRPr="00DF5421">
        <w:rPr>
          <w:rFonts w:ascii="Times New Roman" w:hAnsi="Times New Roman" w:cs="Times New Roman"/>
          <w:sz w:val="24"/>
          <w:szCs w:val="24"/>
        </w:rPr>
        <w:t>crianças</w:t>
      </w:r>
      <w:r w:rsidR="00DF5421">
        <w:rPr>
          <w:rFonts w:ascii="Times New Roman" w:hAnsi="Times New Roman" w:cs="Times New Roman"/>
          <w:sz w:val="24"/>
          <w:szCs w:val="24"/>
        </w:rPr>
        <w:t xml:space="preserve"> e adolescentes</w:t>
      </w:r>
      <w:r w:rsidR="00D55093" w:rsidRPr="001F67D6">
        <w:rPr>
          <w:rFonts w:ascii="Times New Roman" w:hAnsi="Times New Roman" w:cs="Times New Roman"/>
          <w:sz w:val="24"/>
          <w:szCs w:val="24"/>
        </w:rPr>
        <w:t xml:space="preserve"> com </w:t>
      </w:r>
      <w:r w:rsidRPr="001F67D6">
        <w:rPr>
          <w:rFonts w:ascii="Times New Roman" w:hAnsi="Times New Roman" w:cs="Times New Roman"/>
          <w:sz w:val="24"/>
          <w:szCs w:val="24"/>
        </w:rPr>
        <w:t xml:space="preserve">PC. Para realização do estudo consultou-se publicações </w:t>
      </w:r>
      <w:r>
        <w:rPr>
          <w:rFonts w:ascii="Times New Roman" w:hAnsi="Times New Roman" w:cs="Times New Roman"/>
          <w:sz w:val="24"/>
          <w:szCs w:val="24"/>
        </w:rPr>
        <w:t xml:space="preserve">nas </w:t>
      </w:r>
      <w:r w:rsidR="00D55093" w:rsidRPr="003B3E05">
        <w:rPr>
          <w:rFonts w:ascii="Times New Roman" w:hAnsi="Times New Roman" w:cs="Times New Roman"/>
          <w:sz w:val="24"/>
          <w:szCs w:val="24"/>
        </w:rPr>
        <w:t xml:space="preserve">bases de dados </w:t>
      </w:r>
      <w:proofErr w:type="spellStart"/>
      <w:r w:rsidR="00D55093" w:rsidRPr="003B3E05">
        <w:rPr>
          <w:rFonts w:ascii="Times New Roman" w:hAnsi="Times New Roman" w:cs="Times New Roman"/>
          <w:sz w:val="24"/>
          <w:szCs w:val="24"/>
        </w:rPr>
        <w:t>PubMed</w:t>
      </w:r>
      <w:proofErr w:type="spellEnd"/>
      <w:r w:rsidR="00D55093" w:rsidRPr="003B3E05">
        <w:rPr>
          <w:rFonts w:ascii="Times New Roman" w:hAnsi="Times New Roman" w:cs="Times New Roman"/>
          <w:sz w:val="24"/>
          <w:szCs w:val="24"/>
        </w:rPr>
        <w:t>, Scopus, Embase e Biblioteca Cochrane CENTRAL, entre julho e agosto de 2020.</w:t>
      </w:r>
      <w:r w:rsidR="00D55093">
        <w:rPr>
          <w:rFonts w:ascii="Times New Roman" w:hAnsi="Times New Roman" w:cs="Times New Roman"/>
          <w:sz w:val="24"/>
          <w:szCs w:val="24"/>
        </w:rPr>
        <w:t xml:space="preserve"> </w:t>
      </w:r>
      <w:r w:rsidR="00D55093" w:rsidRPr="003B3E05">
        <w:rPr>
          <w:rFonts w:ascii="Times New Roman" w:hAnsi="Times New Roman" w:cs="Times New Roman"/>
          <w:sz w:val="24"/>
          <w:szCs w:val="24"/>
        </w:rPr>
        <w:t xml:space="preserve">Na busca, utilizou-se a combinação de dois conjuntos de palavras-chave: 1) </w:t>
      </w:r>
      <w:r w:rsidR="00D55093" w:rsidRPr="0038249B">
        <w:rPr>
          <w:rFonts w:ascii="Times New Roman" w:hAnsi="Times New Roman" w:cs="Times New Roman"/>
          <w:i/>
          <w:iCs/>
          <w:sz w:val="24"/>
          <w:szCs w:val="24"/>
        </w:rPr>
        <w:t xml:space="preserve">cerebral </w:t>
      </w:r>
      <w:proofErr w:type="spellStart"/>
      <w:r w:rsidR="00D55093" w:rsidRPr="0038249B">
        <w:rPr>
          <w:rFonts w:ascii="Times New Roman" w:hAnsi="Times New Roman" w:cs="Times New Roman"/>
          <w:i/>
          <w:iCs/>
          <w:sz w:val="24"/>
          <w:szCs w:val="24"/>
        </w:rPr>
        <w:t>palsy</w:t>
      </w:r>
      <w:proofErr w:type="spellEnd"/>
      <w:r w:rsidR="00D55093" w:rsidRPr="003B3E05">
        <w:rPr>
          <w:rFonts w:ascii="Times New Roman" w:hAnsi="Times New Roman" w:cs="Times New Roman"/>
          <w:sz w:val="24"/>
          <w:szCs w:val="24"/>
        </w:rPr>
        <w:t xml:space="preserve"> AND </w:t>
      </w:r>
      <w:proofErr w:type="spellStart"/>
      <w:r w:rsidR="00D55093" w:rsidRPr="0038249B">
        <w:rPr>
          <w:rFonts w:ascii="Times New Roman" w:hAnsi="Times New Roman" w:cs="Times New Roman"/>
          <w:i/>
          <w:iCs/>
          <w:sz w:val="24"/>
          <w:szCs w:val="24"/>
        </w:rPr>
        <w:t>Vitamin</w:t>
      </w:r>
      <w:proofErr w:type="spellEnd"/>
      <w:r w:rsidR="00D55093" w:rsidRPr="0038249B">
        <w:rPr>
          <w:rFonts w:ascii="Times New Roman" w:hAnsi="Times New Roman" w:cs="Times New Roman"/>
          <w:i/>
          <w:iCs/>
          <w:sz w:val="24"/>
          <w:szCs w:val="24"/>
        </w:rPr>
        <w:t xml:space="preserve"> D </w:t>
      </w:r>
      <w:proofErr w:type="spellStart"/>
      <w:r w:rsidR="00D55093" w:rsidRPr="0038249B">
        <w:rPr>
          <w:rFonts w:ascii="Times New Roman" w:hAnsi="Times New Roman" w:cs="Times New Roman"/>
          <w:i/>
          <w:iCs/>
          <w:sz w:val="24"/>
          <w:szCs w:val="24"/>
        </w:rPr>
        <w:t>deficiency</w:t>
      </w:r>
      <w:proofErr w:type="spellEnd"/>
      <w:r w:rsidR="00D55093" w:rsidRPr="003B3E05">
        <w:rPr>
          <w:rFonts w:ascii="Times New Roman" w:hAnsi="Times New Roman" w:cs="Times New Roman"/>
          <w:sz w:val="24"/>
          <w:szCs w:val="24"/>
        </w:rPr>
        <w:t xml:space="preserve"> AND </w:t>
      </w:r>
      <w:proofErr w:type="spellStart"/>
      <w:r w:rsidR="00D55093" w:rsidRPr="003B3E05">
        <w:rPr>
          <w:rFonts w:ascii="Times New Roman" w:hAnsi="Times New Roman" w:cs="Times New Roman"/>
          <w:sz w:val="24"/>
          <w:szCs w:val="24"/>
        </w:rPr>
        <w:t>child</w:t>
      </w:r>
      <w:proofErr w:type="spellEnd"/>
      <w:r w:rsidR="002D0CC6" w:rsidRPr="00F562F4">
        <w:rPr>
          <w:rFonts w:ascii="Times New Roman" w:hAnsi="Times New Roman" w:cs="Times New Roman"/>
          <w:sz w:val="24"/>
          <w:szCs w:val="24"/>
        </w:rPr>
        <w:t>;</w:t>
      </w:r>
      <w:r w:rsidR="00D55093" w:rsidRPr="003B3E05">
        <w:rPr>
          <w:rFonts w:ascii="Times New Roman" w:hAnsi="Times New Roman" w:cs="Times New Roman"/>
          <w:sz w:val="24"/>
          <w:szCs w:val="24"/>
        </w:rPr>
        <w:t xml:space="preserve"> 2) </w:t>
      </w:r>
      <w:r w:rsidR="00D55093" w:rsidRPr="0038249B">
        <w:rPr>
          <w:rFonts w:ascii="Times New Roman" w:hAnsi="Times New Roman" w:cs="Times New Roman"/>
          <w:i/>
          <w:iCs/>
          <w:sz w:val="24"/>
          <w:szCs w:val="24"/>
        </w:rPr>
        <w:t xml:space="preserve">cerebral </w:t>
      </w:r>
      <w:proofErr w:type="spellStart"/>
      <w:r w:rsidR="00D55093" w:rsidRPr="0038249B">
        <w:rPr>
          <w:rFonts w:ascii="Times New Roman" w:hAnsi="Times New Roman" w:cs="Times New Roman"/>
          <w:i/>
          <w:iCs/>
          <w:sz w:val="24"/>
          <w:szCs w:val="24"/>
        </w:rPr>
        <w:t>palsy</w:t>
      </w:r>
      <w:proofErr w:type="spellEnd"/>
      <w:r w:rsidR="00D55093" w:rsidRPr="003B3E05">
        <w:rPr>
          <w:rFonts w:ascii="Times New Roman" w:hAnsi="Times New Roman" w:cs="Times New Roman"/>
          <w:sz w:val="24"/>
          <w:szCs w:val="24"/>
        </w:rPr>
        <w:t xml:space="preserve"> AND </w:t>
      </w:r>
      <w:proofErr w:type="spellStart"/>
      <w:r w:rsidR="00D55093" w:rsidRPr="0038249B">
        <w:rPr>
          <w:rFonts w:ascii="Times New Roman" w:hAnsi="Times New Roman" w:cs="Times New Roman"/>
          <w:i/>
          <w:iCs/>
          <w:sz w:val="24"/>
          <w:szCs w:val="24"/>
        </w:rPr>
        <w:t>Vitamin</w:t>
      </w:r>
      <w:proofErr w:type="spellEnd"/>
      <w:r w:rsidR="00D55093" w:rsidRPr="0038249B">
        <w:rPr>
          <w:rFonts w:ascii="Times New Roman" w:hAnsi="Times New Roman" w:cs="Times New Roman"/>
          <w:i/>
          <w:iCs/>
          <w:sz w:val="24"/>
          <w:szCs w:val="24"/>
        </w:rPr>
        <w:t xml:space="preserve"> D</w:t>
      </w:r>
      <w:r w:rsidR="00D55093" w:rsidRPr="003B3E05">
        <w:rPr>
          <w:rFonts w:ascii="Times New Roman" w:hAnsi="Times New Roman" w:cs="Times New Roman"/>
          <w:sz w:val="24"/>
          <w:szCs w:val="24"/>
        </w:rPr>
        <w:t xml:space="preserve"> OR </w:t>
      </w:r>
      <w:proofErr w:type="spellStart"/>
      <w:r w:rsidR="00D55093" w:rsidRPr="0038249B">
        <w:rPr>
          <w:rFonts w:ascii="Times New Roman" w:hAnsi="Times New Roman" w:cs="Times New Roman"/>
          <w:i/>
          <w:iCs/>
          <w:sz w:val="24"/>
          <w:szCs w:val="24"/>
        </w:rPr>
        <w:t>cholecalciferol</w:t>
      </w:r>
      <w:proofErr w:type="spellEnd"/>
      <w:r w:rsidR="00D55093" w:rsidRPr="0038249B">
        <w:rPr>
          <w:rFonts w:ascii="Times New Roman" w:hAnsi="Times New Roman" w:cs="Times New Roman"/>
          <w:i/>
          <w:iCs/>
          <w:sz w:val="24"/>
          <w:szCs w:val="24"/>
        </w:rPr>
        <w:t xml:space="preserve"> </w:t>
      </w:r>
      <w:r w:rsidR="00D55093" w:rsidRPr="003B3E05">
        <w:rPr>
          <w:rFonts w:ascii="Times New Roman" w:hAnsi="Times New Roman" w:cs="Times New Roman"/>
          <w:sz w:val="24"/>
          <w:szCs w:val="24"/>
        </w:rPr>
        <w:t xml:space="preserve">AND </w:t>
      </w:r>
      <w:proofErr w:type="spellStart"/>
      <w:r w:rsidR="00D55093" w:rsidRPr="00ED465F">
        <w:rPr>
          <w:rFonts w:ascii="Times New Roman" w:hAnsi="Times New Roman" w:cs="Times New Roman"/>
          <w:i/>
          <w:iCs/>
          <w:sz w:val="24"/>
          <w:szCs w:val="24"/>
        </w:rPr>
        <w:t>child</w:t>
      </w:r>
      <w:proofErr w:type="spellEnd"/>
      <w:r w:rsidR="00D55093" w:rsidRPr="00ED465F">
        <w:rPr>
          <w:rFonts w:ascii="Times New Roman" w:hAnsi="Times New Roman" w:cs="Times New Roman"/>
          <w:i/>
          <w:iCs/>
          <w:sz w:val="24"/>
          <w:szCs w:val="24"/>
        </w:rPr>
        <w:t>.</w:t>
      </w:r>
      <w:r w:rsidR="00D55093">
        <w:rPr>
          <w:rFonts w:ascii="Times New Roman" w:hAnsi="Times New Roman" w:cs="Times New Roman"/>
          <w:sz w:val="24"/>
          <w:szCs w:val="24"/>
        </w:rPr>
        <w:t xml:space="preserve"> </w:t>
      </w:r>
      <w:r w:rsidRPr="001F67D6">
        <w:rPr>
          <w:rFonts w:ascii="Times New Roman" w:hAnsi="Times New Roman" w:cs="Times New Roman"/>
          <w:sz w:val="24"/>
          <w:szCs w:val="24"/>
        </w:rPr>
        <w:t>Após o rastreio</w:t>
      </w:r>
      <w:r w:rsidR="00291424" w:rsidRPr="001F67D6">
        <w:rPr>
          <w:rFonts w:ascii="Times New Roman" w:hAnsi="Times New Roman" w:cs="Times New Roman"/>
          <w:sz w:val="24"/>
          <w:szCs w:val="24"/>
        </w:rPr>
        <w:t xml:space="preserve"> </w:t>
      </w:r>
      <w:r w:rsidRPr="001F67D6">
        <w:rPr>
          <w:rFonts w:ascii="Times New Roman" w:hAnsi="Times New Roman" w:cs="Times New Roman"/>
          <w:sz w:val="24"/>
          <w:szCs w:val="24"/>
        </w:rPr>
        <w:t>e leitura dos textos</w:t>
      </w:r>
      <w:r w:rsidR="00291424" w:rsidRPr="001F67D6">
        <w:rPr>
          <w:rFonts w:ascii="Times New Roman" w:hAnsi="Times New Roman" w:cs="Times New Roman"/>
          <w:sz w:val="24"/>
          <w:szCs w:val="24"/>
        </w:rPr>
        <w:t xml:space="preserve">, </w:t>
      </w:r>
      <w:r w:rsidR="00D55093" w:rsidRPr="001F67D6">
        <w:rPr>
          <w:rFonts w:ascii="Times New Roman" w:hAnsi="Times New Roman" w:cs="Times New Roman"/>
          <w:bCs/>
          <w:sz w:val="24"/>
          <w:szCs w:val="24"/>
        </w:rPr>
        <w:t xml:space="preserve">nove </w:t>
      </w:r>
      <w:r w:rsidR="00291424" w:rsidRPr="001F67D6">
        <w:rPr>
          <w:rFonts w:ascii="Times New Roman" w:hAnsi="Times New Roman" w:cs="Times New Roman"/>
          <w:bCs/>
          <w:sz w:val="24"/>
          <w:szCs w:val="24"/>
        </w:rPr>
        <w:t>trabalhos foram selecionados</w:t>
      </w:r>
      <w:r w:rsidR="00D55093" w:rsidRPr="001F67D6">
        <w:rPr>
          <w:rFonts w:ascii="Times New Roman" w:hAnsi="Times New Roman" w:cs="Times New Roman"/>
          <w:bCs/>
          <w:sz w:val="24"/>
          <w:szCs w:val="24"/>
        </w:rPr>
        <w:t xml:space="preserve"> </w:t>
      </w:r>
      <w:r w:rsidR="00291424" w:rsidRPr="001F67D6">
        <w:rPr>
          <w:rFonts w:ascii="Times New Roman" w:hAnsi="Times New Roman" w:cs="Times New Roman"/>
          <w:bCs/>
          <w:sz w:val="24"/>
          <w:szCs w:val="24"/>
        </w:rPr>
        <w:t>definitivamente</w:t>
      </w:r>
      <w:r w:rsidR="00D55093" w:rsidRPr="001F67D6">
        <w:rPr>
          <w:rFonts w:ascii="Times New Roman" w:hAnsi="Times New Roman" w:cs="Times New Roman"/>
          <w:bCs/>
          <w:sz w:val="24"/>
          <w:szCs w:val="24"/>
        </w:rPr>
        <w:t xml:space="preserve">. </w:t>
      </w:r>
      <w:r w:rsidR="00271837" w:rsidRPr="001F67D6">
        <w:rPr>
          <w:rFonts w:ascii="Times New Roman" w:hAnsi="Times New Roman" w:cs="Times New Roman"/>
          <w:bCs/>
          <w:sz w:val="24"/>
          <w:szCs w:val="24"/>
        </w:rPr>
        <w:t xml:space="preserve">Os resultados revelam </w:t>
      </w:r>
      <w:r w:rsidR="00245A18" w:rsidRPr="001F67D6">
        <w:rPr>
          <w:rFonts w:ascii="Times New Roman" w:hAnsi="Times New Roman" w:cs="Times New Roman"/>
          <w:bCs/>
          <w:sz w:val="24"/>
          <w:szCs w:val="24"/>
        </w:rPr>
        <w:t xml:space="preserve">grande </w:t>
      </w:r>
      <w:r w:rsidR="00245A18" w:rsidRPr="001F67D6">
        <w:rPr>
          <w:rFonts w:ascii="Times New Roman" w:hAnsi="Times New Roman" w:cs="Times New Roman"/>
          <w:sz w:val="24"/>
          <w:szCs w:val="24"/>
        </w:rPr>
        <w:t>variabilidade</w:t>
      </w:r>
      <w:r w:rsidR="00245A18" w:rsidRPr="001F67D6">
        <w:rPr>
          <w:rFonts w:ascii="Times New Roman" w:hAnsi="Times New Roman" w:cs="Times New Roman"/>
          <w:bCs/>
          <w:sz w:val="24"/>
          <w:szCs w:val="24"/>
        </w:rPr>
        <w:t xml:space="preserve"> na</w:t>
      </w:r>
      <w:r w:rsidR="00271837" w:rsidRPr="001F67D6">
        <w:rPr>
          <w:rFonts w:ascii="Times New Roman" w:hAnsi="Times New Roman" w:cs="Times New Roman"/>
          <w:bCs/>
          <w:sz w:val="24"/>
          <w:szCs w:val="24"/>
        </w:rPr>
        <w:t xml:space="preserve"> classificação </w:t>
      </w:r>
      <w:r w:rsidR="00AF2759" w:rsidRPr="001F67D6">
        <w:rPr>
          <w:rFonts w:ascii="Times New Roman" w:hAnsi="Times New Roman" w:cs="Times New Roman"/>
          <w:bCs/>
          <w:sz w:val="24"/>
          <w:szCs w:val="24"/>
        </w:rPr>
        <w:t>para</w:t>
      </w:r>
      <w:r w:rsidR="00271837" w:rsidRPr="001F67D6">
        <w:rPr>
          <w:rFonts w:ascii="Times New Roman" w:hAnsi="Times New Roman" w:cs="Times New Roman"/>
          <w:bCs/>
          <w:sz w:val="24"/>
          <w:szCs w:val="24"/>
        </w:rPr>
        <w:t xml:space="preserve"> </w:t>
      </w:r>
      <w:r w:rsidR="00271837" w:rsidRPr="001F67D6">
        <w:rPr>
          <w:rFonts w:ascii="Times New Roman" w:hAnsi="Times New Roman" w:cs="Times New Roman"/>
          <w:sz w:val="24"/>
          <w:szCs w:val="24"/>
        </w:rPr>
        <w:t>deficiência e insuficiência de vitamina D</w:t>
      </w:r>
      <w:r w:rsidR="00DC4EC3" w:rsidRPr="001F67D6">
        <w:rPr>
          <w:rFonts w:ascii="Times New Roman" w:hAnsi="Times New Roman" w:cs="Times New Roman"/>
          <w:sz w:val="24"/>
          <w:szCs w:val="24"/>
        </w:rPr>
        <w:t xml:space="preserve"> e prevalência variando de </w:t>
      </w:r>
      <w:r w:rsidR="00245A18" w:rsidRPr="001F67D6">
        <w:rPr>
          <w:rFonts w:ascii="Times New Roman" w:hAnsi="Times New Roman" w:cs="Times New Roman"/>
          <w:sz w:val="24"/>
          <w:szCs w:val="24"/>
        </w:rPr>
        <w:t>27,1</w:t>
      </w:r>
      <w:r w:rsidR="00AF2759" w:rsidRPr="001F67D6">
        <w:rPr>
          <w:rFonts w:ascii="Times New Roman" w:hAnsi="Times New Roman" w:cs="Times New Roman"/>
          <w:sz w:val="24"/>
          <w:szCs w:val="24"/>
        </w:rPr>
        <w:t>%</w:t>
      </w:r>
      <w:r w:rsidR="00245A18" w:rsidRPr="001F67D6">
        <w:rPr>
          <w:rFonts w:ascii="Times New Roman" w:hAnsi="Times New Roman" w:cs="Times New Roman"/>
          <w:sz w:val="24"/>
          <w:szCs w:val="24"/>
        </w:rPr>
        <w:t xml:space="preserve"> a 65,8%. </w:t>
      </w:r>
      <w:r w:rsidR="00B16B4A" w:rsidRPr="001F67D6">
        <w:rPr>
          <w:rFonts w:ascii="Times New Roman" w:hAnsi="Times New Roman" w:cs="Times New Roman"/>
          <w:sz w:val="24"/>
          <w:szCs w:val="24"/>
        </w:rPr>
        <w:t xml:space="preserve">Sugere-se a realização rotineira de exames </w:t>
      </w:r>
      <w:r w:rsidR="00C32EC8" w:rsidRPr="001F67D6">
        <w:rPr>
          <w:rFonts w:ascii="Times New Roman" w:hAnsi="Times New Roman" w:cs="Times New Roman"/>
          <w:sz w:val="24"/>
          <w:szCs w:val="24"/>
        </w:rPr>
        <w:t xml:space="preserve">bioquímicos </w:t>
      </w:r>
      <w:r w:rsidR="002E51AC" w:rsidRPr="001F67D6">
        <w:rPr>
          <w:rFonts w:ascii="Times New Roman" w:hAnsi="Times New Roman" w:cs="Times New Roman"/>
          <w:sz w:val="24"/>
          <w:szCs w:val="24"/>
        </w:rPr>
        <w:t>no acompanhamento dess</w:t>
      </w:r>
      <w:r w:rsidR="00DF5421">
        <w:rPr>
          <w:rFonts w:ascii="Times New Roman" w:hAnsi="Times New Roman" w:cs="Times New Roman"/>
          <w:sz w:val="24"/>
          <w:szCs w:val="24"/>
        </w:rPr>
        <w:t>es indivíduos</w:t>
      </w:r>
      <w:r w:rsidR="002E51AC" w:rsidRPr="001F67D6">
        <w:rPr>
          <w:rFonts w:ascii="Times New Roman" w:hAnsi="Times New Roman" w:cs="Times New Roman"/>
          <w:sz w:val="24"/>
          <w:szCs w:val="24"/>
        </w:rPr>
        <w:t xml:space="preserve">, </w:t>
      </w:r>
      <w:r w:rsidR="00B16B4A" w:rsidRPr="001F67D6">
        <w:rPr>
          <w:rFonts w:ascii="Times New Roman" w:hAnsi="Times New Roman" w:cs="Times New Roman"/>
          <w:sz w:val="24"/>
          <w:szCs w:val="24"/>
        </w:rPr>
        <w:t xml:space="preserve">para diagnóstico do </w:t>
      </w:r>
      <w:r w:rsidR="00B16B4A" w:rsidRPr="001F67D6">
        <w:rPr>
          <w:rFonts w:ascii="Times New Roman" w:hAnsi="Times New Roman" w:cs="Times New Roman"/>
          <w:i/>
          <w:iCs/>
          <w:sz w:val="24"/>
          <w:szCs w:val="24"/>
        </w:rPr>
        <w:t>status</w:t>
      </w:r>
      <w:r w:rsidR="00B16B4A" w:rsidRPr="001F67D6">
        <w:rPr>
          <w:rFonts w:ascii="Times New Roman" w:hAnsi="Times New Roman" w:cs="Times New Roman"/>
          <w:sz w:val="24"/>
          <w:szCs w:val="24"/>
        </w:rPr>
        <w:t xml:space="preserve"> </w:t>
      </w:r>
      <w:r w:rsidR="00C32EC8" w:rsidRPr="001F67D6">
        <w:rPr>
          <w:rFonts w:ascii="Times New Roman" w:hAnsi="Times New Roman" w:cs="Times New Roman"/>
          <w:sz w:val="24"/>
          <w:szCs w:val="24"/>
        </w:rPr>
        <w:t xml:space="preserve">das concentrações de vitamina D e a utilização de suplementação </w:t>
      </w:r>
      <w:r w:rsidR="002E51AC" w:rsidRPr="001F67D6">
        <w:rPr>
          <w:rFonts w:ascii="Times New Roman" w:hAnsi="Times New Roman" w:cs="Times New Roman"/>
          <w:sz w:val="24"/>
          <w:szCs w:val="24"/>
        </w:rPr>
        <w:t>nos casos necessários.</w:t>
      </w:r>
    </w:p>
    <w:p w14:paraId="01A77238" w14:textId="77777777" w:rsidR="00C835CA" w:rsidRDefault="00C835CA" w:rsidP="00244766">
      <w:pPr>
        <w:pStyle w:val="Textodecomentrio"/>
        <w:spacing w:after="0"/>
        <w:jc w:val="both"/>
        <w:rPr>
          <w:rFonts w:ascii="Times New Roman" w:hAnsi="Times New Roman" w:cs="Times New Roman"/>
          <w:sz w:val="24"/>
          <w:szCs w:val="24"/>
        </w:rPr>
      </w:pPr>
    </w:p>
    <w:p w14:paraId="2049C556" w14:textId="7F0E6739" w:rsidR="0025627D" w:rsidRDefault="00E7394C" w:rsidP="00244766">
      <w:pPr>
        <w:spacing w:after="0" w:line="240" w:lineRule="auto"/>
        <w:jc w:val="both"/>
        <w:rPr>
          <w:rFonts w:ascii="Times New Roman" w:hAnsi="Times New Roman" w:cs="Times New Roman"/>
          <w:sz w:val="24"/>
          <w:szCs w:val="24"/>
        </w:rPr>
      </w:pPr>
      <w:r w:rsidRPr="004A70F4">
        <w:rPr>
          <w:rFonts w:ascii="Times New Roman" w:hAnsi="Times New Roman" w:cs="Times New Roman"/>
          <w:b/>
          <w:sz w:val="24"/>
          <w:szCs w:val="24"/>
        </w:rPr>
        <w:t>Palavras-chave:</w:t>
      </w:r>
      <w:r w:rsidRPr="004A70F4">
        <w:rPr>
          <w:rFonts w:ascii="Times New Roman" w:hAnsi="Times New Roman" w:cs="Times New Roman"/>
          <w:sz w:val="24"/>
          <w:szCs w:val="24"/>
        </w:rPr>
        <w:t xml:space="preserve"> </w:t>
      </w:r>
      <w:proofErr w:type="spellStart"/>
      <w:r w:rsidR="0025627D" w:rsidRPr="0025627D">
        <w:rPr>
          <w:rFonts w:ascii="Times New Roman" w:hAnsi="Times New Roman" w:cs="Times New Roman"/>
          <w:sz w:val="24"/>
          <w:szCs w:val="24"/>
        </w:rPr>
        <w:t>Colecalciferol</w:t>
      </w:r>
      <w:proofErr w:type="spellEnd"/>
      <w:r w:rsidR="0025627D">
        <w:rPr>
          <w:rFonts w:ascii="Times New Roman" w:hAnsi="Times New Roman" w:cs="Times New Roman"/>
          <w:sz w:val="24"/>
          <w:szCs w:val="24"/>
        </w:rPr>
        <w:t xml:space="preserve">, </w:t>
      </w:r>
      <w:r w:rsidR="0025627D" w:rsidRPr="0025627D">
        <w:rPr>
          <w:rFonts w:ascii="Times New Roman" w:hAnsi="Times New Roman" w:cs="Times New Roman"/>
          <w:sz w:val="24"/>
          <w:szCs w:val="24"/>
        </w:rPr>
        <w:t>Deficiência de Vitamina</w:t>
      </w:r>
      <w:r w:rsidR="0025627D" w:rsidRPr="001F67D6">
        <w:rPr>
          <w:rFonts w:ascii="Times New Roman" w:hAnsi="Times New Roman" w:cs="Times New Roman"/>
          <w:sz w:val="24"/>
          <w:szCs w:val="24"/>
        </w:rPr>
        <w:t>s</w:t>
      </w:r>
      <w:r w:rsidR="0025627D">
        <w:rPr>
          <w:rFonts w:ascii="Times New Roman" w:hAnsi="Times New Roman" w:cs="Times New Roman"/>
          <w:sz w:val="24"/>
          <w:szCs w:val="24"/>
        </w:rPr>
        <w:t xml:space="preserve">, </w:t>
      </w:r>
      <w:r w:rsidR="0025627D" w:rsidRPr="0025627D">
        <w:rPr>
          <w:rFonts w:ascii="Times New Roman" w:hAnsi="Times New Roman" w:cs="Times New Roman"/>
          <w:sz w:val="24"/>
          <w:szCs w:val="24"/>
        </w:rPr>
        <w:t>Nutrição da Criança</w:t>
      </w:r>
      <w:r w:rsidR="0025627D">
        <w:rPr>
          <w:rFonts w:ascii="Times New Roman" w:hAnsi="Times New Roman" w:cs="Times New Roman"/>
          <w:sz w:val="24"/>
          <w:szCs w:val="24"/>
        </w:rPr>
        <w:t xml:space="preserve">, </w:t>
      </w:r>
      <w:r w:rsidR="0025627D" w:rsidRPr="0025627D">
        <w:rPr>
          <w:rFonts w:ascii="Times New Roman" w:hAnsi="Times New Roman" w:cs="Times New Roman"/>
          <w:sz w:val="24"/>
          <w:szCs w:val="24"/>
        </w:rPr>
        <w:t>Saúde da Criança</w:t>
      </w:r>
    </w:p>
    <w:p w14:paraId="003D7BCB" w14:textId="77777777" w:rsidR="004C4BCB" w:rsidRDefault="004C4BCB" w:rsidP="00DC59F2">
      <w:pPr>
        <w:spacing w:after="0" w:line="360" w:lineRule="auto"/>
        <w:jc w:val="both"/>
        <w:rPr>
          <w:rFonts w:ascii="Times New Roman" w:hAnsi="Times New Roman" w:cs="Times New Roman"/>
          <w:sz w:val="24"/>
          <w:szCs w:val="24"/>
        </w:rPr>
      </w:pPr>
    </w:p>
    <w:p w14:paraId="21829546" w14:textId="2398DED2" w:rsidR="00E7394C" w:rsidRPr="00566C12" w:rsidRDefault="00E7394C" w:rsidP="00DC59F2">
      <w:pPr>
        <w:spacing w:after="0" w:line="360" w:lineRule="auto"/>
        <w:jc w:val="both"/>
        <w:rPr>
          <w:rFonts w:ascii="Times New Roman" w:hAnsi="Times New Roman" w:cs="Times New Roman"/>
          <w:b/>
          <w:sz w:val="24"/>
          <w:szCs w:val="24"/>
        </w:rPr>
      </w:pPr>
      <w:r w:rsidRPr="00566C12">
        <w:rPr>
          <w:rFonts w:ascii="Times New Roman" w:hAnsi="Times New Roman" w:cs="Times New Roman"/>
          <w:b/>
          <w:sz w:val="24"/>
          <w:szCs w:val="24"/>
        </w:rPr>
        <w:t>1. INTRODUÇÃO</w:t>
      </w:r>
    </w:p>
    <w:p w14:paraId="3AA8E09A" w14:textId="77777777" w:rsidR="007B5E72" w:rsidRDefault="007B5E72" w:rsidP="00DC59F2">
      <w:pPr>
        <w:spacing w:after="0" w:line="360" w:lineRule="auto"/>
        <w:jc w:val="both"/>
        <w:rPr>
          <w:rFonts w:ascii="Times New Roman" w:hAnsi="Times New Roman" w:cs="Times New Roman"/>
          <w:b/>
          <w:color w:val="FF0000"/>
          <w:sz w:val="24"/>
          <w:szCs w:val="24"/>
        </w:rPr>
      </w:pPr>
    </w:p>
    <w:p w14:paraId="486C8CA8" w14:textId="7F43AB48" w:rsidR="007B5E72" w:rsidRDefault="007B5E72" w:rsidP="004C4BCB">
      <w:pPr>
        <w:spacing w:after="0" w:line="360" w:lineRule="auto"/>
        <w:ind w:firstLine="851"/>
        <w:jc w:val="both"/>
        <w:rPr>
          <w:rFonts w:ascii="Times New Roman" w:hAnsi="Times New Roman" w:cs="Times New Roman"/>
          <w:noProof/>
          <w:sz w:val="24"/>
        </w:rPr>
      </w:pPr>
      <w:r w:rsidRPr="00327172">
        <w:rPr>
          <w:rFonts w:ascii="Times New Roman" w:hAnsi="Times New Roman" w:cs="Times New Roman"/>
          <w:bCs/>
          <w:color w:val="000000" w:themeColor="text1"/>
          <w:sz w:val="24"/>
        </w:rPr>
        <w:t xml:space="preserve">A paralisia cerebral (PC) </w:t>
      </w:r>
      <w:r>
        <w:rPr>
          <w:rFonts w:ascii="Times New Roman" w:hAnsi="Times New Roman" w:cs="Times New Roman"/>
          <w:bCs/>
          <w:color w:val="000000" w:themeColor="text1"/>
          <w:sz w:val="24"/>
        </w:rPr>
        <w:t>engloba</w:t>
      </w:r>
      <w:r w:rsidRPr="00327172">
        <w:rPr>
          <w:rFonts w:ascii="Times New Roman" w:hAnsi="Times New Roman" w:cs="Times New Roman"/>
          <w:bCs/>
          <w:color w:val="000000" w:themeColor="text1"/>
          <w:sz w:val="24"/>
        </w:rPr>
        <w:t xml:space="preserve"> </w:t>
      </w:r>
      <w:r>
        <w:rPr>
          <w:rFonts w:ascii="Times New Roman" w:hAnsi="Times New Roman" w:cs="Times New Roman"/>
          <w:bCs/>
          <w:color w:val="000000" w:themeColor="text1"/>
          <w:sz w:val="24"/>
        </w:rPr>
        <w:t>desordens</w:t>
      </w:r>
      <w:r w:rsidRPr="00327172">
        <w:rPr>
          <w:rFonts w:ascii="Times New Roman" w:hAnsi="Times New Roman" w:cs="Times New Roman"/>
          <w:bCs/>
          <w:color w:val="000000" w:themeColor="text1"/>
          <w:sz w:val="24"/>
        </w:rPr>
        <w:t xml:space="preserve"> do desenvolvimento</w:t>
      </w:r>
      <w:r>
        <w:rPr>
          <w:rFonts w:ascii="Times New Roman" w:hAnsi="Times New Roman" w:cs="Times New Roman"/>
          <w:bCs/>
          <w:color w:val="000000" w:themeColor="text1"/>
          <w:sz w:val="24"/>
        </w:rPr>
        <w:t>,</w:t>
      </w:r>
      <w:r w:rsidRPr="00327172">
        <w:rPr>
          <w:rFonts w:ascii="Times New Roman" w:hAnsi="Times New Roman" w:cs="Times New Roman"/>
          <w:bCs/>
          <w:color w:val="000000" w:themeColor="text1"/>
          <w:sz w:val="24"/>
        </w:rPr>
        <w:t xml:space="preserve"> d</w:t>
      </w:r>
      <w:r>
        <w:rPr>
          <w:rFonts w:ascii="Times New Roman" w:hAnsi="Times New Roman" w:cs="Times New Roman"/>
          <w:bCs/>
          <w:color w:val="000000" w:themeColor="text1"/>
          <w:sz w:val="24"/>
        </w:rPr>
        <w:t>o</w:t>
      </w:r>
      <w:r w:rsidRPr="00327172">
        <w:rPr>
          <w:rFonts w:ascii="Times New Roman" w:hAnsi="Times New Roman" w:cs="Times New Roman"/>
          <w:bCs/>
          <w:color w:val="000000" w:themeColor="text1"/>
          <w:sz w:val="24"/>
        </w:rPr>
        <w:t xml:space="preserve"> movimento e </w:t>
      </w:r>
      <w:r w:rsidR="000F0C19">
        <w:rPr>
          <w:rFonts w:ascii="Times New Roman" w:hAnsi="Times New Roman" w:cs="Times New Roman"/>
          <w:bCs/>
          <w:color w:val="000000" w:themeColor="text1"/>
          <w:sz w:val="24"/>
        </w:rPr>
        <w:t xml:space="preserve">da </w:t>
      </w:r>
      <w:r w:rsidRPr="00327172">
        <w:rPr>
          <w:rFonts w:ascii="Times New Roman" w:hAnsi="Times New Roman" w:cs="Times New Roman"/>
          <w:bCs/>
          <w:color w:val="000000" w:themeColor="text1"/>
          <w:sz w:val="24"/>
        </w:rPr>
        <w:t>postura que limitam a atividade</w:t>
      </w:r>
      <w:r w:rsidR="00213C15">
        <w:rPr>
          <w:rFonts w:ascii="Times New Roman" w:hAnsi="Times New Roman" w:cs="Times New Roman"/>
          <w:bCs/>
          <w:color w:val="000000" w:themeColor="text1"/>
          <w:sz w:val="24"/>
        </w:rPr>
        <w:t xml:space="preserve"> </w:t>
      </w:r>
      <w:r w:rsidR="00213C15" w:rsidRPr="001F67D6">
        <w:rPr>
          <w:rFonts w:ascii="Times New Roman" w:hAnsi="Times New Roman" w:cs="Times New Roman"/>
          <w:bCs/>
          <w:sz w:val="24"/>
        </w:rPr>
        <w:t>corporal</w:t>
      </w:r>
      <w:r w:rsidRPr="001F67D6">
        <w:rPr>
          <w:rFonts w:ascii="Times New Roman" w:hAnsi="Times New Roman" w:cs="Times New Roman"/>
          <w:bCs/>
          <w:sz w:val="24"/>
        </w:rPr>
        <w:t xml:space="preserve"> </w:t>
      </w:r>
      <w:r>
        <w:rPr>
          <w:rFonts w:ascii="Times New Roman" w:hAnsi="Times New Roman" w:cs="Times New Roman"/>
          <w:bCs/>
          <w:color w:val="000000" w:themeColor="text1"/>
          <w:sz w:val="24"/>
        </w:rPr>
        <w:fldChar w:fldCharType="begin" w:fldLock="1"/>
      </w:r>
      <w:r>
        <w:rPr>
          <w:rFonts w:ascii="Times New Roman" w:hAnsi="Times New Roman" w:cs="Times New Roman"/>
          <w:bCs/>
          <w:color w:val="000000" w:themeColor="text1"/>
          <w:sz w:val="24"/>
        </w:rPr>
        <w:instrText>ADDIN CSL_CITATION {"citationItems":[{"id":"ITEM-1","itemData":{"DOI":"10.1017/S001216220500112X","ISBN":"0012162205001","ISSN":"00121622","abstract":"Because of the availability of new knowledge about the neurobiology of developmental brain injury, information that epidemiology and modern brain imaging is providing, the availability of more precise measuring instruments of patient performance, and the increase in studies evaluating the efficacy of therapy for the consequences of injury, the need for reconsideration of the definition and classification of cerebral palsy (CP) has become evident. Pertinent material was reviewed at an international symposium participated in by selected leaders in the preclinical and clinical sciences. Suggestions were made about the content of a revised definition and classification of CP that would meet the needs of clinicians, investigators, and health officials, and provide a common language for improved communication. With leadership and direction from an Executive Committee, panels utilized this information and have generated a revised Definition and Classification of Cerebral Palsy. The Executive Committee presents this revision and welcomes substantive comments about it.","author":[{"dropping-particle":"","family":"Bax","given":"Martin","non-dropping-particle":"","parse-names":false,"suffix":""},{"dropping-particle":"","family":"Goldstein","given":"Murray","non-dropping-particle":"","parse-names":false,"suffix":""},{"dropping-particle":"","family":"Rosenbaun","given":"Peter","non-dropping-particle":"","parse-names":false,"suffix":""},{"dropping-particle":"","family":"Leviton","given":"Alan","non-dropping-particle":"","parse-names":false,"suffix":""},{"dropping-particle":"","family":"Paneth","given":"Nigel","non-dropping-particle":"","parse-names":false,"suffix":""},{"dropping-particle":"","family":"Dan","given":"Bernard","non-dropping-particle":"","parse-names":false,"suffix":""},{"dropping-particle":"","family":"Jacobsson","given":"Bo","non-dropping-particle":"","parse-names":false,"suffix":""},{"dropping-particle":"","family":"Damiano","given":"Diane","non-dropping-particle":"","parse-names":false,"suffix":""}],"container-title":"Developmental Medicine and Child Neurology","id":"ITEM-1","issue":"8","issued":{"date-parts":[["2005"]]},"page":"571-576","title":"Proposed definition and classification of cerebral palsy, April 2005","type":"article-journal","volume":"47"},"uris":["http://www.mendeley.com/documents/?uuid=b21ecb5e-7cd6-40c2-8527-6eb654780de0"]}],"mendeley":{"formattedCitation":"(BAX et al., 2005)","plainTextFormattedCitation":"(BAX et al., 2005)","previouslyFormattedCitation":"(BAX et al., 2005)"},"properties":{"noteIndex":0},"schema":"https://github.com/citation-style-language/schema/raw/master/csl-citation.json"}</w:instrText>
      </w:r>
      <w:r>
        <w:rPr>
          <w:rFonts w:ascii="Times New Roman" w:hAnsi="Times New Roman" w:cs="Times New Roman"/>
          <w:bCs/>
          <w:color w:val="000000" w:themeColor="text1"/>
          <w:sz w:val="24"/>
        </w:rPr>
        <w:fldChar w:fldCharType="separate"/>
      </w:r>
      <w:r w:rsidRPr="00327172">
        <w:rPr>
          <w:rFonts w:ascii="Times New Roman" w:hAnsi="Times New Roman" w:cs="Times New Roman"/>
          <w:bCs/>
          <w:noProof/>
          <w:color w:val="000000" w:themeColor="text1"/>
          <w:sz w:val="24"/>
        </w:rPr>
        <w:t>(BAX et al., 2005)</w:t>
      </w:r>
      <w:r>
        <w:rPr>
          <w:rFonts w:ascii="Times New Roman" w:hAnsi="Times New Roman" w:cs="Times New Roman"/>
          <w:bCs/>
          <w:color w:val="000000" w:themeColor="text1"/>
          <w:sz w:val="24"/>
        </w:rPr>
        <w:fldChar w:fldCharType="end"/>
      </w:r>
      <w:r w:rsidRPr="00327172">
        <w:rPr>
          <w:rFonts w:ascii="Times New Roman" w:hAnsi="Times New Roman" w:cs="Times New Roman"/>
          <w:bCs/>
          <w:color w:val="000000" w:themeColor="text1"/>
          <w:sz w:val="24"/>
        </w:rPr>
        <w:t>.</w:t>
      </w:r>
      <w:r>
        <w:rPr>
          <w:rFonts w:ascii="Times New Roman" w:hAnsi="Times New Roman" w:cs="Times New Roman"/>
          <w:bCs/>
          <w:color w:val="000000" w:themeColor="text1"/>
          <w:sz w:val="24"/>
        </w:rPr>
        <w:t xml:space="preserve"> Isso </w:t>
      </w:r>
      <w:r>
        <w:rPr>
          <w:rFonts w:ascii="Times New Roman" w:hAnsi="Times New Roman" w:cs="Times New Roman"/>
          <w:bCs/>
          <w:sz w:val="24"/>
        </w:rPr>
        <w:t xml:space="preserve">resulta em </w:t>
      </w:r>
      <w:r>
        <w:rPr>
          <w:rFonts w:ascii="Times New Roman" w:hAnsi="Times New Roman" w:cs="Times New Roman"/>
          <w:sz w:val="24"/>
        </w:rPr>
        <w:t xml:space="preserve">problemas oro motores e </w:t>
      </w:r>
      <w:r w:rsidR="00A3131C">
        <w:rPr>
          <w:rFonts w:ascii="Times New Roman" w:hAnsi="Times New Roman" w:cs="Times New Roman"/>
          <w:sz w:val="24"/>
        </w:rPr>
        <w:t xml:space="preserve">alterações </w:t>
      </w:r>
      <w:r>
        <w:rPr>
          <w:rFonts w:ascii="Times New Roman" w:hAnsi="Times New Roman" w:cs="Times New Roman"/>
          <w:sz w:val="24"/>
        </w:rPr>
        <w:t xml:space="preserve">posturais que dificultam a </w:t>
      </w:r>
      <w:r w:rsidRPr="00F55530">
        <w:rPr>
          <w:rFonts w:ascii="Times New Roman" w:hAnsi="Times New Roman" w:cs="Times New Roman"/>
          <w:sz w:val="24"/>
        </w:rPr>
        <w:t>obte</w:t>
      </w:r>
      <w:r>
        <w:rPr>
          <w:rFonts w:ascii="Times New Roman" w:hAnsi="Times New Roman" w:cs="Times New Roman"/>
          <w:sz w:val="24"/>
        </w:rPr>
        <w:t>nção de</w:t>
      </w:r>
      <w:r w:rsidRPr="00F55530">
        <w:rPr>
          <w:rFonts w:ascii="Times New Roman" w:hAnsi="Times New Roman" w:cs="Times New Roman"/>
          <w:sz w:val="24"/>
        </w:rPr>
        <w:t xml:space="preserve"> energia</w:t>
      </w:r>
      <w:r>
        <w:rPr>
          <w:rFonts w:ascii="Times New Roman" w:hAnsi="Times New Roman" w:cs="Times New Roman"/>
          <w:sz w:val="24"/>
        </w:rPr>
        <w:t>, macro e micronutrientes</w:t>
      </w:r>
      <w:r w:rsidRPr="00F55530">
        <w:rPr>
          <w:rFonts w:ascii="Times New Roman" w:hAnsi="Times New Roman" w:cs="Times New Roman"/>
          <w:sz w:val="24"/>
        </w:rPr>
        <w:t xml:space="preserve"> suficientes por ingestão </w:t>
      </w:r>
      <w:r>
        <w:rPr>
          <w:rFonts w:ascii="Times New Roman" w:hAnsi="Times New Roman" w:cs="Times New Roman"/>
          <w:sz w:val="24"/>
        </w:rPr>
        <w:t xml:space="preserve">via </w:t>
      </w:r>
      <w:r w:rsidRPr="00F55530">
        <w:rPr>
          <w:rFonts w:ascii="Times New Roman" w:hAnsi="Times New Roman" w:cs="Times New Roman"/>
          <w:sz w:val="24"/>
        </w:rPr>
        <w:t>oral</w:t>
      </w:r>
      <w:r w:rsidRPr="007B5E72">
        <w:rPr>
          <w:rFonts w:ascii="Times New Roman" w:hAnsi="Times New Roman" w:cs="Times New Roman"/>
          <w:noProof/>
          <w:sz w:val="24"/>
        </w:rPr>
        <w:t xml:space="preserve"> </w:t>
      </w:r>
      <w:r>
        <w:rPr>
          <w:rFonts w:ascii="Times New Roman" w:hAnsi="Times New Roman" w:cs="Times New Roman"/>
          <w:noProof/>
          <w:sz w:val="24"/>
        </w:rPr>
        <w:fldChar w:fldCharType="begin" w:fldLock="1"/>
      </w:r>
      <w:r w:rsidR="00667FE5">
        <w:rPr>
          <w:rFonts w:ascii="Times New Roman" w:hAnsi="Times New Roman" w:cs="Times New Roman"/>
          <w:noProof/>
          <w:sz w:val="24"/>
        </w:rPr>
        <w:instrText>ADDIN CSL_CITATION {"citationItems":[{"id":"ITEM-1","itemData":{"DOI":"10.1590/s0004-2803.201700000-48","ISSN":"0004-2803","PMID":"28954047","abstract":"ABSTRACT BACKGROUND: Gastrostomy tube feeding (GTF) is indicated for children with feeding difficulties due to tetraspastic cerebral palsy, although there are no definitive conclusions about the benefits of GTF. OBJECTIVE: To compare nutritional status and diet of pediatric patients with tetraparesis cerebral palsy who are fed by GTF with those fed orally (PO). METHODS: A transversal and descriptive study on 54 patients with spastic tetraparesis was held. The referred parameters were: weight, knee height and estimated height, cutaneous folds and circumferences. The Frisancho reference was used to compare the skin folds and body circumferences. The Brooks et al. curve was adopted as a reference for weight, height, and BMI. Food inquiry was performed using the Habitual Dietary Recall method. The total energetic value (TEV) of macronutrients and fibers was performed by Avanutri® version 4.0, a nutrition software program. The differences of nutritional parameters between the GTF and the PO groups were calculated by chi-squared and Fisher’s exact tests, and the comparison between the groups for variable numbers was performed using the Mann-Whitney test. The significance level adopted was 5%. RESULTS: The PO group presented more individuals in the malnourished range (24.14%) and high levels of adipose and thin mass depletion. The ingestion of lipids was larger in the GTF group, even though the proteins and fibers were higher in the PO group. The comparison between the diets in the GTF group indicated that the mixed diet (industrialized and artisanal) supplied a greater contribution of proteins and fibers. CONCLUSION: Comparing the groups, the tetraparesis cerebral palsy patients fed orally have a greater impairment of their nutritional status, even though they have higher intakes of protein and fiber than those patients fed by gastrostomy, demonstrating a consistent argument for the use of gastrostomy.","author":[{"dropping-particle":"","family":"CASELLI","given":"Thaisa Barboza","non-dropping-particle":"","parse-names":false,"suffix":""},{"dropping-particle":"","family":"LOMAZI","given":"Elizete Aparecida","non-dropping-particle":"","parse-names":false,"suffix":""},{"dropping-particle":"","family":"MONTENEGRO","given":"Maria Augusta Santos","non-dropping-particle":"","parse-names":false,"suffix":""},{"dropping-particle":"","family":"BELLOMO-BRANDÃO","given":"Maria Angela","non-dropping-particle":"","parse-names":false,"suffix":""}],"container-title":"Arquivos de Gastroenterologia","id":"ITEM-1","issue":"4","issued":{"date-parts":[["2017"]]},"page":"292-296","title":"Comparative study on gastrostomy and orally nutrition of children and adolescents with tetraparesis cerebral palsy","type":"article-journal","volume":"54"},"uris":["http://www.mendeley.com/documents/?uuid=8b9109f4-94c0-4446-b772-28b98e2963dc"]}],"mendeley":{"formattedCitation":"(CASELLI et al., 2017)","plainTextFormattedCitation":"(CASELLI et al., 2017)","previouslyFormattedCitation":"(CASELLI et al., 2017)"},"properties":{"noteIndex":0},"schema":"https://github.com/citation-style-language/schema/raw/master/csl-citation.json"}</w:instrText>
      </w:r>
      <w:r>
        <w:rPr>
          <w:rFonts w:ascii="Times New Roman" w:hAnsi="Times New Roman" w:cs="Times New Roman"/>
          <w:noProof/>
          <w:sz w:val="24"/>
        </w:rPr>
        <w:fldChar w:fldCharType="separate"/>
      </w:r>
      <w:r w:rsidRPr="007B5E72">
        <w:rPr>
          <w:rFonts w:ascii="Times New Roman" w:hAnsi="Times New Roman" w:cs="Times New Roman"/>
          <w:noProof/>
          <w:sz w:val="24"/>
        </w:rPr>
        <w:t>(CASELLI et al., 2017)</w:t>
      </w:r>
      <w:r>
        <w:rPr>
          <w:rFonts w:ascii="Times New Roman" w:hAnsi="Times New Roman" w:cs="Times New Roman"/>
          <w:noProof/>
          <w:sz w:val="24"/>
        </w:rPr>
        <w:fldChar w:fldCharType="end"/>
      </w:r>
      <w:r>
        <w:rPr>
          <w:rFonts w:ascii="Times New Roman" w:hAnsi="Times New Roman" w:cs="Times New Roman"/>
          <w:noProof/>
          <w:sz w:val="24"/>
        </w:rPr>
        <w:t>.</w:t>
      </w:r>
    </w:p>
    <w:p w14:paraId="1FC999E6" w14:textId="140AE5FB" w:rsidR="00077B4E" w:rsidRDefault="00CF1EB3" w:rsidP="00F128DE">
      <w:pPr>
        <w:spacing w:after="0" w:line="360" w:lineRule="auto"/>
        <w:ind w:firstLine="851"/>
        <w:jc w:val="both"/>
        <w:rPr>
          <w:rFonts w:ascii="Times New Roman" w:hAnsi="Times New Roman" w:cs="Times New Roman"/>
          <w:bCs/>
          <w:sz w:val="24"/>
          <w:szCs w:val="24"/>
        </w:rPr>
      </w:pPr>
      <w:r w:rsidRPr="00DF5421">
        <w:rPr>
          <w:rFonts w:ascii="Times New Roman" w:hAnsi="Times New Roman" w:cs="Times New Roman"/>
          <w:noProof/>
          <w:sz w:val="24"/>
        </w:rPr>
        <w:t>Crianças</w:t>
      </w:r>
      <w:r w:rsidR="00DF5421">
        <w:rPr>
          <w:rFonts w:ascii="Times New Roman" w:hAnsi="Times New Roman" w:cs="Times New Roman"/>
          <w:noProof/>
          <w:sz w:val="24"/>
        </w:rPr>
        <w:t xml:space="preserve"> e adolescentes</w:t>
      </w:r>
      <w:r>
        <w:rPr>
          <w:rFonts w:ascii="Times New Roman" w:hAnsi="Times New Roman" w:cs="Times New Roman"/>
          <w:noProof/>
          <w:sz w:val="24"/>
        </w:rPr>
        <w:t xml:space="preserve"> com </w:t>
      </w:r>
      <w:r w:rsidRPr="00CF1EB3">
        <w:rPr>
          <w:rFonts w:ascii="Times New Roman" w:hAnsi="Times New Roman" w:cs="Times New Roman"/>
          <w:noProof/>
          <w:sz w:val="24"/>
        </w:rPr>
        <w:t>paralisia cerebral, apresentam um risco aumentado de deficiência de</w:t>
      </w:r>
      <w:r>
        <w:rPr>
          <w:rFonts w:ascii="Times New Roman" w:hAnsi="Times New Roman" w:cs="Times New Roman"/>
          <w:noProof/>
          <w:sz w:val="24"/>
        </w:rPr>
        <w:t xml:space="preserve"> Vitamina D. </w:t>
      </w:r>
      <w:r w:rsidR="00F128DE">
        <w:rPr>
          <w:rFonts w:ascii="Times New Roman" w:hAnsi="Times New Roman" w:cs="Times New Roman"/>
          <w:noProof/>
          <w:sz w:val="24"/>
        </w:rPr>
        <w:t>Os f</w:t>
      </w:r>
      <w:r w:rsidR="00F128DE" w:rsidRPr="00F128DE">
        <w:rPr>
          <w:rFonts w:ascii="Times New Roman" w:hAnsi="Times New Roman" w:cs="Times New Roman"/>
          <w:noProof/>
          <w:sz w:val="24"/>
        </w:rPr>
        <w:t xml:space="preserve">atores determinantes </w:t>
      </w:r>
      <w:r w:rsidR="00F128DE">
        <w:rPr>
          <w:rFonts w:ascii="Times New Roman" w:hAnsi="Times New Roman" w:cs="Times New Roman"/>
          <w:noProof/>
          <w:sz w:val="24"/>
        </w:rPr>
        <w:t>para esse achado são</w:t>
      </w:r>
      <w:r w:rsidR="00F128DE" w:rsidRPr="00F128DE">
        <w:rPr>
          <w:rFonts w:ascii="Times New Roman" w:hAnsi="Times New Roman" w:cs="Times New Roman"/>
          <w:bCs/>
          <w:noProof/>
          <w:sz w:val="24"/>
          <w:szCs w:val="24"/>
        </w:rPr>
        <w:t xml:space="preserve"> </w:t>
      </w:r>
      <w:r w:rsidR="00F128DE">
        <w:rPr>
          <w:rFonts w:ascii="Times New Roman" w:hAnsi="Times New Roman" w:cs="Times New Roman"/>
          <w:bCs/>
          <w:noProof/>
          <w:sz w:val="24"/>
          <w:szCs w:val="24"/>
        </w:rPr>
        <w:t xml:space="preserve">a </w:t>
      </w:r>
      <w:r w:rsidR="00083835">
        <w:rPr>
          <w:rFonts w:ascii="Times New Roman" w:hAnsi="Times New Roman" w:cs="Times New Roman"/>
          <w:bCs/>
          <w:sz w:val="24"/>
          <w:szCs w:val="24"/>
        </w:rPr>
        <w:t xml:space="preserve">redução </w:t>
      </w:r>
      <w:r w:rsidR="009A1343">
        <w:rPr>
          <w:rFonts w:ascii="Times New Roman" w:hAnsi="Times New Roman" w:cs="Times New Roman"/>
          <w:bCs/>
          <w:sz w:val="24"/>
          <w:szCs w:val="24"/>
        </w:rPr>
        <w:t>do consumo</w:t>
      </w:r>
      <w:r w:rsidR="00083835" w:rsidRPr="00077B4E">
        <w:rPr>
          <w:rFonts w:ascii="Times New Roman" w:hAnsi="Times New Roman" w:cs="Times New Roman"/>
          <w:bCs/>
          <w:sz w:val="24"/>
          <w:szCs w:val="24"/>
        </w:rPr>
        <w:t xml:space="preserve"> </w:t>
      </w:r>
      <w:r w:rsidR="00083835">
        <w:rPr>
          <w:rFonts w:ascii="Times New Roman" w:hAnsi="Times New Roman" w:cs="Times New Roman"/>
          <w:bCs/>
          <w:sz w:val="24"/>
          <w:szCs w:val="24"/>
        </w:rPr>
        <w:t xml:space="preserve">alimentar </w:t>
      </w:r>
      <w:r w:rsidR="00083835" w:rsidRPr="00077B4E">
        <w:rPr>
          <w:rFonts w:ascii="Times New Roman" w:hAnsi="Times New Roman" w:cs="Times New Roman"/>
          <w:bCs/>
          <w:sz w:val="24"/>
          <w:szCs w:val="24"/>
        </w:rPr>
        <w:t>por via oral</w:t>
      </w:r>
      <w:r w:rsidR="00083835">
        <w:rPr>
          <w:rFonts w:ascii="Times New Roman" w:hAnsi="Times New Roman" w:cs="Times New Roman"/>
          <w:bCs/>
          <w:sz w:val="24"/>
          <w:szCs w:val="24"/>
        </w:rPr>
        <w:t>, no qual acarreta</w:t>
      </w:r>
      <w:r w:rsidRPr="00CF1EB3">
        <w:rPr>
          <w:rFonts w:ascii="Times New Roman" w:hAnsi="Times New Roman" w:cs="Times New Roman"/>
          <w:noProof/>
          <w:sz w:val="24"/>
        </w:rPr>
        <w:t xml:space="preserve"> </w:t>
      </w:r>
      <w:r w:rsidR="00F128DE">
        <w:rPr>
          <w:rFonts w:ascii="Times New Roman" w:hAnsi="Times New Roman" w:cs="Times New Roman"/>
          <w:noProof/>
          <w:sz w:val="24"/>
        </w:rPr>
        <w:t xml:space="preserve">na </w:t>
      </w:r>
      <w:r w:rsidRPr="00CF1EB3">
        <w:rPr>
          <w:rFonts w:ascii="Times New Roman" w:hAnsi="Times New Roman" w:cs="Times New Roman"/>
          <w:noProof/>
          <w:sz w:val="24"/>
        </w:rPr>
        <w:t xml:space="preserve">ingestão </w:t>
      </w:r>
      <w:r w:rsidR="00083835">
        <w:rPr>
          <w:rFonts w:ascii="Times New Roman" w:hAnsi="Times New Roman" w:cs="Times New Roman"/>
          <w:noProof/>
          <w:sz w:val="24"/>
        </w:rPr>
        <w:t>insuficiente</w:t>
      </w:r>
      <w:r w:rsidRPr="00CF1EB3">
        <w:rPr>
          <w:rFonts w:ascii="Times New Roman" w:hAnsi="Times New Roman" w:cs="Times New Roman"/>
          <w:noProof/>
          <w:sz w:val="24"/>
        </w:rPr>
        <w:t xml:space="preserve"> </w:t>
      </w:r>
      <w:r>
        <w:rPr>
          <w:rFonts w:ascii="Times New Roman" w:hAnsi="Times New Roman" w:cs="Times New Roman"/>
          <w:noProof/>
          <w:sz w:val="24"/>
        </w:rPr>
        <w:t>desse miconutriente</w:t>
      </w:r>
      <w:r w:rsidR="003C6130">
        <w:rPr>
          <w:rFonts w:ascii="Times New Roman" w:hAnsi="Times New Roman" w:cs="Times New Roman"/>
          <w:noProof/>
          <w:sz w:val="24"/>
        </w:rPr>
        <w:t>;</w:t>
      </w:r>
      <w:r>
        <w:rPr>
          <w:rFonts w:ascii="Times New Roman" w:hAnsi="Times New Roman" w:cs="Times New Roman"/>
          <w:noProof/>
          <w:sz w:val="24"/>
        </w:rPr>
        <w:t xml:space="preserve"> </w:t>
      </w:r>
      <w:r w:rsidRPr="00CF1EB3">
        <w:rPr>
          <w:rFonts w:ascii="Times New Roman" w:hAnsi="Times New Roman" w:cs="Times New Roman"/>
          <w:noProof/>
          <w:sz w:val="24"/>
        </w:rPr>
        <w:t>menor exposição ao sol,</w:t>
      </w:r>
      <w:r>
        <w:rPr>
          <w:rFonts w:ascii="Times New Roman" w:hAnsi="Times New Roman" w:cs="Times New Roman"/>
          <w:noProof/>
          <w:sz w:val="24"/>
        </w:rPr>
        <w:t xml:space="preserve"> devido a limitações motoras e imobilidade</w:t>
      </w:r>
      <w:r w:rsidR="003C6130">
        <w:rPr>
          <w:rFonts w:ascii="Times New Roman" w:hAnsi="Times New Roman" w:cs="Times New Roman"/>
          <w:noProof/>
          <w:sz w:val="24"/>
        </w:rPr>
        <w:t>;</w:t>
      </w:r>
      <w:r>
        <w:rPr>
          <w:rFonts w:ascii="Times New Roman" w:hAnsi="Times New Roman" w:cs="Times New Roman"/>
          <w:noProof/>
          <w:sz w:val="24"/>
        </w:rPr>
        <w:t xml:space="preserve"> </w:t>
      </w:r>
      <w:r w:rsidR="003C6130">
        <w:rPr>
          <w:rFonts w:ascii="Times New Roman" w:hAnsi="Times New Roman" w:cs="Times New Roman"/>
          <w:noProof/>
          <w:sz w:val="24"/>
        </w:rPr>
        <w:t>e</w:t>
      </w:r>
      <w:r w:rsidR="00F4729C">
        <w:rPr>
          <w:rFonts w:ascii="Times New Roman" w:hAnsi="Times New Roman" w:cs="Times New Roman"/>
          <w:noProof/>
          <w:sz w:val="24"/>
        </w:rPr>
        <w:t xml:space="preserve"> pela</w:t>
      </w:r>
      <w:r w:rsidRPr="00CF1EB3">
        <w:rPr>
          <w:rFonts w:ascii="Times New Roman" w:hAnsi="Times New Roman" w:cs="Times New Roman"/>
          <w:noProof/>
          <w:sz w:val="24"/>
        </w:rPr>
        <w:t xml:space="preserve"> </w:t>
      </w:r>
      <w:r w:rsidR="00083835">
        <w:rPr>
          <w:rFonts w:ascii="Times New Roman" w:hAnsi="Times New Roman" w:cs="Times New Roman"/>
          <w:bCs/>
          <w:sz w:val="24"/>
          <w:szCs w:val="24"/>
        </w:rPr>
        <w:t>i</w:t>
      </w:r>
      <w:r w:rsidR="00083835" w:rsidRPr="00077B4E">
        <w:rPr>
          <w:rFonts w:ascii="Times New Roman" w:hAnsi="Times New Roman" w:cs="Times New Roman"/>
          <w:bCs/>
          <w:sz w:val="24"/>
          <w:szCs w:val="24"/>
        </w:rPr>
        <w:t>nteração droga-nutriente</w:t>
      </w:r>
      <w:r w:rsidR="00083835">
        <w:rPr>
          <w:rFonts w:ascii="Times New Roman" w:hAnsi="Times New Roman" w:cs="Times New Roman"/>
          <w:bCs/>
          <w:sz w:val="24"/>
          <w:szCs w:val="24"/>
        </w:rPr>
        <w:t xml:space="preserve">, pois o </w:t>
      </w:r>
      <w:r w:rsidR="00083835" w:rsidRPr="00077B4E">
        <w:rPr>
          <w:rFonts w:ascii="Times New Roman" w:hAnsi="Times New Roman" w:cs="Times New Roman"/>
          <w:bCs/>
          <w:sz w:val="24"/>
          <w:szCs w:val="24"/>
        </w:rPr>
        <w:t>uso</w:t>
      </w:r>
      <w:r w:rsidR="00083835">
        <w:rPr>
          <w:rFonts w:ascii="Times New Roman" w:hAnsi="Times New Roman" w:cs="Times New Roman"/>
          <w:bCs/>
          <w:sz w:val="24"/>
          <w:szCs w:val="24"/>
        </w:rPr>
        <w:t xml:space="preserve"> </w:t>
      </w:r>
      <w:r w:rsidR="00083835" w:rsidRPr="00077B4E">
        <w:rPr>
          <w:rFonts w:ascii="Times New Roman" w:hAnsi="Times New Roman" w:cs="Times New Roman"/>
          <w:bCs/>
          <w:sz w:val="24"/>
          <w:szCs w:val="24"/>
        </w:rPr>
        <w:t>de anticonvulsivante</w:t>
      </w:r>
      <w:r w:rsidR="009A1343">
        <w:rPr>
          <w:rFonts w:ascii="Times New Roman" w:hAnsi="Times New Roman" w:cs="Times New Roman"/>
          <w:bCs/>
          <w:sz w:val="24"/>
          <w:szCs w:val="24"/>
        </w:rPr>
        <w:t>s</w:t>
      </w:r>
      <w:r w:rsidR="00083835" w:rsidRPr="00077B4E">
        <w:rPr>
          <w:rFonts w:ascii="Times New Roman" w:hAnsi="Times New Roman" w:cs="Times New Roman"/>
          <w:bCs/>
          <w:sz w:val="24"/>
          <w:szCs w:val="24"/>
        </w:rPr>
        <w:t xml:space="preserve"> aumenta a excreção renal de</w:t>
      </w:r>
      <w:r w:rsidR="00083835">
        <w:rPr>
          <w:rFonts w:ascii="Times New Roman" w:hAnsi="Times New Roman" w:cs="Times New Roman"/>
          <w:bCs/>
          <w:sz w:val="24"/>
          <w:szCs w:val="24"/>
        </w:rPr>
        <w:t xml:space="preserve"> </w:t>
      </w:r>
      <w:r w:rsidR="00083835" w:rsidRPr="00077B4E">
        <w:rPr>
          <w:rFonts w:ascii="Times New Roman" w:hAnsi="Times New Roman" w:cs="Times New Roman"/>
          <w:bCs/>
          <w:sz w:val="24"/>
          <w:szCs w:val="24"/>
        </w:rPr>
        <w:t>vitamina D</w:t>
      </w:r>
      <w:r w:rsidR="00083835">
        <w:rPr>
          <w:rFonts w:ascii="Times New Roman" w:hAnsi="Times New Roman" w:cs="Times New Roman"/>
          <w:bCs/>
          <w:sz w:val="24"/>
          <w:szCs w:val="24"/>
        </w:rPr>
        <w:t xml:space="preserve"> </w:t>
      </w:r>
      <w:r w:rsidR="00F128DE">
        <w:rPr>
          <w:rFonts w:ascii="Times New Roman" w:hAnsi="Times New Roman" w:cs="Times New Roman"/>
          <w:bCs/>
          <w:sz w:val="24"/>
          <w:szCs w:val="24"/>
        </w:rPr>
        <w:fldChar w:fldCharType="begin" w:fldLock="1"/>
      </w:r>
      <w:r w:rsidR="00F128DE">
        <w:rPr>
          <w:rFonts w:ascii="Times New Roman" w:hAnsi="Times New Roman" w:cs="Times New Roman"/>
          <w:bCs/>
          <w:sz w:val="24"/>
          <w:szCs w:val="24"/>
        </w:rPr>
        <w:instrText>ADDIN CSL_CITATION {"citationItems":[{"id":"ITEM-1","itemData":{"author":[{"dropping-particle":"da","family":"Silva","given":"Tiago Donizeti Bertolacini","non-dropping-particle":"","parse-names":false,"suffix":""},{"dropping-particle":"de","family":"Souza","given":"Fabíola Isabel Suano","non-dropping-particle":"","parse-names":false,"suffix":""},{"dropping-particle":"","family":"Sarni","given":"Roseli Oselka Saccardo","non-dropping-particle":"","parse-names":false,"suffix":""}],"container-title":"BRASPEN J","id":"ITEM-1","issue":"1","issued":{"date-parts":[["2018"]]},"page":"3-8","title":"Concentrações de vitamina D em crianças e adolescentes com encefalopatia crônica não evolutiva, relação com a condição nutricional","type":"article-journal","volume":"33"},"uris":["http://www.mendeley.com/documents/?uuid=aaddc876-7569-494f-b0c9-0e1b2371229d"]},{"id":"ITEM-2","itemData":{"abstract":"El tratamiento de los niños que tienen autismo de acuerdo a las evidencias actuales debe ser intensivo, integral y multidisciplinario. La evaluación diagnóstica y tratamiento de este trastorno comprenden aspectos médicos, farmacológicos, terapéuticos, de salud mental y educativa, que permitan el abordaje integral de todos los aspectos de la vida del individuo con autismo. Desde el punto de vista educativo terapéutico se analizaron los modelos de intervención: Análisis de la Conducta Aplicada (ABA) y el modelo de Enseñanza Estructurada (TEACCH). Estos enfoques, al igual que otros modelos de intervención educativa en autismo tienen como objetivos facilitar el desarrollo y el aprendizaje tanto académico como no académico del individuo con autismo, promover la socialización, reducir la aparición de conductas desajustadas y entregar apoyo y orientación a las famílias. El presente artículo describe los métodos de intervención educativa ABA y TEACCH en cuanto a las bases que los fundamentan, objetivos, planes y programas de trabajo que se realizan en los individuos con autismo.","author":[{"dropping-particle":"","family":"Meier","given":"Martina S","non-dropping-particle":"","parse-names":false,"suffix":""},{"dropping-particle":"","family":"Richards","given":"Josemaría Y","non-dropping-particle":"","parse-names":false,"suffix":""},{"dropping-particle":"","family":"Roy","given":"Catalina O","non-dropping-particle":"Le","parse-names":false,"suffix":""},{"dropping-particle":"","family":"Witting","given":"Scarlet","non-dropping-particle":"","parse-names":false,"suffix":""},{"dropping-particle":"","family":"Castillo-Durán","given":"Carlos","non-dropping-particle":"","parse-names":false,"suffix":""}],"container-title":"Revista Chilena de Psiquiatria y Neurologia de la Infancia y Adolescencia","id":"ITEM-2","issue":"1","issued":{"date-parts":[["2012"]]},"page":"42-49","title":"Vitamina D en niños con Enfermedades Neurológicas en la Edad Pediátrica The role of Vitamin D in neurological diseases in Children","type":"article-journal","volume":"23"},"uris":["http://www.mendeley.com/documents/?uuid=e3beb52d-b4b4-4255-8330-a262d47f88da"]}],"mendeley":{"formattedCitation":"(MEIER et al., 2012; SILVA; SOUZA; SARNI, 2018)","plainTextFormattedCitation":"(MEIER et al., 2012; SILVA; SOUZA; SARNI, 2018)","previouslyFormattedCitation":"(MEIER et al., 2012; SILVA; SOUZA; SARNI, 2018)"},"properties":{"noteIndex":0},"schema":"https://github.com/citation-style-language/schema/raw/master/csl-citation.json"}</w:instrText>
      </w:r>
      <w:r w:rsidR="00F128DE">
        <w:rPr>
          <w:rFonts w:ascii="Times New Roman" w:hAnsi="Times New Roman" w:cs="Times New Roman"/>
          <w:bCs/>
          <w:sz w:val="24"/>
          <w:szCs w:val="24"/>
        </w:rPr>
        <w:fldChar w:fldCharType="separate"/>
      </w:r>
      <w:r w:rsidR="00F128DE" w:rsidRPr="00F128DE">
        <w:rPr>
          <w:rFonts w:ascii="Times New Roman" w:hAnsi="Times New Roman" w:cs="Times New Roman"/>
          <w:bCs/>
          <w:noProof/>
          <w:sz w:val="24"/>
          <w:szCs w:val="24"/>
        </w:rPr>
        <w:t>(MEIER et al., 2012; SILVA; SOUZA; SARNI, 2018)</w:t>
      </w:r>
      <w:r w:rsidR="00F128DE">
        <w:rPr>
          <w:rFonts w:ascii="Times New Roman" w:hAnsi="Times New Roman" w:cs="Times New Roman"/>
          <w:bCs/>
          <w:sz w:val="24"/>
          <w:szCs w:val="24"/>
        </w:rPr>
        <w:fldChar w:fldCharType="end"/>
      </w:r>
      <w:r w:rsidR="00F128DE">
        <w:rPr>
          <w:rFonts w:ascii="Times New Roman" w:hAnsi="Times New Roman" w:cs="Times New Roman"/>
          <w:bCs/>
          <w:sz w:val="24"/>
          <w:szCs w:val="24"/>
        </w:rPr>
        <w:t>.</w:t>
      </w:r>
    </w:p>
    <w:p w14:paraId="10CAC3A8" w14:textId="423D8115" w:rsidR="00077B4E" w:rsidRDefault="006D0FEF" w:rsidP="007A6C92">
      <w:pPr>
        <w:spacing w:after="0" w:line="360" w:lineRule="auto"/>
        <w:ind w:firstLine="851"/>
        <w:jc w:val="both"/>
        <w:rPr>
          <w:rFonts w:ascii="Times New Roman" w:hAnsi="Times New Roman" w:cs="Times New Roman"/>
          <w:bCs/>
          <w:sz w:val="24"/>
          <w:szCs w:val="24"/>
        </w:rPr>
      </w:pPr>
      <w:r>
        <w:rPr>
          <w:rFonts w:ascii="Times New Roman" w:hAnsi="Times New Roman" w:cs="Times New Roman"/>
          <w:noProof/>
          <w:sz w:val="24"/>
        </w:rPr>
        <w:t>O p</w:t>
      </w:r>
      <w:r w:rsidRPr="006D0FEF">
        <w:rPr>
          <w:rFonts w:ascii="Times New Roman" w:hAnsi="Times New Roman" w:cs="Times New Roman"/>
          <w:noProof/>
          <w:sz w:val="24"/>
        </w:rPr>
        <w:t xml:space="preserve">rincipais efeitos clínicos da deficiência de vitamina D </w:t>
      </w:r>
      <w:r>
        <w:rPr>
          <w:rFonts w:ascii="Times New Roman" w:hAnsi="Times New Roman" w:cs="Times New Roman"/>
          <w:noProof/>
          <w:sz w:val="24"/>
        </w:rPr>
        <w:t>ness</w:t>
      </w:r>
      <w:r w:rsidR="00DF5421">
        <w:rPr>
          <w:rFonts w:ascii="Times New Roman" w:hAnsi="Times New Roman" w:cs="Times New Roman"/>
          <w:noProof/>
          <w:sz w:val="24"/>
        </w:rPr>
        <w:t xml:space="preserve">es indivíduos </w:t>
      </w:r>
      <w:r>
        <w:rPr>
          <w:rFonts w:ascii="Times New Roman" w:hAnsi="Times New Roman" w:cs="Times New Roman"/>
          <w:noProof/>
          <w:sz w:val="24"/>
        </w:rPr>
        <w:t xml:space="preserve">são </w:t>
      </w:r>
      <w:r w:rsidR="009A1343">
        <w:rPr>
          <w:rFonts w:ascii="Times New Roman" w:hAnsi="Times New Roman" w:cs="Times New Roman"/>
          <w:noProof/>
          <w:sz w:val="24"/>
        </w:rPr>
        <w:t xml:space="preserve">a </w:t>
      </w:r>
      <w:r w:rsidR="004D4E95">
        <w:rPr>
          <w:rFonts w:ascii="Times New Roman" w:hAnsi="Times New Roman" w:cs="Times New Roman"/>
          <w:bCs/>
          <w:sz w:val="24"/>
          <w:szCs w:val="24"/>
        </w:rPr>
        <w:t>piora na saúde óssea,</w:t>
      </w:r>
      <w:r w:rsidR="009A1343">
        <w:rPr>
          <w:rFonts w:ascii="Times New Roman" w:hAnsi="Times New Roman" w:cs="Times New Roman"/>
          <w:bCs/>
          <w:sz w:val="24"/>
          <w:szCs w:val="24"/>
        </w:rPr>
        <w:t xml:space="preserve"> ocasionada</w:t>
      </w:r>
      <w:r w:rsidR="004D4E95">
        <w:rPr>
          <w:rFonts w:ascii="Times New Roman" w:hAnsi="Times New Roman" w:cs="Times New Roman"/>
          <w:bCs/>
          <w:sz w:val="24"/>
          <w:szCs w:val="24"/>
        </w:rPr>
        <w:t xml:space="preserve"> </w:t>
      </w:r>
      <w:r w:rsidR="00C90014">
        <w:rPr>
          <w:rFonts w:ascii="Times New Roman" w:hAnsi="Times New Roman" w:cs="Times New Roman"/>
          <w:bCs/>
          <w:sz w:val="24"/>
          <w:szCs w:val="24"/>
        </w:rPr>
        <w:t>pela</w:t>
      </w:r>
      <w:r>
        <w:rPr>
          <w:rFonts w:ascii="Times New Roman" w:hAnsi="Times New Roman" w:cs="Times New Roman"/>
          <w:bCs/>
          <w:sz w:val="24"/>
          <w:szCs w:val="24"/>
        </w:rPr>
        <w:t xml:space="preserve"> diminuição da densidade</w:t>
      </w:r>
      <w:r w:rsidRPr="00CF1EB3">
        <w:rPr>
          <w:rFonts w:ascii="Times New Roman" w:hAnsi="Times New Roman" w:cs="Times New Roman"/>
          <w:bCs/>
          <w:color w:val="FF0000"/>
          <w:sz w:val="24"/>
          <w:szCs w:val="24"/>
        </w:rPr>
        <w:t xml:space="preserve"> </w:t>
      </w:r>
      <w:r w:rsidRPr="006D0FEF">
        <w:rPr>
          <w:rFonts w:ascii="Times New Roman" w:hAnsi="Times New Roman" w:cs="Times New Roman"/>
          <w:bCs/>
          <w:sz w:val="24"/>
          <w:szCs w:val="24"/>
        </w:rPr>
        <w:t xml:space="preserve">de mineral óssea </w:t>
      </w:r>
      <w:r>
        <w:rPr>
          <w:rFonts w:ascii="Times New Roman" w:hAnsi="Times New Roman" w:cs="Times New Roman"/>
          <w:bCs/>
          <w:sz w:val="24"/>
          <w:szCs w:val="24"/>
        </w:rPr>
        <w:t>(</w:t>
      </w:r>
      <w:r w:rsidR="004D4E95">
        <w:rPr>
          <w:rFonts w:ascii="Times New Roman" w:hAnsi="Times New Roman" w:cs="Times New Roman"/>
          <w:bCs/>
          <w:sz w:val="24"/>
          <w:szCs w:val="24"/>
        </w:rPr>
        <w:t>DMO</w:t>
      </w:r>
      <w:r>
        <w:rPr>
          <w:rFonts w:ascii="Times New Roman" w:hAnsi="Times New Roman" w:cs="Times New Roman"/>
          <w:bCs/>
          <w:sz w:val="24"/>
          <w:szCs w:val="24"/>
        </w:rPr>
        <w:t xml:space="preserve">), fator </w:t>
      </w:r>
      <w:r w:rsidR="009A1343">
        <w:rPr>
          <w:rFonts w:ascii="Times New Roman" w:hAnsi="Times New Roman" w:cs="Times New Roman"/>
          <w:bCs/>
          <w:sz w:val="24"/>
          <w:szCs w:val="24"/>
        </w:rPr>
        <w:t xml:space="preserve">que pode ser </w:t>
      </w:r>
      <w:r w:rsidR="007A6C92">
        <w:rPr>
          <w:rFonts w:ascii="Times New Roman" w:hAnsi="Times New Roman" w:cs="Times New Roman"/>
          <w:bCs/>
          <w:sz w:val="24"/>
          <w:szCs w:val="24"/>
        </w:rPr>
        <w:t>desencadeador de</w:t>
      </w:r>
      <w:r w:rsidRPr="006D0FEF">
        <w:rPr>
          <w:rFonts w:ascii="Times New Roman" w:hAnsi="Times New Roman" w:cs="Times New Roman"/>
          <w:bCs/>
          <w:sz w:val="24"/>
          <w:szCs w:val="24"/>
        </w:rPr>
        <w:t xml:space="preserve"> fraturas</w:t>
      </w:r>
      <w:r w:rsidR="007A6C92">
        <w:rPr>
          <w:rFonts w:ascii="Times New Roman" w:hAnsi="Times New Roman" w:cs="Times New Roman"/>
          <w:bCs/>
          <w:sz w:val="24"/>
          <w:szCs w:val="24"/>
        </w:rPr>
        <w:t xml:space="preserve"> ósseas</w:t>
      </w:r>
      <w:r>
        <w:rPr>
          <w:rFonts w:ascii="Times New Roman" w:hAnsi="Times New Roman" w:cs="Times New Roman"/>
          <w:noProof/>
          <w:sz w:val="24"/>
        </w:rPr>
        <w:t xml:space="preserve"> </w:t>
      </w:r>
      <w:r w:rsidR="004D4E95">
        <w:rPr>
          <w:rFonts w:ascii="Times New Roman" w:hAnsi="Times New Roman" w:cs="Times New Roman"/>
          <w:bCs/>
          <w:sz w:val="24"/>
          <w:szCs w:val="24"/>
        </w:rPr>
        <w:fldChar w:fldCharType="begin" w:fldLock="1"/>
      </w:r>
      <w:r w:rsidR="00F128DE">
        <w:rPr>
          <w:rFonts w:ascii="Times New Roman" w:hAnsi="Times New Roman" w:cs="Times New Roman"/>
          <w:bCs/>
          <w:sz w:val="24"/>
          <w:szCs w:val="24"/>
        </w:rPr>
        <w:instrText>ADDIN CSL_CITATION {"citationItems":[{"id":"ITEM-1","itemData":{"author":[{"dropping-particle":"da","family":"Silva","given":"Tiago Donizeti Bertolacini","non-dropping-particle":"","parse-names":false,"suffix":""},{"dropping-particle":"de","family":"Souza","given":"Fabíola Isabel Suano","non-dropping-particle":"","parse-names":false,"suffix":""},{"dropping-particle":"","family":"Sarni","given":"Roseli Oselka Saccardo","non-dropping-particle":"","parse-names":false,"suffix":""}],"container-title":"BRASPEN J","id":"ITEM-1","issue":"1","issued":{"date-parts":[["2018"]]},"page":"3-8","title":"Concentrações de vitamina D em crianças e adolescentes com encefalopatia crônica não evolutiva, relação com a condição nutricional","type":"article-journal","volume":"33"},"uris":["http://www.mendeley.com/documents/?uuid=aaddc876-7569-494f-b0c9-0e1b2371229d"]}],"mendeley":{"formattedCitation":"(SILVA; SOUZA; SARNI, 2018)","plainTextFormattedCitation":"(SILVA; SOUZA; SARNI, 2018)","previouslyFormattedCitation":"(SILVA; SOUZA; SARNI, 2018)"},"properties":{"noteIndex":0},"schema":"https://github.com/citation-style-language/schema/raw/master/csl-citation.json"}</w:instrText>
      </w:r>
      <w:r w:rsidR="004D4E95">
        <w:rPr>
          <w:rFonts w:ascii="Times New Roman" w:hAnsi="Times New Roman" w:cs="Times New Roman"/>
          <w:bCs/>
          <w:sz w:val="24"/>
          <w:szCs w:val="24"/>
        </w:rPr>
        <w:fldChar w:fldCharType="separate"/>
      </w:r>
      <w:r w:rsidR="004D4E95" w:rsidRPr="004D4E95">
        <w:rPr>
          <w:rFonts w:ascii="Times New Roman" w:hAnsi="Times New Roman" w:cs="Times New Roman"/>
          <w:bCs/>
          <w:noProof/>
          <w:sz w:val="24"/>
          <w:szCs w:val="24"/>
        </w:rPr>
        <w:t>(SILVA; SOUZA; SARNI, 2018)</w:t>
      </w:r>
      <w:r w:rsidR="004D4E95">
        <w:rPr>
          <w:rFonts w:ascii="Times New Roman" w:hAnsi="Times New Roman" w:cs="Times New Roman"/>
          <w:bCs/>
          <w:sz w:val="24"/>
          <w:szCs w:val="24"/>
        </w:rPr>
        <w:fldChar w:fldCharType="end"/>
      </w:r>
      <w:r w:rsidR="00213C15">
        <w:rPr>
          <w:rFonts w:ascii="Times New Roman" w:hAnsi="Times New Roman" w:cs="Times New Roman"/>
          <w:bCs/>
          <w:sz w:val="24"/>
          <w:szCs w:val="24"/>
        </w:rPr>
        <w:t xml:space="preserve"> e o</w:t>
      </w:r>
      <w:r w:rsidR="007A6C92">
        <w:rPr>
          <w:rFonts w:ascii="Times New Roman" w:hAnsi="Times New Roman" w:cs="Times New Roman"/>
          <w:bCs/>
          <w:sz w:val="24"/>
          <w:szCs w:val="24"/>
        </w:rPr>
        <w:t xml:space="preserve">utros possíveis </w:t>
      </w:r>
      <w:r w:rsidR="007A6C92">
        <w:rPr>
          <w:rFonts w:ascii="Times New Roman" w:hAnsi="Times New Roman" w:cs="Times New Roman"/>
          <w:bCs/>
          <w:sz w:val="24"/>
          <w:szCs w:val="24"/>
        </w:rPr>
        <w:lastRenderedPageBreak/>
        <w:t>efeitos</w:t>
      </w:r>
      <w:r w:rsidR="002C7801">
        <w:rPr>
          <w:rFonts w:ascii="Times New Roman" w:hAnsi="Times New Roman" w:cs="Times New Roman"/>
          <w:bCs/>
          <w:sz w:val="24"/>
          <w:szCs w:val="24"/>
        </w:rPr>
        <w:t xml:space="preserve">, </w:t>
      </w:r>
      <w:r w:rsidR="002C7801" w:rsidRPr="009A15E6">
        <w:rPr>
          <w:rFonts w:ascii="Times New Roman" w:hAnsi="Times New Roman" w:cs="Times New Roman"/>
          <w:bCs/>
          <w:sz w:val="24"/>
          <w:szCs w:val="24"/>
        </w:rPr>
        <w:t>como</w:t>
      </w:r>
      <w:r w:rsidR="007A6C92">
        <w:rPr>
          <w:rFonts w:ascii="Times New Roman" w:hAnsi="Times New Roman" w:cs="Times New Roman"/>
          <w:bCs/>
          <w:sz w:val="24"/>
          <w:szCs w:val="24"/>
        </w:rPr>
        <w:t xml:space="preserve"> a </w:t>
      </w:r>
      <w:r w:rsidR="007A6C92" w:rsidRPr="007A6C92">
        <w:rPr>
          <w:rFonts w:ascii="Times New Roman" w:hAnsi="Times New Roman" w:cs="Times New Roman"/>
          <w:bCs/>
          <w:sz w:val="24"/>
          <w:szCs w:val="24"/>
        </w:rPr>
        <w:t xml:space="preserve">influência </w:t>
      </w:r>
      <w:r w:rsidR="007A6C92">
        <w:rPr>
          <w:rFonts w:ascii="Times New Roman" w:hAnsi="Times New Roman" w:cs="Times New Roman"/>
          <w:bCs/>
          <w:sz w:val="24"/>
          <w:szCs w:val="24"/>
        </w:rPr>
        <w:t>n</w:t>
      </w:r>
      <w:r w:rsidR="007A6C92" w:rsidRPr="007A6C92">
        <w:rPr>
          <w:rFonts w:ascii="Times New Roman" w:hAnsi="Times New Roman" w:cs="Times New Roman"/>
          <w:bCs/>
          <w:sz w:val="24"/>
          <w:szCs w:val="24"/>
        </w:rPr>
        <w:t xml:space="preserve">a </w:t>
      </w:r>
      <w:r w:rsidR="007A6C92">
        <w:rPr>
          <w:rFonts w:ascii="Times New Roman" w:hAnsi="Times New Roman" w:cs="Times New Roman"/>
          <w:bCs/>
          <w:sz w:val="24"/>
          <w:szCs w:val="24"/>
        </w:rPr>
        <w:t>função</w:t>
      </w:r>
      <w:r w:rsidR="007A6C92" w:rsidRPr="007A6C92">
        <w:rPr>
          <w:rFonts w:ascii="Times New Roman" w:hAnsi="Times New Roman" w:cs="Times New Roman"/>
          <w:bCs/>
          <w:sz w:val="24"/>
          <w:szCs w:val="24"/>
        </w:rPr>
        <w:t xml:space="preserve"> muscular</w:t>
      </w:r>
      <w:r w:rsidR="007A6C92">
        <w:rPr>
          <w:rFonts w:ascii="Times New Roman" w:hAnsi="Times New Roman" w:cs="Times New Roman"/>
          <w:bCs/>
          <w:sz w:val="24"/>
          <w:szCs w:val="24"/>
        </w:rPr>
        <w:t xml:space="preserve"> (força, </w:t>
      </w:r>
      <w:r w:rsidR="007A6C92" w:rsidRPr="007A6C92">
        <w:rPr>
          <w:rFonts w:ascii="Times New Roman" w:hAnsi="Times New Roman" w:cs="Times New Roman"/>
          <w:bCs/>
          <w:sz w:val="24"/>
          <w:szCs w:val="24"/>
        </w:rPr>
        <w:t>equilíbrio</w:t>
      </w:r>
      <w:r w:rsidR="007A6C92">
        <w:rPr>
          <w:rFonts w:ascii="Times New Roman" w:hAnsi="Times New Roman" w:cs="Times New Roman"/>
          <w:bCs/>
          <w:sz w:val="24"/>
          <w:szCs w:val="24"/>
        </w:rPr>
        <w:t xml:space="preserve"> e coordenação), além da predisposição a</w:t>
      </w:r>
      <w:r w:rsidR="007A6C92" w:rsidRPr="007A6C92">
        <w:rPr>
          <w:rFonts w:ascii="Times New Roman" w:hAnsi="Times New Roman" w:cs="Times New Roman"/>
          <w:bCs/>
          <w:sz w:val="24"/>
          <w:szCs w:val="24"/>
        </w:rPr>
        <w:t xml:space="preserve"> infecções</w:t>
      </w:r>
      <w:r w:rsidR="007A6C92">
        <w:rPr>
          <w:rFonts w:ascii="Times New Roman" w:hAnsi="Times New Roman" w:cs="Times New Roman"/>
          <w:bCs/>
          <w:sz w:val="24"/>
          <w:szCs w:val="24"/>
        </w:rPr>
        <w:t xml:space="preserve"> </w:t>
      </w:r>
      <w:r w:rsidR="007A6C92" w:rsidRPr="007A6C92">
        <w:rPr>
          <w:rFonts w:ascii="Times New Roman" w:hAnsi="Times New Roman" w:cs="Times New Roman"/>
          <w:bCs/>
          <w:sz w:val="24"/>
          <w:szCs w:val="24"/>
        </w:rPr>
        <w:t>respiratórias virais</w:t>
      </w:r>
      <w:r w:rsidR="007A6C92">
        <w:rPr>
          <w:rFonts w:ascii="Times New Roman" w:hAnsi="Times New Roman" w:cs="Times New Roman"/>
          <w:bCs/>
          <w:sz w:val="24"/>
          <w:szCs w:val="24"/>
        </w:rPr>
        <w:t xml:space="preserve"> </w:t>
      </w:r>
      <w:r w:rsidR="00566C12">
        <w:rPr>
          <w:rFonts w:ascii="Times New Roman" w:hAnsi="Times New Roman" w:cs="Times New Roman"/>
          <w:bCs/>
          <w:sz w:val="24"/>
          <w:szCs w:val="24"/>
        </w:rPr>
        <w:t xml:space="preserve">e pneumonia </w:t>
      </w:r>
      <w:r w:rsidR="007A6C92">
        <w:rPr>
          <w:rFonts w:ascii="Times New Roman" w:hAnsi="Times New Roman" w:cs="Times New Roman"/>
          <w:bCs/>
          <w:sz w:val="24"/>
          <w:szCs w:val="24"/>
        </w:rPr>
        <w:fldChar w:fldCharType="begin" w:fldLock="1"/>
      </w:r>
      <w:r w:rsidR="00F4729C">
        <w:rPr>
          <w:rFonts w:ascii="Times New Roman" w:hAnsi="Times New Roman" w:cs="Times New Roman"/>
          <w:bCs/>
          <w:sz w:val="24"/>
          <w:szCs w:val="24"/>
        </w:rPr>
        <w:instrText>ADDIN CSL_CITATION {"citationItems":[{"id":"ITEM-1","itemData":{"DOI":"10.1055/s-2007-990266","ISSN":"0174304X","abstract":"Adequate vitamin D levels are essential for normal skeletal development and mineralization. This is particularly important in children with cerebral palsy or other neuromuscular disorders who are at an increased risk of osteoporosis. The aim of this study was to evaluate the effect of high-dose vitamin D3 supplementation on vitamin D status in 44 disabled children. Vitamin D was administered during school days (1000 IU vitamin D3 per orally five days per week for 10 weeks) to half of the children (N = 21) while the others (N = 23) continued without supplementation. At baseline the median serum 25-hydroxyvitamin D was 44 nmol/L (range 26-82 nmol/L). The concentration increased significantly during the 10 weeks intervention in the supplemented group (median 56 nmol/L, range 39-88 nmol/L; p = 0.012 for the difference from baseline) and decreased in the control group (median 37 nmol/L, range 24-74 nmol/L; p = 0.038). No significant changes in any of the other measured parameters were observed. Hypovitaminosis D is prevalent in disabled children. Supplementation with 1000 IU vitamin D3 perorally five days per week results in a significant increase in vitamin D level and is not associated with hypercalcemia or other adverse effects. © Georg Thieme Verlag KG Stuttgart.","author":[{"dropping-particle":"","family":"Kilpinen-Loisa","given":"P.","non-dropping-particle":"","parse-names":false,"suffix":""},{"dropping-particle":"","family":"Nenonen","given":"H.","non-dropping-particle":"","parse-names":false,"suffix":""},{"dropping-particle":"","family":"Pihko","given":"H.","non-dropping-particle":"","parse-names":false,"suffix":""},{"dropping-particle":"","family":"Mäkitie","given":"O.","non-dropping-particle":"","parse-names":false,"suffix":""}],"container-title":"Neuropediatrics","id":"ITEM-1","issue":"4","issued":{"date-parts":[["2007"]]},"page":"167-172","title":"High-dose vitamin D supplementation in children with cerebral palsy or neuromuscular disorder","type":"article-journal","volume":"38"},"uris":["http://www.mendeley.com/documents/?uuid=807e4698-12f9-4bf4-be89-e441d9df610e"]}],"mendeley":{"formattedCitation":"(KILPINEN-LOISA et al., 2007)","plainTextFormattedCitation":"(KILPINEN-LOISA et al., 2007)","previouslyFormattedCitation":"(KILPINEN-LOISA et al., 2007)"},"properties":{"noteIndex":0},"schema":"https://github.com/citation-style-language/schema/raw/master/csl-citation.json"}</w:instrText>
      </w:r>
      <w:r w:rsidR="007A6C92">
        <w:rPr>
          <w:rFonts w:ascii="Times New Roman" w:hAnsi="Times New Roman" w:cs="Times New Roman"/>
          <w:bCs/>
          <w:sz w:val="24"/>
          <w:szCs w:val="24"/>
        </w:rPr>
        <w:fldChar w:fldCharType="separate"/>
      </w:r>
      <w:r w:rsidR="007A6C92" w:rsidRPr="007A6C92">
        <w:rPr>
          <w:rFonts w:ascii="Times New Roman" w:hAnsi="Times New Roman" w:cs="Times New Roman"/>
          <w:bCs/>
          <w:noProof/>
          <w:sz w:val="24"/>
          <w:szCs w:val="24"/>
        </w:rPr>
        <w:t>(KILPINEN-LOISA et al., 2007)</w:t>
      </w:r>
      <w:r w:rsidR="007A6C92">
        <w:rPr>
          <w:rFonts w:ascii="Times New Roman" w:hAnsi="Times New Roman" w:cs="Times New Roman"/>
          <w:bCs/>
          <w:sz w:val="24"/>
          <w:szCs w:val="24"/>
        </w:rPr>
        <w:fldChar w:fldCharType="end"/>
      </w:r>
      <w:r w:rsidR="007A6C92">
        <w:rPr>
          <w:rFonts w:ascii="Times New Roman" w:hAnsi="Times New Roman" w:cs="Times New Roman"/>
          <w:bCs/>
          <w:sz w:val="24"/>
          <w:szCs w:val="24"/>
        </w:rPr>
        <w:t>.</w:t>
      </w:r>
    </w:p>
    <w:p w14:paraId="7ED8570D" w14:textId="2CDFDE8E" w:rsidR="00F4729C" w:rsidRDefault="00F4729C" w:rsidP="00F4729C">
      <w:pPr>
        <w:pStyle w:val="Default"/>
        <w:spacing w:line="360" w:lineRule="auto"/>
        <w:ind w:firstLine="851"/>
        <w:jc w:val="both"/>
        <w:rPr>
          <w:color w:val="auto"/>
        </w:rPr>
      </w:pPr>
      <w:r>
        <w:rPr>
          <w:color w:val="auto"/>
        </w:rPr>
        <w:t>Em relação aos</w:t>
      </w:r>
      <w:r w:rsidR="00566C12" w:rsidRPr="00BE2CBF">
        <w:rPr>
          <w:color w:val="auto"/>
        </w:rPr>
        <w:t xml:space="preserve"> valores de referência </w:t>
      </w:r>
      <w:r w:rsidR="00566C12" w:rsidRPr="009A15E6">
        <w:rPr>
          <w:color w:val="auto"/>
        </w:rPr>
        <w:t>d</w:t>
      </w:r>
      <w:r w:rsidR="00792493" w:rsidRPr="009A15E6">
        <w:rPr>
          <w:color w:val="auto"/>
        </w:rPr>
        <w:t>a</w:t>
      </w:r>
      <w:r w:rsidRPr="009A15E6">
        <w:rPr>
          <w:color w:val="auto"/>
        </w:rPr>
        <w:t xml:space="preserve">s </w:t>
      </w:r>
      <w:r w:rsidR="00792493" w:rsidRPr="009A15E6">
        <w:rPr>
          <w:color w:val="auto"/>
        </w:rPr>
        <w:t>concentrações</w:t>
      </w:r>
      <w:r w:rsidRPr="009A15E6">
        <w:rPr>
          <w:color w:val="auto"/>
        </w:rPr>
        <w:t xml:space="preserve"> séric</w:t>
      </w:r>
      <w:r w:rsidR="00792493" w:rsidRPr="009A15E6">
        <w:rPr>
          <w:color w:val="auto"/>
        </w:rPr>
        <w:t>a</w:t>
      </w:r>
      <w:r w:rsidRPr="009A15E6">
        <w:rPr>
          <w:color w:val="auto"/>
        </w:rPr>
        <w:t xml:space="preserve">s </w:t>
      </w:r>
      <w:r>
        <w:rPr>
          <w:color w:val="auto"/>
        </w:rPr>
        <w:t xml:space="preserve">de </w:t>
      </w:r>
      <w:r w:rsidRPr="00BE2CBF">
        <w:rPr>
          <w:color w:val="auto"/>
        </w:rPr>
        <w:t>25</w:t>
      </w:r>
      <w:r w:rsidR="00566C12" w:rsidRPr="00BE2CBF">
        <w:rPr>
          <w:color w:val="auto"/>
        </w:rPr>
        <w:t>(OH)</w:t>
      </w:r>
      <w:r w:rsidRPr="00BE2CBF">
        <w:rPr>
          <w:color w:val="auto"/>
        </w:rPr>
        <w:t xml:space="preserve">D, </w:t>
      </w:r>
      <w:r>
        <w:rPr>
          <w:color w:val="auto"/>
        </w:rPr>
        <w:t>foi definido em</w:t>
      </w:r>
      <w:r w:rsidRPr="00BE2CBF">
        <w:rPr>
          <w:color w:val="auto"/>
        </w:rPr>
        <w:t xml:space="preserve"> consenso</w:t>
      </w:r>
      <w:r w:rsidR="00566C12" w:rsidRPr="00BE2CBF">
        <w:rPr>
          <w:color w:val="auto"/>
        </w:rPr>
        <w:t xml:space="preserve"> que o ideal para indivíduos saudáveis é &gt; 20 </w:t>
      </w:r>
      <w:proofErr w:type="spellStart"/>
      <w:r w:rsidR="00566C12" w:rsidRPr="00BE2CBF">
        <w:rPr>
          <w:color w:val="auto"/>
        </w:rPr>
        <w:t>ng</w:t>
      </w:r>
      <w:proofErr w:type="spellEnd"/>
      <w:r w:rsidR="00566C12" w:rsidRPr="00BE2CBF">
        <w:rPr>
          <w:color w:val="auto"/>
        </w:rPr>
        <w:t>/</w:t>
      </w:r>
      <w:proofErr w:type="spellStart"/>
      <w:r w:rsidR="00566C12" w:rsidRPr="00BE2CBF">
        <w:rPr>
          <w:color w:val="auto"/>
        </w:rPr>
        <w:t>mL</w:t>
      </w:r>
      <w:proofErr w:type="spellEnd"/>
      <w:r>
        <w:rPr>
          <w:color w:val="auto"/>
        </w:rPr>
        <w:t>.</w:t>
      </w:r>
      <w:r w:rsidR="00566C12" w:rsidRPr="00BE2CBF">
        <w:rPr>
          <w:color w:val="auto"/>
        </w:rPr>
        <w:t xml:space="preserve"> </w:t>
      </w:r>
      <w:r>
        <w:rPr>
          <w:color w:val="auto"/>
        </w:rPr>
        <w:t>P</w:t>
      </w:r>
      <w:r w:rsidR="00566C12" w:rsidRPr="00BE2CBF">
        <w:rPr>
          <w:color w:val="auto"/>
        </w:rPr>
        <w:t xml:space="preserve">ara grupos de risco como: idosos, gestantes, lactantes, pacientes com raquitismo/osteomalácia, osteoporose, com história de quedas e fraturas, causas secundárias de osteoporose (doenças e medicações), hiperparatireoidismo, doenças infamatórias, doenças autoimunes, doença renal crônica e síndromes de má absorção &gt; 30 </w:t>
      </w:r>
      <w:proofErr w:type="spellStart"/>
      <w:r w:rsidR="00566C12" w:rsidRPr="00BE2CBF">
        <w:rPr>
          <w:color w:val="auto"/>
        </w:rPr>
        <w:t>ng</w:t>
      </w:r>
      <w:proofErr w:type="spellEnd"/>
      <w:r w:rsidR="00566C12" w:rsidRPr="00BE2CBF">
        <w:rPr>
          <w:color w:val="auto"/>
        </w:rPr>
        <w:t>/</w:t>
      </w:r>
      <w:proofErr w:type="spellStart"/>
      <w:r w:rsidR="00566C12" w:rsidRPr="00BE2CBF">
        <w:rPr>
          <w:color w:val="auto"/>
        </w:rPr>
        <w:t>mL</w:t>
      </w:r>
      <w:proofErr w:type="spellEnd"/>
      <w:r>
        <w:rPr>
          <w:color w:val="auto"/>
        </w:rPr>
        <w:t xml:space="preserve"> </w:t>
      </w:r>
      <w:r w:rsidR="00566C12" w:rsidRPr="00BE2CBF">
        <w:rPr>
          <w:color w:val="auto"/>
        </w:rPr>
        <w:fldChar w:fldCharType="begin" w:fldLock="1"/>
      </w:r>
      <w:r>
        <w:rPr>
          <w:color w:val="auto"/>
        </w:rPr>
        <w:instrText>ADDIN CSL_CITATION {"citationItems":[{"id":"ITEM-1","itemData":{"DOI":"10.20945/2359-3997000000258","ISBN":"0000000299084","ISSN":"2359-3997","abstract":"Hypovitaminosis D is a common condition with a negative impact on health. This statement, prepared by experts from the Brazilian Society of Endocrinology and Metabolism and the Brazilian Society of Clinical Pathology/Laboratory Medicine, includes methodological aspects and limitations of the measurement of 25-hydroxyvitamin D [25(OH)D] for identification of vitamin D status, and identifies individuals at increased risk for deficiency of this vitamin in whom 25(OH)D measurement is recommended. For the general population, 25(OH)D levels between 20 and 60 ng/mL are considered normal, while individuals with levels below 20 ng/mL are considered to be vitamin D deficient. This statement identifies potential benefits of maintaining 25(OH)D levels &gt; 30 ng/mL in specific conditions, including patients aged &gt; 65 years or pregnant, those with recurrent falls, fragility fractures, osteoporosis, secondary hyperparathyroidism, chronic kidney disease, or cancer, and individuals using drugs with the potential to affect the vitamin D metabolism. This statement also calls attention to the risk of vitamin D intoxication, a life-threatening condition that occurs at 25(OH) D levels above 100 ng/mL","author":[{"dropping-particle":"","family":"Moreira","given":"Carolina Aguiar","non-dropping-particle":"","parse-names":false,"suffix":""},{"dropping-particle":"","family":"Ferreira","given":"Carlos Eduardo dos S","non-dropping-particle":"","parse-names":false,"suffix":""},{"dropping-particle":"","family":"Madeira","given":"Miguel","non-dropping-particle":"","parse-names":false,"suffix":""},{"dropping-particle":"","family":"Silva","given":"Barbara Campolina Carvalho","non-dropping-particle":"","parse-names":false,"suffix":""},{"dropping-particle":"","family":"Maeda","given":"Sergio Setsuo","non-dropping-particle":"","parse-names":false,"suffix":""},{"dropping-particle":"","family":"Batista","given":"Marcelo Cidade","non-dropping-particle":"","parse-names":false,"suffix":""},{"dropping-particle":"","family":"Bandeira","given":"Francisco","non-dropping-particle":"","parse-names":false,"suffix":""},{"dropping-particle":"","family":"Borba","given":"Victória Z. Cochenski","non-dropping-particle":"","parse-names":false,"suffix":""},{"dropping-particle":"","family":"Lazaretti-Castro","given":"Marise","non-dropping-particle":"","parse-names":false,"suffix":""}],"container-title":"Archives of Endocrinology and Metabolism","id":"ITEM-1","issued":{"date-parts":[["2020"]]},"title":"Reference values of 25-hydroxyvitamin D revisited: a position statement from the Brazilian Society of Endocrinology and Metabolism (SBEM) and the Brazilian Society of Clinical Pathology/Laboratory Medicine (SBPC)","type":"article-journal"},"uris":["http://www.mendeley.com/documents/?uuid=d478ff1c-cde9-40dd-9980-caa3253a6399"]}],"mendeley":{"formattedCitation":"(MOREIRA et al., 2020)","plainTextFormattedCitation":"(MOREIRA et al., 2020)","previouslyFormattedCitation":"(MOREIRA et al., 2020)"},"properties":{"noteIndex":0},"schema":"https://github.com/citation-style-language/schema/raw/master/csl-citation.json"}</w:instrText>
      </w:r>
      <w:r w:rsidR="00566C12" w:rsidRPr="00BE2CBF">
        <w:rPr>
          <w:color w:val="auto"/>
        </w:rPr>
        <w:fldChar w:fldCharType="separate"/>
      </w:r>
      <w:r w:rsidR="00566C12" w:rsidRPr="00BE2CBF">
        <w:rPr>
          <w:noProof/>
          <w:color w:val="auto"/>
        </w:rPr>
        <w:t>(MOREIRA et al., 2020)</w:t>
      </w:r>
      <w:r w:rsidR="00566C12" w:rsidRPr="00BE2CBF">
        <w:rPr>
          <w:color w:val="auto"/>
        </w:rPr>
        <w:fldChar w:fldCharType="end"/>
      </w:r>
      <w:r w:rsidR="00566C12" w:rsidRPr="00BE2CBF">
        <w:rPr>
          <w:color w:val="auto"/>
        </w:rPr>
        <w:t>.</w:t>
      </w:r>
    </w:p>
    <w:p w14:paraId="4630D015" w14:textId="1F56091A" w:rsidR="00C61CAD" w:rsidRPr="00265702" w:rsidRDefault="002C7801" w:rsidP="00F4729C">
      <w:pPr>
        <w:pStyle w:val="Default"/>
        <w:spacing w:line="360" w:lineRule="auto"/>
        <w:ind w:firstLine="851"/>
        <w:jc w:val="both"/>
        <w:rPr>
          <w:color w:val="FF0000"/>
        </w:rPr>
      </w:pPr>
      <w:bookmarkStart w:id="0" w:name="_Hlk53067457"/>
      <w:r>
        <w:t xml:space="preserve">Portanto, </w:t>
      </w:r>
      <w:r w:rsidRPr="009A15E6">
        <w:rPr>
          <w:color w:val="auto"/>
        </w:rPr>
        <w:t xml:space="preserve">pela importância dos benefícios </w:t>
      </w:r>
      <w:r w:rsidR="00792493" w:rsidRPr="009A15E6">
        <w:rPr>
          <w:color w:val="auto"/>
        </w:rPr>
        <w:t xml:space="preserve">da </w:t>
      </w:r>
      <w:r w:rsidRPr="009A15E6">
        <w:rPr>
          <w:color w:val="auto"/>
        </w:rPr>
        <w:t xml:space="preserve">vitamina D </w:t>
      </w:r>
      <w:r w:rsidR="00792493" w:rsidRPr="009A15E6">
        <w:rPr>
          <w:color w:val="auto"/>
        </w:rPr>
        <w:t xml:space="preserve">para crianças </w:t>
      </w:r>
      <w:r w:rsidR="00DF5421">
        <w:rPr>
          <w:color w:val="auto"/>
        </w:rPr>
        <w:t xml:space="preserve">e adolescentes </w:t>
      </w:r>
      <w:r w:rsidR="00792493" w:rsidRPr="009A15E6">
        <w:rPr>
          <w:color w:val="auto"/>
        </w:rPr>
        <w:t>com PC, o</w:t>
      </w:r>
      <w:r w:rsidR="00C61CAD" w:rsidRPr="009A15E6">
        <w:rPr>
          <w:color w:val="auto"/>
        </w:rPr>
        <w:t xml:space="preserve"> objetivo </w:t>
      </w:r>
      <w:r w:rsidR="00792493" w:rsidRPr="009A15E6">
        <w:rPr>
          <w:color w:val="auto"/>
        </w:rPr>
        <w:t xml:space="preserve">é </w:t>
      </w:r>
      <w:r w:rsidR="00C61CAD" w:rsidRPr="009A15E6">
        <w:rPr>
          <w:color w:val="auto"/>
        </w:rPr>
        <w:t xml:space="preserve">investigar a prevalência </w:t>
      </w:r>
      <w:r w:rsidR="00792493" w:rsidRPr="009A15E6">
        <w:rPr>
          <w:color w:val="auto"/>
        </w:rPr>
        <w:t>de hipovitaminose D</w:t>
      </w:r>
      <w:r w:rsidR="00265702" w:rsidRPr="009A15E6">
        <w:rPr>
          <w:color w:val="auto"/>
        </w:rPr>
        <w:t xml:space="preserve"> nesse grupo de indivíduos</w:t>
      </w:r>
      <w:r w:rsidR="00792493" w:rsidRPr="009A15E6">
        <w:rPr>
          <w:color w:val="auto"/>
        </w:rPr>
        <w:t>.</w:t>
      </w:r>
    </w:p>
    <w:bookmarkEnd w:id="0"/>
    <w:p w14:paraId="2305E1C2" w14:textId="77777777" w:rsidR="00DC59F2" w:rsidRDefault="00DC59F2" w:rsidP="00DC59F2">
      <w:pPr>
        <w:spacing w:after="0" w:line="360" w:lineRule="auto"/>
        <w:jc w:val="both"/>
        <w:rPr>
          <w:rFonts w:ascii="Times New Roman" w:hAnsi="Times New Roman" w:cs="Times New Roman"/>
          <w:b/>
          <w:sz w:val="24"/>
          <w:szCs w:val="24"/>
        </w:rPr>
      </w:pPr>
    </w:p>
    <w:p w14:paraId="33B2832E" w14:textId="1B84A183" w:rsidR="00E7394C" w:rsidRDefault="00E7394C" w:rsidP="00DC59F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 MATERIAIS E MÉTODOS</w:t>
      </w:r>
    </w:p>
    <w:p w14:paraId="4A34EED7" w14:textId="77777777" w:rsidR="004C4BCB" w:rsidRPr="004A70F4" w:rsidRDefault="004C4BCB" w:rsidP="00DC59F2">
      <w:pPr>
        <w:spacing w:after="0" w:line="360" w:lineRule="auto"/>
        <w:jc w:val="both"/>
        <w:rPr>
          <w:rFonts w:ascii="Times New Roman" w:hAnsi="Times New Roman" w:cs="Times New Roman"/>
          <w:b/>
          <w:sz w:val="24"/>
          <w:szCs w:val="24"/>
        </w:rPr>
      </w:pPr>
    </w:p>
    <w:p w14:paraId="4A9284AB" w14:textId="7F96B699" w:rsidR="003B3E05" w:rsidRPr="003B3E05" w:rsidRDefault="003B3E05" w:rsidP="004C4BCB">
      <w:pPr>
        <w:pStyle w:val="Textodecomentrio"/>
        <w:spacing w:after="0" w:line="360" w:lineRule="auto"/>
        <w:ind w:firstLine="851"/>
        <w:jc w:val="both"/>
        <w:rPr>
          <w:rFonts w:ascii="Times New Roman" w:hAnsi="Times New Roman" w:cs="Times New Roman"/>
          <w:sz w:val="24"/>
          <w:szCs w:val="24"/>
        </w:rPr>
      </w:pPr>
      <w:r w:rsidRPr="003B3E05">
        <w:rPr>
          <w:rFonts w:ascii="Times New Roman" w:hAnsi="Times New Roman" w:cs="Times New Roman"/>
          <w:sz w:val="24"/>
          <w:szCs w:val="24"/>
        </w:rPr>
        <w:t xml:space="preserve">Foi realizada uma revisão de literatura, nas bases de dados </w:t>
      </w:r>
      <w:proofErr w:type="spellStart"/>
      <w:r w:rsidRPr="003B3E05">
        <w:rPr>
          <w:rFonts w:ascii="Times New Roman" w:hAnsi="Times New Roman" w:cs="Times New Roman"/>
          <w:sz w:val="24"/>
          <w:szCs w:val="24"/>
        </w:rPr>
        <w:t>PubMed</w:t>
      </w:r>
      <w:proofErr w:type="spellEnd"/>
      <w:r w:rsidRPr="003B3E05">
        <w:rPr>
          <w:rFonts w:ascii="Times New Roman" w:hAnsi="Times New Roman" w:cs="Times New Roman"/>
          <w:sz w:val="24"/>
          <w:szCs w:val="24"/>
        </w:rPr>
        <w:t xml:space="preserve">, Scopus, Embase e Biblioteca Cochrane CENTRAL, entre </w:t>
      </w:r>
      <w:r w:rsidR="000F3865">
        <w:rPr>
          <w:rFonts w:ascii="Times New Roman" w:hAnsi="Times New Roman" w:cs="Times New Roman"/>
          <w:sz w:val="24"/>
          <w:szCs w:val="24"/>
        </w:rPr>
        <w:t xml:space="preserve">os meses de </w:t>
      </w:r>
      <w:r w:rsidRPr="003B3E05">
        <w:rPr>
          <w:rFonts w:ascii="Times New Roman" w:hAnsi="Times New Roman" w:cs="Times New Roman"/>
          <w:sz w:val="24"/>
          <w:szCs w:val="24"/>
        </w:rPr>
        <w:t>julho e agosto de 2020. Na busca</w:t>
      </w:r>
      <w:r w:rsidR="000F3865">
        <w:rPr>
          <w:rFonts w:ascii="Times New Roman" w:hAnsi="Times New Roman" w:cs="Times New Roman"/>
          <w:sz w:val="24"/>
          <w:szCs w:val="24"/>
        </w:rPr>
        <w:t xml:space="preserve"> </w:t>
      </w:r>
      <w:r w:rsidR="000F3865" w:rsidRPr="009A15E6">
        <w:rPr>
          <w:rFonts w:ascii="Times New Roman" w:hAnsi="Times New Roman" w:cs="Times New Roman"/>
          <w:sz w:val="24"/>
          <w:szCs w:val="24"/>
        </w:rPr>
        <w:t>dos artigos</w:t>
      </w:r>
      <w:r w:rsidRPr="009A15E6">
        <w:rPr>
          <w:rFonts w:ascii="Times New Roman" w:hAnsi="Times New Roman" w:cs="Times New Roman"/>
          <w:sz w:val="24"/>
          <w:szCs w:val="24"/>
        </w:rPr>
        <w:t>,</w:t>
      </w:r>
      <w:r w:rsidRPr="003B3E05">
        <w:rPr>
          <w:rFonts w:ascii="Times New Roman" w:hAnsi="Times New Roman" w:cs="Times New Roman"/>
          <w:sz w:val="24"/>
          <w:szCs w:val="24"/>
        </w:rPr>
        <w:t xml:space="preserve"> utilizou-se a combinação </w:t>
      </w:r>
      <w:r w:rsidR="000F3865">
        <w:rPr>
          <w:rFonts w:ascii="Times New Roman" w:hAnsi="Times New Roman" w:cs="Times New Roman"/>
          <w:sz w:val="24"/>
          <w:szCs w:val="24"/>
        </w:rPr>
        <w:t>das seguintes palavras</w:t>
      </w:r>
      <w:r w:rsidRPr="003B3E05">
        <w:rPr>
          <w:rFonts w:ascii="Times New Roman" w:hAnsi="Times New Roman" w:cs="Times New Roman"/>
          <w:sz w:val="24"/>
          <w:szCs w:val="24"/>
        </w:rPr>
        <w:t xml:space="preserve">-chave: 1) </w:t>
      </w:r>
      <w:r w:rsidRPr="0038249B">
        <w:rPr>
          <w:rFonts w:ascii="Times New Roman" w:hAnsi="Times New Roman" w:cs="Times New Roman"/>
          <w:i/>
          <w:iCs/>
          <w:sz w:val="24"/>
          <w:szCs w:val="24"/>
        </w:rPr>
        <w:t xml:space="preserve">cerebral </w:t>
      </w:r>
      <w:proofErr w:type="spellStart"/>
      <w:r w:rsidRPr="0038249B">
        <w:rPr>
          <w:rFonts w:ascii="Times New Roman" w:hAnsi="Times New Roman" w:cs="Times New Roman"/>
          <w:i/>
          <w:iCs/>
          <w:sz w:val="24"/>
          <w:szCs w:val="24"/>
        </w:rPr>
        <w:t>palsy</w:t>
      </w:r>
      <w:proofErr w:type="spellEnd"/>
      <w:r w:rsidRPr="003B3E05">
        <w:rPr>
          <w:rFonts w:ascii="Times New Roman" w:hAnsi="Times New Roman" w:cs="Times New Roman"/>
          <w:sz w:val="24"/>
          <w:szCs w:val="24"/>
        </w:rPr>
        <w:t xml:space="preserve"> AND </w:t>
      </w:r>
      <w:proofErr w:type="spellStart"/>
      <w:r w:rsidRPr="0038249B">
        <w:rPr>
          <w:rFonts w:ascii="Times New Roman" w:hAnsi="Times New Roman" w:cs="Times New Roman"/>
          <w:i/>
          <w:iCs/>
          <w:sz w:val="24"/>
          <w:szCs w:val="24"/>
        </w:rPr>
        <w:t>Vitamin</w:t>
      </w:r>
      <w:proofErr w:type="spellEnd"/>
      <w:r w:rsidRPr="0038249B">
        <w:rPr>
          <w:rFonts w:ascii="Times New Roman" w:hAnsi="Times New Roman" w:cs="Times New Roman"/>
          <w:i/>
          <w:iCs/>
          <w:sz w:val="24"/>
          <w:szCs w:val="24"/>
        </w:rPr>
        <w:t xml:space="preserve"> D </w:t>
      </w:r>
      <w:proofErr w:type="spellStart"/>
      <w:r w:rsidRPr="0038249B">
        <w:rPr>
          <w:rFonts w:ascii="Times New Roman" w:hAnsi="Times New Roman" w:cs="Times New Roman"/>
          <w:i/>
          <w:iCs/>
          <w:sz w:val="24"/>
          <w:szCs w:val="24"/>
        </w:rPr>
        <w:t>deficiency</w:t>
      </w:r>
      <w:proofErr w:type="spellEnd"/>
      <w:r w:rsidRPr="003B3E05">
        <w:rPr>
          <w:rFonts w:ascii="Times New Roman" w:hAnsi="Times New Roman" w:cs="Times New Roman"/>
          <w:sz w:val="24"/>
          <w:szCs w:val="24"/>
        </w:rPr>
        <w:t xml:space="preserve"> AND </w:t>
      </w:r>
      <w:proofErr w:type="spellStart"/>
      <w:r w:rsidRPr="003B3E05">
        <w:rPr>
          <w:rFonts w:ascii="Times New Roman" w:hAnsi="Times New Roman" w:cs="Times New Roman"/>
          <w:sz w:val="24"/>
          <w:szCs w:val="24"/>
        </w:rPr>
        <w:t>child</w:t>
      </w:r>
      <w:proofErr w:type="spellEnd"/>
      <w:r w:rsidR="000F3865">
        <w:rPr>
          <w:rFonts w:ascii="Times New Roman" w:hAnsi="Times New Roman" w:cs="Times New Roman"/>
          <w:sz w:val="24"/>
          <w:szCs w:val="24"/>
        </w:rPr>
        <w:t>;</w:t>
      </w:r>
      <w:r w:rsidRPr="003B3E05">
        <w:rPr>
          <w:rFonts w:ascii="Times New Roman" w:hAnsi="Times New Roman" w:cs="Times New Roman"/>
          <w:sz w:val="24"/>
          <w:szCs w:val="24"/>
        </w:rPr>
        <w:t xml:space="preserve"> 2) </w:t>
      </w:r>
      <w:r w:rsidRPr="0038249B">
        <w:rPr>
          <w:rFonts w:ascii="Times New Roman" w:hAnsi="Times New Roman" w:cs="Times New Roman"/>
          <w:i/>
          <w:iCs/>
          <w:sz w:val="24"/>
          <w:szCs w:val="24"/>
        </w:rPr>
        <w:t xml:space="preserve">cerebral </w:t>
      </w:r>
      <w:proofErr w:type="spellStart"/>
      <w:r w:rsidRPr="0038249B">
        <w:rPr>
          <w:rFonts w:ascii="Times New Roman" w:hAnsi="Times New Roman" w:cs="Times New Roman"/>
          <w:i/>
          <w:iCs/>
          <w:sz w:val="24"/>
          <w:szCs w:val="24"/>
        </w:rPr>
        <w:t>palsy</w:t>
      </w:r>
      <w:proofErr w:type="spellEnd"/>
      <w:r w:rsidRPr="003B3E05">
        <w:rPr>
          <w:rFonts w:ascii="Times New Roman" w:hAnsi="Times New Roman" w:cs="Times New Roman"/>
          <w:sz w:val="24"/>
          <w:szCs w:val="24"/>
        </w:rPr>
        <w:t xml:space="preserve"> AND </w:t>
      </w:r>
      <w:proofErr w:type="spellStart"/>
      <w:r w:rsidRPr="0038249B">
        <w:rPr>
          <w:rFonts w:ascii="Times New Roman" w:hAnsi="Times New Roman" w:cs="Times New Roman"/>
          <w:i/>
          <w:iCs/>
          <w:sz w:val="24"/>
          <w:szCs w:val="24"/>
        </w:rPr>
        <w:t>Vitamin</w:t>
      </w:r>
      <w:proofErr w:type="spellEnd"/>
      <w:r w:rsidRPr="0038249B">
        <w:rPr>
          <w:rFonts w:ascii="Times New Roman" w:hAnsi="Times New Roman" w:cs="Times New Roman"/>
          <w:i/>
          <w:iCs/>
          <w:sz w:val="24"/>
          <w:szCs w:val="24"/>
        </w:rPr>
        <w:t xml:space="preserve"> D</w:t>
      </w:r>
      <w:r w:rsidRPr="003B3E05">
        <w:rPr>
          <w:rFonts w:ascii="Times New Roman" w:hAnsi="Times New Roman" w:cs="Times New Roman"/>
          <w:sz w:val="24"/>
          <w:szCs w:val="24"/>
        </w:rPr>
        <w:t xml:space="preserve"> OR </w:t>
      </w:r>
      <w:proofErr w:type="spellStart"/>
      <w:r w:rsidRPr="0038249B">
        <w:rPr>
          <w:rFonts w:ascii="Times New Roman" w:hAnsi="Times New Roman" w:cs="Times New Roman"/>
          <w:i/>
          <w:iCs/>
          <w:sz w:val="24"/>
          <w:szCs w:val="24"/>
        </w:rPr>
        <w:t>cholecalciferol</w:t>
      </w:r>
      <w:proofErr w:type="spellEnd"/>
      <w:r w:rsidRPr="0038249B">
        <w:rPr>
          <w:rFonts w:ascii="Times New Roman" w:hAnsi="Times New Roman" w:cs="Times New Roman"/>
          <w:i/>
          <w:iCs/>
          <w:sz w:val="24"/>
          <w:szCs w:val="24"/>
        </w:rPr>
        <w:t xml:space="preserve"> </w:t>
      </w:r>
      <w:r w:rsidRPr="003B3E05">
        <w:rPr>
          <w:rFonts w:ascii="Times New Roman" w:hAnsi="Times New Roman" w:cs="Times New Roman"/>
          <w:sz w:val="24"/>
          <w:szCs w:val="24"/>
        </w:rPr>
        <w:t xml:space="preserve">AND </w:t>
      </w:r>
      <w:proofErr w:type="spellStart"/>
      <w:r w:rsidRPr="00ED465F">
        <w:rPr>
          <w:rFonts w:ascii="Times New Roman" w:hAnsi="Times New Roman" w:cs="Times New Roman"/>
          <w:i/>
          <w:iCs/>
          <w:sz w:val="24"/>
          <w:szCs w:val="24"/>
        </w:rPr>
        <w:t>child</w:t>
      </w:r>
      <w:proofErr w:type="spellEnd"/>
      <w:r w:rsidRPr="00ED465F">
        <w:rPr>
          <w:rFonts w:ascii="Times New Roman" w:hAnsi="Times New Roman" w:cs="Times New Roman"/>
          <w:i/>
          <w:iCs/>
          <w:sz w:val="24"/>
          <w:szCs w:val="24"/>
        </w:rPr>
        <w:t>.</w:t>
      </w:r>
    </w:p>
    <w:p w14:paraId="71F867AA" w14:textId="2411364F" w:rsidR="003B3E05" w:rsidRPr="003B3E05" w:rsidRDefault="003B3E05" w:rsidP="004C4BCB">
      <w:pPr>
        <w:pStyle w:val="Textodecomentrio"/>
        <w:spacing w:after="0" w:line="360" w:lineRule="auto"/>
        <w:ind w:firstLine="851"/>
        <w:jc w:val="both"/>
        <w:rPr>
          <w:rFonts w:ascii="Times New Roman" w:hAnsi="Times New Roman" w:cs="Times New Roman"/>
          <w:sz w:val="24"/>
          <w:szCs w:val="24"/>
        </w:rPr>
      </w:pPr>
      <w:r w:rsidRPr="003B3E05">
        <w:rPr>
          <w:rFonts w:ascii="Times New Roman" w:hAnsi="Times New Roman" w:cs="Times New Roman"/>
          <w:sz w:val="24"/>
          <w:szCs w:val="24"/>
        </w:rPr>
        <w:t xml:space="preserve">Como critérios de inclusão, foram considerados estudos de pesquisa original em crianças </w:t>
      </w:r>
      <w:r w:rsidR="00DF5421">
        <w:rPr>
          <w:rFonts w:ascii="Times New Roman" w:hAnsi="Times New Roman" w:cs="Times New Roman"/>
          <w:sz w:val="24"/>
          <w:szCs w:val="24"/>
        </w:rPr>
        <w:t xml:space="preserve">e adolescentes </w:t>
      </w:r>
      <w:r w:rsidRPr="003B3E05">
        <w:rPr>
          <w:rFonts w:ascii="Times New Roman" w:hAnsi="Times New Roman" w:cs="Times New Roman"/>
          <w:sz w:val="24"/>
          <w:szCs w:val="24"/>
        </w:rPr>
        <w:t xml:space="preserve">com paralisia cerebral, que contemplassem a temática principal da revisão, </w:t>
      </w:r>
      <w:r w:rsidRPr="009A15E6">
        <w:rPr>
          <w:rFonts w:ascii="Times New Roman" w:hAnsi="Times New Roman" w:cs="Times New Roman"/>
          <w:sz w:val="24"/>
          <w:szCs w:val="24"/>
        </w:rPr>
        <w:t>disponíveis na íntegra</w:t>
      </w:r>
      <w:r w:rsidR="00F919BE" w:rsidRPr="009A15E6">
        <w:rPr>
          <w:rFonts w:ascii="Times New Roman" w:hAnsi="Times New Roman" w:cs="Times New Roman"/>
          <w:sz w:val="24"/>
          <w:szCs w:val="24"/>
        </w:rPr>
        <w:t xml:space="preserve">, </w:t>
      </w:r>
      <w:r w:rsidRPr="003B3E05">
        <w:rPr>
          <w:rFonts w:ascii="Times New Roman" w:hAnsi="Times New Roman" w:cs="Times New Roman"/>
          <w:sz w:val="24"/>
          <w:szCs w:val="24"/>
        </w:rPr>
        <w:t xml:space="preserve">publicados </w:t>
      </w:r>
      <w:r w:rsidR="00F919BE">
        <w:rPr>
          <w:rFonts w:ascii="Times New Roman" w:hAnsi="Times New Roman" w:cs="Times New Roman"/>
          <w:sz w:val="24"/>
          <w:szCs w:val="24"/>
        </w:rPr>
        <w:t xml:space="preserve">nos últimos cinco anos e </w:t>
      </w:r>
      <w:r w:rsidRPr="003B3E05">
        <w:rPr>
          <w:rFonts w:ascii="Times New Roman" w:hAnsi="Times New Roman" w:cs="Times New Roman"/>
          <w:sz w:val="24"/>
          <w:szCs w:val="24"/>
        </w:rPr>
        <w:t xml:space="preserve">em inglês. Foram excluídos, estudos de revisão, cartas ao editor, editoriais, relato de caso ou série de casos, teses e dissertações. Quando a publicação foi encontrada em mais de uma plataforma, a publicação da primeira pesquisa foi selecionada para análise e as duplicatas foram excluídas. </w:t>
      </w:r>
    </w:p>
    <w:p w14:paraId="135C4FBC" w14:textId="620EDAF8" w:rsidR="00FF5F7A" w:rsidRPr="009D6A07" w:rsidRDefault="003B3E05" w:rsidP="000F0C19">
      <w:pPr>
        <w:pStyle w:val="Textodecomentrio"/>
        <w:spacing w:after="0" w:line="360" w:lineRule="auto"/>
        <w:ind w:firstLine="851"/>
        <w:jc w:val="both"/>
        <w:rPr>
          <w:rFonts w:ascii="Times New Roman" w:hAnsi="Times New Roman" w:cs="Times New Roman"/>
          <w:sz w:val="24"/>
          <w:szCs w:val="24"/>
        </w:rPr>
      </w:pPr>
      <w:r w:rsidRPr="003B3E05">
        <w:rPr>
          <w:rFonts w:ascii="Times New Roman" w:hAnsi="Times New Roman" w:cs="Times New Roman"/>
          <w:sz w:val="24"/>
          <w:szCs w:val="24"/>
        </w:rPr>
        <w:t xml:space="preserve">Os títulos e os resumos dos artigos selecionados, foram analisados para avaliar se atendiam aos critérios de inclusão. A avaliação dos critérios de elegibilidade aconteceu de modo independente por dois pesquisadores e em caso de divergência um terceiro pesquisador foi consultado. </w:t>
      </w:r>
    </w:p>
    <w:p w14:paraId="53FFFDED" w14:textId="74663811" w:rsidR="00E7394C" w:rsidRDefault="00E7394C" w:rsidP="00EF1307">
      <w:pPr>
        <w:spacing w:before="100" w:beforeAutospacing="1" w:after="100" w:afterAutospacing="1"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Pr="004A70F4">
        <w:rPr>
          <w:rFonts w:ascii="Times New Roman" w:hAnsi="Times New Roman" w:cs="Times New Roman"/>
          <w:b/>
          <w:sz w:val="24"/>
          <w:szCs w:val="24"/>
        </w:rPr>
        <w:t>RESULTADOS E DISCUSSÃO</w:t>
      </w:r>
    </w:p>
    <w:p w14:paraId="1AE42A1C" w14:textId="019CBE9D" w:rsidR="000B3B53" w:rsidRDefault="009D6A07" w:rsidP="004C4BCB">
      <w:pPr>
        <w:spacing w:after="0" w:line="360" w:lineRule="auto"/>
        <w:ind w:firstLine="851"/>
        <w:jc w:val="both"/>
        <w:rPr>
          <w:rFonts w:ascii="Times New Roman" w:hAnsi="Times New Roman" w:cs="Times New Roman"/>
          <w:sz w:val="24"/>
          <w:szCs w:val="24"/>
        </w:rPr>
      </w:pPr>
      <w:r>
        <w:rPr>
          <w:rFonts w:ascii="Times New Roman" w:hAnsi="Times New Roman" w:cs="Times New Roman"/>
          <w:bCs/>
          <w:sz w:val="24"/>
          <w:szCs w:val="24"/>
        </w:rPr>
        <w:t>F</w:t>
      </w:r>
      <w:r w:rsidRPr="009D6A07">
        <w:rPr>
          <w:rFonts w:ascii="Times New Roman" w:hAnsi="Times New Roman" w:cs="Times New Roman"/>
          <w:bCs/>
          <w:sz w:val="24"/>
          <w:szCs w:val="24"/>
        </w:rPr>
        <w:t xml:space="preserve">oram selecionados </w:t>
      </w:r>
      <w:r w:rsidR="00FE67B9">
        <w:rPr>
          <w:rFonts w:ascii="Times New Roman" w:hAnsi="Times New Roman" w:cs="Times New Roman"/>
          <w:bCs/>
          <w:sz w:val="24"/>
          <w:szCs w:val="24"/>
        </w:rPr>
        <w:t>nove</w:t>
      </w:r>
      <w:r>
        <w:rPr>
          <w:rFonts w:ascii="Times New Roman" w:hAnsi="Times New Roman" w:cs="Times New Roman"/>
          <w:bCs/>
          <w:sz w:val="24"/>
          <w:szCs w:val="24"/>
        </w:rPr>
        <w:t xml:space="preserve"> estudos </w:t>
      </w:r>
      <w:r w:rsidRPr="009D6A07">
        <w:rPr>
          <w:rFonts w:ascii="Times New Roman" w:hAnsi="Times New Roman" w:cs="Times New Roman"/>
          <w:bCs/>
          <w:sz w:val="24"/>
          <w:szCs w:val="24"/>
        </w:rPr>
        <w:t>para a análise qualitativa.</w:t>
      </w:r>
      <w:r w:rsidR="00674173">
        <w:rPr>
          <w:rFonts w:ascii="Times New Roman" w:hAnsi="Times New Roman" w:cs="Times New Roman"/>
          <w:bCs/>
          <w:sz w:val="24"/>
          <w:szCs w:val="24"/>
        </w:rPr>
        <w:t xml:space="preserve"> Quanto ao tipo de estudo</w:t>
      </w:r>
      <w:r w:rsidR="00EE5CE5">
        <w:rPr>
          <w:rFonts w:ascii="Times New Roman" w:hAnsi="Times New Roman" w:cs="Times New Roman"/>
          <w:bCs/>
          <w:sz w:val="24"/>
          <w:szCs w:val="24"/>
        </w:rPr>
        <w:t>,</w:t>
      </w:r>
      <w:r w:rsidR="00674173">
        <w:rPr>
          <w:rFonts w:ascii="Times New Roman" w:hAnsi="Times New Roman" w:cs="Times New Roman"/>
          <w:bCs/>
          <w:sz w:val="24"/>
          <w:szCs w:val="24"/>
        </w:rPr>
        <w:t xml:space="preserve"> </w:t>
      </w:r>
      <w:r w:rsidR="00FE67B9">
        <w:rPr>
          <w:rFonts w:ascii="Times New Roman" w:hAnsi="Times New Roman" w:cs="Times New Roman"/>
          <w:bCs/>
          <w:sz w:val="24"/>
          <w:szCs w:val="24"/>
        </w:rPr>
        <w:t>seis</w:t>
      </w:r>
      <w:r w:rsidR="00674173">
        <w:rPr>
          <w:rFonts w:ascii="Times New Roman" w:hAnsi="Times New Roman" w:cs="Times New Roman"/>
          <w:bCs/>
          <w:sz w:val="24"/>
          <w:szCs w:val="24"/>
        </w:rPr>
        <w:t xml:space="preserve"> (</w:t>
      </w:r>
      <w:r w:rsidR="008D15A6">
        <w:rPr>
          <w:rFonts w:ascii="Times New Roman" w:hAnsi="Times New Roman" w:cs="Times New Roman"/>
          <w:bCs/>
          <w:sz w:val="24"/>
          <w:szCs w:val="24"/>
        </w:rPr>
        <w:t>66,7</w:t>
      </w:r>
      <w:r w:rsidR="00674173">
        <w:rPr>
          <w:rFonts w:ascii="Times New Roman" w:hAnsi="Times New Roman" w:cs="Times New Roman"/>
          <w:bCs/>
          <w:sz w:val="24"/>
          <w:szCs w:val="24"/>
        </w:rPr>
        <w:t xml:space="preserve">%) </w:t>
      </w:r>
      <w:r w:rsidR="00EE5CE5">
        <w:rPr>
          <w:rFonts w:ascii="Times New Roman" w:hAnsi="Times New Roman" w:cs="Times New Roman"/>
          <w:bCs/>
          <w:sz w:val="24"/>
          <w:szCs w:val="24"/>
        </w:rPr>
        <w:t xml:space="preserve">corresponderam a um delineamento </w:t>
      </w:r>
      <w:r w:rsidR="00674173">
        <w:rPr>
          <w:rFonts w:ascii="Times New Roman" w:hAnsi="Times New Roman" w:cs="Times New Roman"/>
          <w:bCs/>
          <w:sz w:val="24"/>
          <w:szCs w:val="24"/>
        </w:rPr>
        <w:t>transversa</w:t>
      </w:r>
      <w:r w:rsidR="00EE5CE5">
        <w:rPr>
          <w:rFonts w:ascii="Times New Roman" w:hAnsi="Times New Roman" w:cs="Times New Roman"/>
          <w:bCs/>
          <w:sz w:val="24"/>
          <w:szCs w:val="24"/>
        </w:rPr>
        <w:t>l</w:t>
      </w:r>
      <w:r w:rsidR="000F0C19">
        <w:rPr>
          <w:rFonts w:ascii="Times New Roman" w:hAnsi="Times New Roman" w:cs="Times New Roman"/>
          <w:bCs/>
          <w:sz w:val="24"/>
          <w:szCs w:val="24"/>
        </w:rPr>
        <w:t xml:space="preserve">, </w:t>
      </w:r>
      <w:r w:rsidR="00674173">
        <w:rPr>
          <w:rFonts w:ascii="Times New Roman" w:hAnsi="Times New Roman" w:cs="Times New Roman"/>
          <w:bCs/>
          <w:sz w:val="24"/>
          <w:szCs w:val="24"/>
        </w:rPr>
        <w:t>dois (</w:t>
      </w:r>
      <w:r w:rsidR="008D15A6">
        <w:rPr>
          <w:rFonts w:ascii="Times New Roman" w:hAnsi="Times New Roman" w:cs="Times New Roman"/>
          <w:bCs/>
          <w:sz w:val="24"/>
          <w:szCs w:val="24"/>
        </w:rPr>
        <w:t>22,2</w:t>
      </w:r>
      <w:r w:rsidR="00674173">
        <w:rPr>
          <w:rFonts w:ascii="Times New Roman" w:hAnsi="Times New Roman" w:cs="Times New Roman"/>
          <w:bCs/>
          <w:sz w:val="24"/>
          <w:szCs w:val="24"/>
        </w:rPr>
        <w:t xml:space="preserve">%) </w:t>
      </w:r>
      <w:r w:rsidR="000B3B53" w:rsidRPr="009A15E6">
        <w:rPr>
          <w:rFonts w:ascii="Times New Roman" w:hAnsi="Times New Roman" w:cs="Times New Roman"/>
          <w:bCs/>
          <w:sz w:val="24"/>
          <w:szCs w:val="24"/>
        </w:rPr>
        <w:t>eram</w:t>
      </w:r>
      <w:r w:rsidR="00EE5CE5" w:rsidRPr="009A15E6">
        <w:rPr>
          <w:rFonts w:ascii="Times New Roman" w:hAnsi="Times New Roman" w:cs="Times New Roman"/>
          <w:bCs/>
          <w:sz w:val="24"/>
          <w:szCs w:val="24"/>
        </w:rPr>
        <w:t xml:space="preserve"> </w:t>
      </w:r>
      <w:r w:rsidR="00674173">
        <w:rPr>
          <w:rFonts w:ascii="Times New Roman" w:hAnsi="Times New Roman" w:cs="Times New Roman"/>
          <w:bCs/>
          <w:sz w:val="24"/>
          <w:szCs w:val="24"/>
        </w:rPr>
        <w:t>estudos de coorte</w:t>
      </w:r>
      <w:r w:rsidR="004713DE">
        <w:rPr>
          <w:rFonts w:ascii="Times New Roman" w:hAnsi="Times New Roman" w:cs="Times New Roman"/>
          <w:bCs/>
          <w:sz w:val="24"/>
          <w:szCs w:val="24"/>
        </w:rPr>
        <w:t xml:space="preserve"> e </w:t>
      </w:r>
      <w:r w:rsidR="004713DE" w:rsidRPr="000B3B53">
        <w:rPr>
          <w:rFonts w:ascii="Times New Roman" w:hAnsi="Times New Roman" w:cs="Times New Roman"/>
          <w:bCs/>
          <w:sz w:val="24"/>
          <w:szCs w:val="24"/>
        </w:rPr>
        <w:t>um</w:t>
      </w:r>
      <w:r w:rsidR="004713DE">
        <w:rPr>
          <w:rFonts w:ascii="Times New Roman" w:hAnsi="Times New Roman" w:cs="Times New Roman"/>
          <w:bCs/>
          <w:sz w:val="24"/>
          <w:szCs w:val="24"/>
        </w:rPr>
        <w:t xml:space="preserve"> estudo caso</w:t>
      </w:r>
      <w:r w:rsidR="00FD6AFC">
        <w:rPr>
          <w:rFonts w:ascii="Times New Roman" w:hAnsi="Times New Roman" w:cs="Times New Roman"/>
          <w:bCs/>
          <w:sz w:val="24"/>
          <w:szCs w:val="24"/>
        </w:rPr>
        <w:t>-</w:t>
      </w:r>
      <w:r w:rsidR="004713DE">
        <w:rPr>
          <w:rFonts w:ascii="Times New Roman" w:hAnsi="Times New Roman" w:cs="Times New Roman"/>
          <w:bCs/>
          <w:sz w:val="24"/>
          <w:szCs w:val="24"/>
        </w:rPr>
        <w:t>controle (</w:t>
      </w:r>
      <w:r w:rsidR="008D15A6">
        <w:rPr>
          <w:rFonts w:ascii="Times New Roman" w:hAnsi="Times New Roman" w:cs="Times New Roman"/>
          <w:bCs/>
          <w:sz w:val="24"/>
          <w:szCs w:val="24"/>
        </w:rPr>
        <w:t>11,1%</w:t>
      </w:r>
      <w:r w:rsidR="004713DE">
        <w:rPr>
          <w:rFonts w:ascii="Times New Roman" w:hAnsi="Times New Roman" w:cs="Times New Roman"/>
          <w:bCs/>
          <w:sz w:val="24"/>
          <w:szCs w:val="24"/>
        </w:rPr>
        <w:t>)</w:t>
      </w:r>
      <w:r w:rsidR="00674173">
        <w:rPr>
          <w:rFonts w:ascii="Times New Roman" w:hAnsi="Times New Roman" w:cs="Times New Roman"/>
          <w:bCs/>
          <w:sz w:val="24"/>
          <w:szCs w:val="24"/>
        </w:rPr>
        <w:t>. Os</w:t>
      </w:r>
      <w:r w:rsidR="00674173" w:rsidRPr="00674173">
        <w:rPr>
          <w:rFonts w:ascii="Times New Roman" w:hAnsi="Times New Roman" w:cs="Times New Roman"/>
          <w:bCs/>
          <w:sz w:val="24"/>
          <w:szCs w:val="24"/>
        </w:rPr>
        <w:t xml:space="preserve"> anos de publicação</w:t>
      </w:r>
      <w:r w:rsidR="00674173">
        <w:rPr>
          <w:rFonts w:ascii="Times New Roman" w:hAnsi="Times New Roman" w:cs="Times New Roman"/>
          <w:bCs/>
          <w:sz w:val="24"/>
          <w:szCs w:val="24"/>
        </w:rPr>
        <w:t xml:space="preserve"> foram compreendidos entre </w:t>
      </w:r>
      <w:r w:rsidR="00F659E1">
        <w:rPr>
          <w:rFonts w:ascii="Times New Roman" w:hAnsi="Times New Roman" w:cs="Times New Roman"/>
          <w:bCs/>
          <w:sz w:val="24"/>
          <w:szCs w:val="24"/>
        </w:rPr>
        <w:lastRenderedPageBreak/>
        <w:t>201</w:t>
      </w:r>
      <w:r w:rsidR="00FE67B9">
        <w:rPr>
          <w:rFonts w:ascii="Times New Roman" w:hAnsi="Times New Roman" w:cs="Times New Roman"/>
          <w:bCs/>
          <w:sz w:val="24"/>
          <w:szCs w:val="24"/>
        </w:rPr>
        <w:t>7</w:t>
      </w:r>
      <w:r w:rsidR="00674173">
        <w:rPr>
          <w:rFonts w:ascii="Times New Roman" w:hAnsi="Times New Roman" w:cs="Times New Roman"/>
          <w:bCs/>
          <w:sz w:val="24"/>
          <w:szCs w:val="24"/>
        </w:rPr>
        <w:t xml:space="preserve"> e 2020</w:t>
      </w:r>
      <w:r w:rsidR="009C5751">
        <w:rPr>
          <w:rFonts w:ascii="Times New Roman" w:hAnsi="Times New Roman" w:cs="Times New Roman"/>
          <w:bCs/>
          <w:sz w:val="24"/>
          <w:szCs w:val="24"/>
        </w:rPr>
        <w:t xml:space="preserve"> e </w:t>
      </w:r>
      <w:r w:rsidR="009C5751">
        <w:rPr>
          <w:rFonts w:ascii="Times New Roman" w:hAnsi="Times New Roman" w:cs="Times New Roman"/>
          <w:sz w:val="24"/>
          <w:szCs w:val="24"/>
        </w:rPr>
        <w:t>o</w:t>
      </w:r>
      <w:r w:rsidR="009C5751" w:rsidRPr="00674173">
        <w:rPr>
          <w:rFonts w:ascii="Times New Roman" w:hAnsi="Times New Roman" w:cs="Times New Roman"/>
          <w:sz w:val="24"/>
          <w:szCs w:val="24"/>
        </w:rPr>
        <w:t xml:space="preserve"> tamanho amostral</w:t>
      </w:r>
      <w:r w:rsidR="009C5751">
        <w:rPr>
          <w:rFonts w:ascii="Times New Roman" w:hAnsi="Times New Roman" w:cs="Times New Roman"/>
          <w:sz w:val="24"/>
          <w:szCs w:val="24"/>
        </w:rPr>
        <w:t xml:space="preserve"> variou de 41 a 274 </w:t>
      </w:r>
      <w:r w:rsidR="009C5751" w:rsidRPr="00DF5421">
        <w:rPr>
          <w:rFonts w:ascii="Times New Roman" w:hAnsi="Times New Roman" w:cs="Times New Roman"/>
          <w:sz w:val="24"/>
          <w:szCs w:val="24"/>
        </w:rPr>
        <w:t>crianças</w:t>
      </w:r>
      <w:r w:rsidR="009C5751">
        <w:rPr>
          <w:rFonts w:ascii="Times New Roman" w:hAnsi="Times New Roman" w:cs="Times New Roman"/>
          <w:sz w:val="24"/>
          <w:szCs w:val="24"/>
        </w:rPr>
        <w:t xml:space="preserve"> </w:t>
      </w:r>
      <w:r w:rsidR="00DF5421">
        <w:rPr>
          <w:rFonts w:ascii="Times New Roman" w:hAnsi="Times New Roman" w:cs="Times New Roman"/>
          <w:sz w:val="24"/>
          <w:szCs w:val="24"/>
        </w:rPr>
        <w:t xml:space="preserve">e adolescentes </w:t>
      </w:r>
      <w:r w:rsidR="009C5751">
        <w:rPr>
          <w:rFonts w:ascii="Times New Roman" w:hAnsi="Times New Roman" w:cs="Times New Roman"/>
          <w:sz w:val="24"/>
          <w:szCs w:val="24"/>
        </w:rPr>
        <w:t>com paralisia cerebral.</w:t>
      </w:r>
      <w:r w:rsidR="00674173">
        <w:rPr>
          <w:rFonts w:ascii="Times New Roman" w:hAnsi="Times New Roman" w:cs="Times New Roman"/>
          <w:bCs/>
          <w:sz w:val="24"/>
          <w:szCs w:val="24"/>
        </w:rPr>
        <w:t xml:space="preserve"> </w:t>
      </w:r>
      <w:r w:rsidR="009C5751">
        <w:rPr>
          <w:rFonts w:ascii="Times New Roman" w:hAnsi="Times New Roman" w:cs="Times New Roman"/>
          <w:bCs/>
          <w:sz w:val="24"/>
          <w:szCs w:val="24"/>
        </w:rPr>
        <w:t xml:space="preserve">Quanto ao local de origem, </w:t>
      </w:r>
      <w:r w:rsidR="009C5751">
        <w:rPr>
          <w:rFonts w:ascii="Times New Roman" w:hAnsi="Times New Roman" w:cs="Times New Roman"/>
          <w:sz w:val="24"/>
          <w:szCs w:val="24"/>
        </w:rPr>
        <w:t>o</w:t>
      </w:r>
      <w:r w:rsidR="00674173" w:rsidRPr="004D4027">
        <w:rPr>
          <w:rFonts w:ascii="Times New Roman" w:hAnsi="Times New Roman" w:cs="Times New Roman"/>
          <w:sz w:val="24"/>
          <w:szCs w:val="24"/>
        </w:rPr>
        <w:t>s</w:t>
      </w:r>
      <w:r w:rsidR="00EE5CE5">
        <w:rPr>
          <w:rFonts w:ascii="Times New Roman" w:hAnsi="Times New Roman" w:cs="Times New Roman"/>
          <w:sz w:val="24"/>
          <w:szCs w:val="24"/>
        </w:rPr>
        <w:t xml:space="preserve"> estudos</w:t>
      </w:r>
      <w:r w:rsidR="00674173" w:rsidRPr="004D4027">
        <w:rPr>
          <w:rFonts w:ascii="Times New Roman" w:hAnsi="Times New Roman" w:cs="Times New Roman"/>
          <w:sz w:val="24"/>
          <w:szCs w:val="24"/>
        </w:rPr>
        <w:t xml:space="preserve"> </w:t>
      </w:r>
      <w:r w:rsidR="00EE5CE5">
        <w:rPr>
          <w:rFonts w:ascii="Times New Roman" w:hAnsi="Times New Roman" w:cs="Times New Roman"/>
          <w:sz w:val="24"/>
          <w:szCs w:val="24"/>
        </w:rPr>
        <w:t xml:space="preserve">foram realizados nos seguintes países: </w:t>
      </w:r>
      <w:r w:rsidR="00674173" w:rsidRPr="00674173">
        <w:rPr>
          <w:rFonts w:ascii="Times New Roman" w:hAnsi="Times New Roman" w:cs="Times New Roman"/>
          <w:sz w:val="24"/>
          <w:szCs w:val="24"/>
        </w:rPr>
        <w:t>Bélgica</w:t>
      </w:r>
      <w:r w:rsidR="00674173">
        <w:rPr>
          <w:rFonts w:ascii="Times New Roman" w:hAnsi="Times New Roman" w:cs="Times New Roman"/>
          <w:sz w:val="24"/>
          <w:szCs w:val="24"/>
        </w:rPr>
        <w:t xml:space="preserve">, </w:t>
      </w:r>
      <w:r w:rsidR="00674173" w:rsidRPr="00674173">
        <w:rPr>
          <w:rFonts w:ascii="Times New Roman" w:hAnsi="Times New Roman" w:cs="Times New Roman"/>
          <w:sz w:val="24"/>
          <w:szCs w:val="24"/>
        </w:rPr>
        <w:t>Índia</w:t>
      </w:r>
      <w:r w:rsidR="00674173">
        <w:rPr>
          <w:rFonts w:ascii="Times New Roman" w:hAnsi="Times New Roman" w:cs="Times New Roman"/>
          <w:sz w:val="24"/>
          <w:szCs w:val="24"/>
        </w:rPr>
        <w:t xml:space="preserve">, </w:t>
      </w:r>
      <w:r w:rsidR="004713DE">
        <w:rPr>
          <w:rFonts w:ascii="Times New Roman" w:hAnsi="Times New Roman" w:cs="Times New Roman"/>
          <w:sz w:val="24"/>
          <w:szCs w:val="24"/>
        </w:rPr>
        <w:t xml:space="preserve">Irã, </w:t>
      </w:r>
      <w:r w:rsidR="00674173" w:rsidRPr="00674173">
        <w:rPr>
          <w:rFonts w:ascii="Times New Roman" w:hAnsi="Times New Roman" w:cs="Times New Roman"/>
          <w:sz w:val="24"/>
          <w:szCs w:val="24"/>
        </w:rPr>
        <w:t>México</w:t>
      </w:r>
      <w:r w:rsidR="00674173">
        <w:rPr>
          <w:rFonts w:ascii="Times New Roman" w:hAnsi="Times New Roman" w:cs="Times New Roman"/>
          <w:sz w:val="24"/>
          <w:szCs w:val="24"/>
        </w:rPr>
        <w:t>, Chile</w:t>
      </w:r>
      <w:r w:rsidR="00FE67B9">
        <w:rPr>
          <w:rFonts w:ascii="Times New Roman" w:hAnsi="Times New Roman" w:cs="Times New Roman"/>
          <w:sz w:val="24"/>
          <w:szCs w:val="24"/>
        </w:rPr>
        <w:t xml:space="preserve"> e </w:t>
      </w:r>
      <w:r w:rsidR="00674173" w:rsidRPr="00674173">
        <w:rPr>
          <w:rFonts w:ascii="Times New Roman" w:hAnsi="Times New Roman" w:cs="Times New Roman"/>
          <w:sz w:val="24"/>
          <w:szCs w:val="24"/>
        </w:rPr>
        <w:t>Turquia</w:t>
      </w:r>
      <w:r w:rsidR="00FE67B9">
        <w:rPr>
          <w:rFonts w:ascii="Times New Roman" w:hAnsi="Times New Roman" w:cs="Times New Roman"/>
          <w:sz w:val="24"/>
          <w:szCs w:val="24"/>
        </w:rPr>
        <w:t>.</w:t>
      </w:r>
      <w:r w:rsidR="004C4BCB">
        <w:rPr>
          <w:rFonts w:ascii="Times New Roman" w:hAnsi="Times New Roman" w:cs="Times New Roman"/>
          <w:sz w:val="24"/>
          <w:szCs w:val="24"/>
        </w:rPr>
        <w:t xml:space="preserve"> </w:t>
      </w:r>
    </w:p>
    <w:p w14:paraId="59D80CAE" w14:textId="77777777" w:rsidR="000B3B53" w:rsidRDefault="00E63FE2" w:rsidP="004C4BCB">
      <w:pPr>
        <w:spacing w:after="0" w:line="360" w:lineRule="auto"/>
        <w:ind w:firstLine="851"/>
        <w:jc w:val="both"/>
        <w:rPr>
          <w:rFonts w:ascii="Times New Roman" w:hAnsi="Times New Roman" w:cs="Times New Roman"/>
          <w:sz w:val="24"/>
          <w:szCs w:val="24"/>
        </w:rPr>
      </w:pPr>
      <w:r w:rsidRPr="00E63FE2">
        <w:rPr>
          <w:rFonts w:ascii="Times New Roman" w:hAnsi="Times New Roman" w:cs="Times New Roman"/>
          <w:sz w:val="24"/>
          <w:szCs w:val="24"/>
        </w:rPr>
        <w:t xml:space="preserve">Em </w:t>
      </w:r>
      <w:r>
        <w:rPr>
          <w:rFonts w:ascii="Times New Roman" w:hAnsi="Times New Roman" w:cs="Times New Roman"/>
          <w:sz w:val="24"/>
          <w:szCs w:val="24"/>
        </w:rPr>
        <w:t>cinco</w:t>
      </w:r>
      <w:r w:rsidRPr="00E63FE2">
        <w:rPr>
          <w:rFonts w:ascii="Times New Roman" w:hAnsi="Times New Roman" w:cs="Times New Roman"/>
          <w:sz w:val="24"/>
          <w:szCs w:val="24"/>
        </w:rPr>
        <w:t xml:space="preserve"> estudos, o objetivo</w:t>
      </w:r>
      <w:r>
        <w:rPr>
          <w:rFonts w:ascii="Times New Roman" w:hAnsi="Times New Roman" w:cs="Times New Roman"/>
          <w:sz w:val="24"/>
          <w:szCs w:val="24"/>
        </w:rPr>
        <w:t xml:space="preserve"> </w:t>
      </w:r>
      <w:r w:rsidRPr="00E63FE2">
        <w:rPr>
          <w:rFonts w:ascii="Times New Roman" w:hAnsi="Times New Roman" w:cs="Times New Roman"/>
          <w:sz w:val="24"/>
          <w:szCs w:val="24"/>
        </w:rPr>
        <w:t xml:space="preserve">principal foi avaliar o </w:t>
      </w:r>
      <w:r w:rsidRPr="00E63FE2">
        <w:rPr>
          <w:rFonts w:ascii="Times New Roman" w:hAnsi="Times New Roman" w:cs="Times New Roman"/>
          <w:i/>
          <w:iCs/>
          <w:sz w:val="24"/>
          <w:szCs w:val="24"/>
        </w:rPr>
        <w:t xml:space="preserve">status </w:t>
      </w:r>
      <w:r w:rsidRPr="00E63FE2">
        <w:rPr>
          <w:rFonts w:ascii="Times New Roman" w:hAnsi="Times New Roman" w:cs="Times New Roman"/>
          <w:sz w:val="24"/>
          <w:szCs w:val="24"/>
        </w:rPr>
        <w:t>da vitamina D dos participantes</w:t>
      </w:r>
      <w:r>
        <w:rPr>
          <w:rFonts w:ascii="Times New Roman" w:hAnsi="Times New Roman" w:cs="Times New Roman"/>
          <w:sz w:val="24"/>
          <w:szCs w:val="24"/>
        </w:rPr>
        <w:t xml:space="preserve">. </w:t>
      </w:r>
      <w:r w:rsidRPr="00E63FE2">
        <w:rPr>
          <w:rFonts w:ascii="Times New Roman" w:hAnsi="Times New Roman" w:cs="Times New Roman"/>
          <w:sz w:val="24"/>
          <w:szCs w:val="24"/>
        </w:rPr>
        <w:t>O objetivo principal nos demais foi explorar a associação</w:t>
      </w:r>
      <w:r>
        <w:rPr>
          <w:rFonts w:ascii="Times New Roman" w:hAnsi="Times New Roman" w:cs="Times New Roman"/>
          <w:sz w:val="24"/>
          <w:szCs w:val="24"/>
        </w:rPr>
        <w:t xml:space="preserve"> </w:t>
      </w:r>
      <w:r w:rsidRPr="00E63FE2">
        <w:rPr>
          <w:rFonts w:ascii="Times New Roman" w:hAnsi="Times New Roman" w:cs="Times New Roman"/>
          <w:sz w:val="24"/>
          <w:szCs w:val="24"/>
        </w:rPr>
        <w:t>entre os níveis de vitamina D e resultados clínicos, tais como a densidade mineral</w:t>
      </w:r>
      <w:r w:rsidR="000657C9">
        <w:rPr>
          <w:rFonts w:ascii="Times New Roman" w:hAnsi="Times New Roman" w:cs="Times New Roman"/>
          <w:sz w:val="24"/>
          <w:szCs w:val="24"/>
        </w:rPr>
        <w:t xml:space="preserve"> </w:t>
      </w:r>
      <w:r w:rsidRPr="00E63FE2">
        <w:rPr>
          <w:rFonts w:ascii="Times New Roman" w:hAnsi="Times New Roman" w:cs="Times New Roman"/>
          <w:sz w:val="24"/>
          <w:szCs w:val="24"/>
        </w:rPr>
        <w:t>óssea (DMO)</w:t>
      </w:r>
      <w:r w:rsidR="009A1767">
        <w:rPr>
          <w:rFonts w:ascii="Times New Roman" w:hAnsi="Times New Roman" w:cs="Times New Roman"/>
          <w:sz w:val="24"/>
          <w:szCs w:val="24"/>
        </w:rPr>
        <w:t xml:space="preserve">, </w:t>
      </w:r>
      <w:r w:rsidR="000657C9">
        <w:rPr>
          <w:rFonts w:ascii="Times New Roman" w:hAnsi="Times New Roman" w:cs="Times New Roman"/>
          <w:sz w:val="24"/>
          <w:szCs w:val="24"/>
        </w:rPr>
        <w:t>estado nutricional</w:t>
      </w:r>
      <w:r w:rsidR="009A1767">
        <w:rPr>
          <w:rFonts w:ascii="Times New Roman" w:hAnsi="Times New Roman" w:cs="Times New Roman"/>
          <w:sz w:val="24"/>
          <w:szCs w:val="24"/>
        </w:rPr>
        <w:t xml:space="preserve"> e </w:t>
      </w:r>
      <w:r w:rsidR="004713DE">
        <w:rPr>
          <w:rFonts w:ascii="Times New Roman" w:hAnsi="Times New Roman" w:cs="Times New Roman"/>
          <w:sz w:val="24"/>
          <w:szCs w:val="24"/>
        </w:rPr>
        <w:t>gravidade da PC</w:t>
      </w:r>
      <w:r w:rsidR="009A1767">
        <w:rPr>
          <w:rFonts w:ascii="Times New Roman" w:hAnsi="Times New Roman" w:cs="Times New Roman"/>
          <w:sz w:val="24"/>
          <w:szCs w:val="24"/>
        </w:rPr>
        <w:t xml:space="preserve"> e funcional</w:t>
      </w:r>
      <w:r w:rsidR="004713DE">
        <w:rPr>
          <w:rFonts w:ascii="Times New Roman" w:hAnsi="Times New Roman" w:cs="Times New Roman"/>
          <w:sz w:val="24"/>
          <w:szCs w:val="24"/>
        </w:rPr>
        <w:t>idade</w:t>
      </w:r>
      <w:r w:rsidR="000657C9">
        <w:rPr>
          <w:rFonts w:ascii="Times New Roman" w:hAnsi="Times New Roman" w:cs="Times New Roman"/>
          <w:sz w:val="24"/>
          <w:szCs w:val="24"/>
        </w:rPr>
        <w:t xml:space="preserve">. </w:t>
      </w:r>
    </w:p>
    <w:p w14:paraId="78B6F244" w14:textId="3E303117" w:rsidR="0010562E" w:rsidRPr="00674173" w:rsidRDefault="0010562E" w:rsidP="004C4BCB">
      <w:pPr>
        <w:spacing w:after="0" w:line="360" w:lineRule="auto"/>
        <w:ind w:firstLine="851"/>
        <w:jc w:val="both"/>
        <w:rPr>
          <w:rFonts w:ascii="Times New Roman" w:hAnsi="Times New Roman" w:cs="Times New Roman"/>
          <w:sz w:val="24"/>
          <w:szCs w:val="24"/>
        </w:rPr>
      </w:pPr>
      <w:r w:rsidRPr="0010562E">
        <w:rPr>
          <w:rFonts w:ascii="Times New Roman" w:hAnsi="Times New Roman" w:cs="Times New Roman"/>
          <w:sz w:val="24"/>
          <w:szCs w:val="24"/>
        </w:rPr>
        <w:t>A tabela 1 mostra</w:t>
      </w:r>
      <w:r w:rsidR="00105C86">
        <w:rPr>
          <w:rFonts w:ascii="Times New Roman" w:hAnsi="Times New Roman" w:cs="Times New Roman"/>
          <w:sz w:val="24"/>
          <w:szCs w:val="24"/>
        </w:rPr>
        <w:t xml:space="preserve"> as prevalências de deficiência de vitamina D de crianças com paralisia cerebral, encontradas nos estudos.</w:t>
      </w:r>
    </w:p>
    <w:p w14:paraId="036C5CBB" w14:textId="622E5AB9" w:rsidR="003B3E05" w:rsidRPr="005F2DFF" w:rsidRDefault="003B3E05" w:rsidP="003B3E05">
      <w:pPr>
        <w:pStyle w:val="Els-table-caption"/>
        <w:spacing w:before="0" w:after="120" w:line="360" w:lineRule="auto"/>
        <w:ind w:firstLine="709"/>
        <w:jc w:val="both"/>
        <w:rPr>
          <w:b w:val="0"/>
          <w:sz w:val="20"/>
          <w:lang w:val="pt-BR"/>
        </w:rPr>
      </w:pPr>
      <w:r w:rsidRPr="005F2DFF">
        <w:rPr>
          <w:sz w:val="20"/>
          <w:lang w:val="pt-BR"/>
        </w:rPr>
        <w:t xml:space="preserve">Tabela 1 – </w:t>
      </w:r>
      <w:r w:rsidRPr="003B3E05">
        <w:rPr>
          <w:b w:val="0"/>
          <w:sz w:val="20"/>
          <w:lang w:val="pt-BR"/>
        </w:rPr>
        <w:t>Prevalências de deficiência de vitamina D encontradas nos estudos.</w:t>
      </w:r>
    </w:p>
    <w:tbl>
      <w:tblPr>
        <w:tblStyle w:val="Tabelacomgrade"/>
        <w:tblW w:w="9071" w:type="dxa"/>
        <w:jc w:val="center"/>
        <w:tblBorders>
          <w:top w:val="single" w:sz="12" w:space="0" w:color="auto"/>
          <w:left w:val="none" w:sz="0" w:space="0" w:color="auto"/>
          <w:bottom w:val="single" w:sz="12" w:space="0" w:color="auto"/>
          <w:right w:val="none" w:sz="0" w:space="0" w:color="auto"/>
          <w:insideH w:val="single" w:sz="4" w:space="0" w:color="auto"/>
          <w:insideV w:val="none" w:sz="0" w:space="0" w:color="auto"/>
        </w:tblBorders>
        <w:tblLook w:val="04A0" w:firstRow="1" w:lastRow="0" w:firstColumn="1" w:lastColumn="0" w:noHBand="0" w:noVBand="1"/>
      </w:tblPr>
      <w:tblGrid>
        <w:gridCol w:w="1932"/>
        <w:gridCol w:w="1612"/>
        <w:gridCol w:w="3467"/>
        <w:gridCol w:w="2060"/>
      </w:tblGrid>
      <w:tr w:rsidR="001B05DB" w:rsidRPr="0038249B" w14:paraId="7D8863A9" w14:textId="77777777" w:rsidTr="005238AC">
        <w:trPr>
          <w:cantSplit/>
          <w:trHeight w:val="3"/>
          <w:tblHeader/>
          <w:jc w:val="center"/>
        </w:trPr>
        <w:tc>
          <w:tcPr>
            <w:tcW w:w="1932" w:type="dxa"/>
          </w:tcPr>
          <w:p w14:paraId="2190D642" w14:textId="506B5A6F" w:rsidR="001B05DB" w:rsidRPr="0038249B" w:rsidRDefault="001B05DB" w:rsidP="00A36A8B">
            <w:pPr>
              <w:jc w:val="center"/>
              <w:rPr>
                <w:rFonts w:ascii="Times New Roman" w:hAnsi="Times New Roman" w:cs="Times New Roman"/>
                <w:b/>
                <w:sz w:val="20"/>
                <w:szCs w:val="20"/>
              </w:rPr>
            </w:pPr>
            <w:r w:rsidRPr="0038249B">
              <w:rPr>
                <w:rFonts w:ascii="Times New Roman" w:hAnsi="Times New Roman" w:cs="Times New Roman"/>
                <w:b/>
                <w:sz w:val="20"/>
                <w:szCs w:val="20"/>
              </w:rPr>
              <w:t>Autor</w:t>
            </w:r>
            <w:r w:rsidRPr="009A15E6">
              <w:rPr>
                <w:rFonts w:ascii="Times New Roman" w:hAnsi="Times New Roman" w:cs="Times New Roman"/>
                <w:b/>
                <w:sz w:val="20"/>
                <w:szCs w:val="20"/>
              </w:rPr>
              <w:t>es</w:t>
            </w:r>
          </w:p>
        </w:tc>
        <w:tc>
          <w:tcPr>
            <w:tcW w:w="1612" w:type="dxa"/>
          </w:tcPr>
          <w:p w14:paraId="70EA2678" w14:textId="3370D140" w:rsidR="001B05DB" w:rsidRPr="0038249B" w:rsidRDefault="001B05DB" w:rsidP="00A36A8B">
            <w:pPr>
              <w:jc w:val="center"/>
              <w:rPr>
                <w:rFonts w:ascii="Times New Roman" w:hAnsi="Times New Roman" w:cs="Times New Roman"/>
                <w:b/>
                <w:sz w:val="20"/>
                <w:szCs w:val="20"/>
              </w:rPr>
            </w:pPr>
            <w:r w:rsidRPr="009A15E6">
              <w:rPr>
                <w:rFonts w:ascii="Times New Roman" w:hAnsi="Times New Roman" w:cs="Times New Roman"/>
                <w:b/>
                <w:sz w:val="20"/>
                <w:szCs w:val="20"/>
              </w:rPr>
              <w:t>Idade</w:t>
            </w:r>
          </w:p>
        </w:tc>
        <w:tc>
          <w:tcPr>
            <w:tcW w:w="3467" w:type="dxa"/>
          </w:tcPr>
          <w:p w14:paraId="4C786569" w14:textId="549EF357" w:rsidR="001B05DB" w:rsidRPr="0038249B" w:rsidRDefault="001B05DB" w:rsidP="00A36A8B">
            <w:pPr>
              <w:jc w:val="center"/>
              <w:rPr>
                <w:rFonts w:ascii="Times New Roman" w:hAnsi="Times New Roman" w:cs="Times New Roman"/>
                <w:b/>
                <w:sz w:val="20"/>
                <w:szCs w:val="20"/>
              </w:rPr>
            </w:pPr>
            <w:r w:rsidRPr="0038249B">
              <w:rPr>
                <w:rFonts w:ascii="Times New Roman" w:hAnsi="Times New Roman" w:cs="Times New Roman"/>
                <w:b/>
                <w:sz w:val="20"/>
                <w:szCs w:val="20"/>
              </w:rPr>
              <w:t>Classificação da vitamina D</w:t>
            </w:r>
          </w:p>
        </w:tc>
        <w:tc>
          <w:tcPr>
            <w:tcW w:w="2060" w:type="dxa"/>
          </w:tcPr>
          <w:p w14:paraId="41D75944" w14:textId="0367609F" w:rsidR="001B05DB" w:rsidRPr="0038249B" w:rsidRDefault="001B05DB" w:rsidP="00A36A8B">
            <w:pPr>
              <w:jc w:val="center"/>
              <w:rPr>
                <w:rFonts w:ascii="Times New Roman" w:hAnsi="Times New Roman" w:cs="Times New Roman"/>
                <w:b/>
                <w:sz w:val="20"/>
                <w:szCs w:val="20"/>
              </w:rPr>
            </w:pPr>
            <w:r w:rsidRPr="0038249B">
              <w:rPr>
                <w:rFonts w:ascii="Times New Roman" w:hAnsi="Times New Roman" w:cs="Times New Roman"/>
                <w:b/>
                <w:sz w:val="20"/>
                <w:szCs w:val="20"/>
              </w:rPr>
              <w:t>Prevalência</w:t>
            </w:r>
            <w:r>
              <w:rPr>
                <w:rFonts w:ascii="Times New Roman" w:hAnsi="Times New Roman" w:cs="Times New Roman"/>
                <w:b/>
                <w:sz w:val="20"/>
                <w:szCs w:val="20"/>
              </w:rPr>
              <w:t xml:space="preserve"> (%)</w:t>
            </w:r>
          </w:p>
        </w:tc>
      </w:tr>
      <w:tr w:rsidR="001B05DB" w:rsidRPr="0038249B" w14:paraId="7F92B28D" w14:textId="77777777" w:rsidTr="005238AC">
        <w:trPr>
          <w:cantSplit/>
          <w:trHeight w:val="19"/>
          <w:jc w:val="center"/>
        </w:trPr>
        <w:tc>
          <w:tcPr>
            <w:tcW w:w="1932" w:type="dxa"/>
          </w:tcPr>
          <w:p w14:paraId="4546F012" w14:textId="6842F63B" w:rsidR="001B05DB" w:rsidRPr="00183E58" w:rsidRDefault="001B05DB" w:rsidP="00183E58">
            <w:pPr>
              <w:jc w:val="center"/>
              <w:rPr>
                <w:rFonts w:ascii="Times New Roman" w:hAnsi="Times New Roman" w:cs="Times New Roman"/>
                <w:sz w:val="20"/>
                <w:szCs w:val="20"/>
              </w:rPr>
            </w:pPr>
            <w:r w:rsidRPr="00183E58">
              <w:rPr>
                <w:rFonts w:ascii="Times New Roman" w:hAnsi="Times New Roman" w:cs="Times New Roman"/>
                <w:sz w:val="20"/>
                <w:szCs w:val="20"/>
              </w:rPr>
              <w:fldChar w:fldCharType="begin" w:fldLock="1"/>
            </w:r>
            <w:r w:rsidRPr="00183E58">
              <w:rPr>
                <w:rFonts w:ascii="Times New Roman" w:hAnsi="Times New Roman" w:cs="Times New Roman"/>
                <w:sz w:val="20"/>
                <w:szCs w:val="20"/>
              </w:rPr>
              <w:instrText>ADDIN CSL_CITATION {"citationItems":[{"id":"ITEM-1","itemData":{"DOI":"10.1016/j.arcped.2019.11.003","ISSN":"1769664X","PMID":"31791829","abstract":"Background and aims: Malnutrition is common in neurologically impaired (NI) children. It is, however, ill-defined and under-diagnosed. If not recognized and treated, it increases the burden of comorbidities and affects the quality of life of these children. The aim of this study was to characterize the nutritional status of a cohort of children followed up at a reference center for cerebral palsy (CP) in Brussels, Belgium, and to investigate possible links with the occurrence of comorbidities. Material and methods: We conducted a single-center retrospective study including all the children followed up at the Inter-university Reference Center for Cerebral Palsy ULB-VUB-ULg. The data were obtained by reviewing medical files. Anthropometric measurements as well as the etiology of neurological impairment, comorbidities, feeding patterns, and laboratory test results were collected. The children were assigned a nutritional diagnosis according to the World Health Organization and Waterlow definitions. Results: A total of 260 children with cerebral palsy were included, 148 males and 112 females. Their mean age was 10.9 ± 4.3 years. The gross motor function classification system (GMFCS) level was I for 79 children, II for 63 children, III for 35 children, IV for 33 children, and V for 50 children. Of the children, 54% had a normal nutritional status, 34% showed malnutrition, and 8% were obese; 38% had oropharyngeal dysphagia. The sensitivity of mean upper arm circumference of &lt; p10 to detect severe malnutrition was 95%. Specific growth charts for CP were neither sensitive nor specific for predicting the risk of comorbidities. Malnutrition was associated with an increased risk of comorbidities (relative risk of 2.4 [1.7; 3.4]). It was also associated with the occurrence of pneumonia, pressure ulcers, and pathological bone fracture. Discussion and conclusion: Children who are NI should be systematically and thoroughly screened for malnutrition, in the hope of offering early nutritional support and reduce comorbidities.","author":[{"dropping-particle":"","family":"Leonard","given":"M.","non-dropping-particle":"","parse-names":false,"suffix":""},{"dropping-particle":"","family":"Dain","given":"E.","non-dropping-particle":"","parse-names":false,"suffix":""},{"dropping-particle":"","family":"Pelc","given":"K.","non-dropping-particle":"","parse-names":false,"suffix":""},{"dropping-particle":"","family":"Dan","given":"B.","non-dropping-particle":"","parse-names":false,"suffix":""},{"dropping-particle":"","family":"Laet","given":"C.","non-dropping-particle":"De","parse-names":false,"suffix":""}],"container-title":"Archives de Pediatrie","id":"ITEM-1","issue":"2","issued":{"date-parts":[["2020"]]},"page":"95-103","publisher":"French Society of Pediatrics","title":"Nutritional status of neurologically impaired children: Impact on comorbidity","type":"article-journal","volume":"27"},"uris":["http://www.mendeley.com/documents/?uuid=805d01f2-228f-450c-b085-b9ef19b7f88f"]}],"mendeley":{"formattedCitation":"(LEONARD et al., 2020)","plainTextFormattedCitation":"(LEONARD et al., 2020)","previouslyFormattedCitation":"(LEONARD et al., 2020)"},"properties":{"noteIndex":0},"schema":"https://github.com/citation-style-language/schema/raw/master/csl-citation.json"}</w:instrText>
            </w:r>
            <w:r w:rsidRPr="00183E58">
              <w:rPr>
                <w:rFonts w:ascii="Times New Roman" w:hAnsi="Times New Roman" w:cs="Times New Roman"/>
                <w:sz w:val="20"/>
                <w:szCs w:val="20"/>
              </w:rPr>
              <w:fldChar w:fldCharType="separate"/>
            </w:r>
            <w:r w:rsidRPr="00183E58">
              <w:rPr>
                <w:rFonts w:ascii="Times New Roman" w:hAnsi="Times New Roman" w:cs="Times New Roman"/>
                <w:noProof/>
                <w:sz w:val="20"/>
                <w:szCs w:val="20"/>
              </w:rPr>
              <w:t>(LEONARD et al., 2020)</w:t>
            </w:r>
            <w:r w:rsidRPr="00183E58">
              <w:rPr>
                <w:rFonts w:ascii="Times New Roman" w:hAnsi="Times New Roman" w:cs="Times New Roman"/>
                <w:sz w:val="20"/>
                <w:szCs w:val="20"/>
              </w:rPr>
              <w:fldChar w:fldCharType="end"/>
            </w:r>
          </w:p>
        </w:tc>
        <w:tc>
          <w:tcPr>
            <w:tcW w:w="1612" w:type="dxa"/>
          </w:tcPr>
          <w:p w14:paraId="6F801E40" w14:textId="090F09B2" w:rsidR="001B05DB" w:rsidRPr="0038249B" w:rsidRDefault="00405A38" w:rsidP="009A15E6">
            <w:pPr>
              <w:jc w:val="center"/>
              <w:rPr>
                <w:rFonts w:ascii="Times New Roman" w:hAnsi="Times New Roman" w:cs="Times New Roman"/>
                <w:sz w:val="20"/>
                <w:szCs w:val="20"/>
              </w:rPr>
            </w:pPr>
            <w:r>
              <w:rPr>
                <w:rFonts w:ascii="Times New Roman" w:hAnsi="Times New Roman" w:cs="Times New Roman"/>
                <w:sz w:val="20"/>
                <w:szCs w:val="20"/>
              </w:rPr>
              <w:t>1,5 a 18 anos</w:t>
            </w:r>
          </w:p>
        </w:tc>
        <w:tc>
          <w:tcPr>
            <w:tcW w:w="3467" w:type="dxa"/>
          </w:tcPr>
          <w:p w14:paraId="4D74CC6A" w14:textId="61D2CFF0" w:rsidR="001B05DB" w:rsidRPr="0038249B" w:rsidRDefault="001B05DB" w:rsidP="00A36A8B">
            <w:pPr>
              <w:rPr>
                <w:rFonts w:ascii="Times New Roman" w:hAnsi="Times New Roman" w:cs="Times New Roman"/>
                <w:sz w:val="20"/>
                <w:szCs w:val="20"/>
              </w:rPr>
            </w:pPr>
            <w:r w:rsidRPr="0038249B">
              <w:rPr>
                <w:rFonts w:ascii="Times New Roman" w:hAnsi="Times New Roman" w:cs="Times New Roman"/>
                <w:sz w:val="20"/>
                <w:szCs w:val="20"/>
              </w:rPr>
              <w:t xml:space="preserve">Deficiência: &lt;20 </w:t>
            </w:r>
            <w:proofErr w:type="spellStart"/>
            <w:r w:rsidRPr="0038249B">
              <w:rPr>
                <w:rFonts w:ascii="Times New Roman" w:hAnsi="Times New Roman" w:cs="Times New Roman"/>
                <w:sz w:val="20"/>
                <w:szCs w:val="20"/>
              </w:rPr>
              <w:t>ng</w:t>
            </w:r>
            <w:proofErr w:type="spellEnd"/>
            <w:r w:rsidRPr="0038249B">
              <w:rPr>
                <w:rFonts w:ascii="Times New Roman" w:hAnsi="Times New Roman" w:cs="Times New Roman"/>
                <w:sz w:val="20"/>
                <w:szCs w:val="20"/>
              </w:rPr>
              <w:t xml:space="preserve"> / </w:t>
            </w:r>
            <w:proofErr w:type="spellStart"/>
            <w:r w:rsidRPr="0038249B">
              <w:rPr>
                <w:rFonts w:ascii="Times New Roman" w:hAnsi="Times New Roman" w:cs="Times New Roman"/>
                <w:sz w:val="20"/>
                <w:szCs w:val="20"/>
              </w:rPr>
              <w:t>mL</w:t>
            </w:r>
            <w:proofErr w:type="spellEnd"/>
          </w:p>
          <w:p w14:paraId="14D2CB3D" w14:textId="77777777" w:rsidR="001B05DB" w:rsidRPr="0038249B" w:rsidRDefault="001B05DB" w:rsidP="00A36A8B">
            <w:pPr>
              <w:rPr>
                <w:rFonts w:ascii="Times New Roman" w:hAnsi="Times New Roman" w:cs="Times New Roman"/>
                <w:sz w:val="20"/>
                <w:szCs w:val="20"/>
              </w:rPr>
            </w:pPr>
            <w:r w:rsidRPr="0038249B">
              <w:rPr>
                <w:rFonts w:ascii="Times New Roman" w:hAnsi="Times New Roman" w:cs="Times New Roman"/>
                <w:sz w:val="20"/>
                <w:szCs w:val="20"/>
              </w:rPr>
              <w:t xml:space="preserve">Insuficiência: 20 a &lt; 30 </w:t>
            </w:r>
            <w:proofErr w:type="spellStart"/>
            <w:r w:rsidRPr="0038249B">
              <w:rPr>
                <w:rFonts w:ascii="Times New Roman" w:hAnsi="Times New Roman" w:cs="Times New Roman"/>
                <w:sz w:val="20"/>
                <w:szCs w:val="20"/>
              </w:rPr>
              <w:t>ng</w:t>
            </w:r>
            <w:proofErr w:type="spellEnd"/>
            <w:r w:rsidRPr="0038249B">
              <w:rPr>
                <w:rFonts w:ascii="Times New Roman" w:hAnsi="Times New Roman" w:cs="Times New Roman"/>
                <w:sz w:val="20"/>
                <w:szCs w:val="20"/>
              </w:rPr>
              <w:t>/</w:t>
            </w:r>
            <w:proofErr w:type="spellStart"/>
            <w:r w:rsidRPr="0038249B">
              <w:rPr>
                <w:rFonts w:ascii="Times New Roman" w:hAnsi="Times New Roman" w:cs="Times New Roman"/>
                <w:sz w:val="20"/>
                <w:szCs w:val="20"/>
              </w:rPr>
              <w:t>mL</w:t>
            </w:r>
            <w:proofErr w:type="spellEnd"/>
          </w:p>
          <w:p w14:paraId="75CB96A2" w14:textId="77777777" w:rsidR="001B05DB" w:rsidRPr="0038249B" w:rsidRDefault="001B05DB" w:rsidP="00A36A8B">
            <w:pPr>
              <w:rPr>
                <w:rFonts w:ascii="Times New Roman" w:hAnsi="Times New Roman" w:cs="Times New Roman"/>
                <w:sz w:val="20"/>
                <w:szCs w:val="20"/>
              </w:rPr>
            </w:pPr>
            <w:r w:rsidRPr="0038249B">
              <w:rPr>
                <w:rFonts w:ascii="Times New Roman" w:hAnsi="Times New Roman" w:cs="Times New Roman"/>
                <w:sz w:val="20"/>
                <w:szCs w:val="20"/>
              </w:rPr>
              <w:t xml:space="preserve">Ideal &gt;30 </w:t>
            </w:r>
            <w:proofErr w:type="spellStart"/>
            <w:r w:rsidRPr="0038249B">
              <w:rPr>
                <w:rFonts w:ascii="Times New Roman" w:hAnsi="Times New Roman" w:cs="Times New Roman"/>
                <w:sz w:val="20"/>
                <w:szCs w:val="20"/>
              </w:rPr>
              <w:t>ng</w:t>
            </w:r>
            <w:proofErr w:type="spellEnd"/>
            <w:r w:rsidRPr="0038249B">
              <w:rPr>
                <w:rFonts w:ascii="Times New Roman" w:hAnsi="Times New Roman" w:cs="Times New Roman"/>
                <w:sz w:val="20"/>
                <w:szCs w:val="20"/>
              </w:rPr>
              <w:t>/</w:t>
            </w:r>
            <w:proofErr w:type="spellStart"/>
            <w:r w:rsidRPr="0038249B">
              <w:rPr>
                <w:rFonts w:ascii="Times New Roman" w:hAnsi="Times New Roman" w:cs="Times New Roman"/>
                <w:sz w:val="20"/>
                <w:szCs w:val="20"/>
              </w:rPr>
              <w:t>mL</w:t>
            </w:r>
            <w:proofErr w:type="spellEnd"/>
          </w:p>
        </w:tc>
        <w:tc>
          <w:tcPr>
            <w:tcW w:w="2060" w:type="dxa"/>
          </w:tcPr>
          <w:p w14:paraId="1E5EBCE4" w14:textId="2FF265BD" w:rsidR="001B05DB" w:rsidRPr="001521DC" w:rsidRDefault="001B05DB" w:rsidP="00A36A8B">
            <w:pPr>
              <w:jc w:val="center"/>
              <w:rPr>
                <w:rFonts w:ascii="Times New Roman" w:hAnsi="Times New Roman" w:cs="Times New Roman"/>
                <w:sz w:val="20"/>
                <w:szCs w:val="20"/>
              </w:rPr>
            </w:pPr>
            <w:r w:rsidRPr="001521DC">
              <w:rPr>
                <w:rFonts w:ascii="Times New Roman" w:hAnsi="Times New Roman" w:cs="Times New Roman"/>
                <w:sz w:val="20"/>
                <w:szCs w:val="20"/>
              </w:rPr>
              <w:t>34</w:t>
            </w:r>
          </w:p>
          <w:p w14:paraId="33812A01" w14:textId="0135E36C" w:rsidR="001B05DB" w:rsidRPr="001521DC" w:rsidRDefault="001B05DB" w:rsidP="00A36A8B">
            <w:pPr>
              <w:jc w:val="center"/>
              <w:rPr>
                <w:rFonts w:ascii="Times New Roman" w:hAnsi="Times New Roman" w:cs="Times New Roman"/>
                <w:sz w:val="20"/>
                <w:szCs w:val="20"/>
              </w:rPr>
            </w:pPr>
            <w:r w:rsidRPr="001521DC">
              <w:rPr>
                <w:rFonts w:ascii="Times New Roman" w:hAnsi="Times New Roman" w:cs="Times New Roman"/>
                <w:sz w:val="20"/>
                <w:szCs w:val="20"/>
              </w:rPr>
              <w:t>22</w:t>
            </w:r>
          </w:p>
          <w:p w14:paraId="7D354486" w14:textId="0B625EF5" w:rsidR="001B05DB" w:rsidRPr="0038249B" w:rsidRDefault="001B05DB" w:rsidP="00A36A8B">
            <w:pPr>
              <w:jc w:val="center"/>
              <w:rPr>
                <w:rFonts w:ascii="Times New Roman" w:hAnsi="Times New Roman" w:cs="Times New Roman"/>
                <w:sz w:val="20"/>
                <w:szCs w:val="20"/>
              </w:rPr>
            </w:pPr>
            <w:r w:rsidRPr="0038249B">
              <w:rPr>
                <w:rFonts w:ascii="Times New Roman" w:hAnsi="Times New Roman" w:cs="Times New Roman"/>
                <w:sz w:val="20"/>
                <w:szCs w:val="20"/>
              </w:rPr>
              <w:t>44</w:t>
            </w:r>
          </w:p>
        </w:tc>
      </w:tr>
      <w:tr w:rsidR="001B05DB" w:rsidRPr="0038249B" w14:paraId="511D91F7" w14:textId="77777777" w:rsidTr="005238AC">
        <w:trPr>
          <w:cantSplit/>
          <w:trHeight w:val="11"/>
          <w:jc w:val="center"/>
        </w:trPr>
        <w:tc>
          <w:tcPr>
            <w:tcW w:w="1932" w:type="dxa"/>
          </w:tcPr>
          <w:p w14:paraId="4B0CBCD9" w14:textId="6BED2B4B" w:rsidR="001B05DB" w:rsidRPr="00183E58" w:rsidRDefault="001B05DB" w:rsidP="00183E58">
            <w:pPr>
              <w:jc w:val="center"/>
              <w:rPr>
                <w:rFonts w:ascii="Times New Roman" w:hAnsi="Times New Roman" w:cs="Times New Roman"/>
                <w:sz w:val="20"/>
                <w:szCs w:val="20"/>
              </w:rPr>
            </w:pPr>
            <w:r w:rsidRPr="00183E58">
              <w:rPr>
                <w:rFonts w:ascii="Times New Roman" w:hAnsi="Times New Roman" w:cs="Times New Roman"/>
                <w:sz w:val="20"/>
                <w:szCs w:val="20"/>
              </w:rPr>
              <w:fldChar w:fldCharType="begin" w:fldLock="1"/>
            </w:r>
            <w:r w:rsidRPr="00183E58">
              <w:rPr>
                <w:rFonts w:ascii="Times New Roman" w:hAnsi="Times New Roman" w:cs="Times New Roman"/>
                <w:sz w:val="20"/>
                <w:szCs w:val="20"/>
              </w:rPr>
              <w:instrText>ADDIN CSL_CITATION {"citationItems":[{"id":"ITEM-1","itemData":{"DOI":"10.18535/jmscr/v7i3.171","author":[{"dropping-particle":"","family":"Nair","given":"Sindhu K","non-dropping-particle":"","parse-names":false,"suffix":""},{"dropping-particle":"","family":"Gafoor","given":"Dr S. Abdul","non-dropping-particle":"","parse-names":false,"suffix":""}],"container-title":"journal of Medical Science And clinical Research","id":"ITEM-1","issue":"3","issued":{"date-parts":[["2019"]]},"page":"991-996","title":"Vitamin D level in cerebral palsy patients below 18 years","type":"article-journal","volume":"7"},"uris":["http://www.mendeley.com/documents/?uuid=48877b37-3317-4aad-a954-722a4fb4253a"]}],"mendeley":{"formattedCitation":"(NAIR; GAFOOR, 2019)","plainTextFormattedCitation":"(NAIR; GAFOOR, 2019)","previouslyFormattedCitation":"(NAIR; GAFOOR, 2019)"},"properties":{"noteIndex":0},"schema":"https://github.com/citation-style-language/schema/raw/master/csl-citation.json"}</w:instrText>
            </w:r>
            <w:r w:rsidRPr="00183E58">
              <w:rPr>
                <w:rFonts w:ascii="Times New Roman" w:hAnsi="Times New Roman" w:cs="Times New Roman"/>
                <w:sz w:val="20"/>
                <w:szCs w:val="20"/>
              </w:rPr>
              <w:fldChar w:fldCharType="separate"/>
            </w:r>
            <w:r w:rsidRPr="00183E58">
              <w:rPr>
                <w:rFonts w:ascii="Times New Roman" w:hAnsi="Times New Roman" w:cs="Times New Roman"/>
                <w:noProof/>
                <w:sz w:val="20"/>
                <w:szCs w:val="20"/>
              </w:rPr>
              <w:t>(NAIR; GAFOOR, 2019)</w:t>
            </w:r>
            <w:r w:rsidRPr="00183E58">
              <w:rPr>
                <w:rFonts w:ascii="Times New Roman" w:hAnsi="Times New Roman" w:cs="Times New Roman"/>
                <w:sz w:val="20"/>
                <w:szCs w:val="20"/>
              </w:rPr>
              <w:fldChar w:fldCharType="end"/>
            </w:r>
          </w:p>
        </w:tc>
        <w:tc>
          <w:tcPr>
            <w:tcW w:w="1612" w:type="dxa"/>
          </w:tcPr>
          <w:p w14:paraId="4CCEA71A" w14:textId="16AA864E" w:rsidR="001B05DB" w:rsidRPr="008C57FE" w:rsidRDefault="009A15E6" w:rsidP="009A15E6">
            <w:pPr>
              <w:jc w:val="center"/>
              <w:rPr>
                <w:rFonts w:ascii="Times New Roman" w:hAnsi="Times New Roman" w:cs="Times New Roman"/>
                <w:sz w:val="20"/>
                <w:szCs w:val="20"/>
              </w:rPr>
            </w:pPr>
            <w:r w:rsidRPr="008C57FE">
              <w:rPr>
                <w:rFonts w:ascii="Times New Roman" w:hAnsi="Times New Roman" w:cs="Times New Roman"/>
                <w:sz w:val="20"/>
                <w:szCs w:val="20"/>
              </w:rPr>
              <w:t>5 a 17 anos</w:t>
            </w:r>
          </w:p>
        </w:tc>
        <w:tc>
          <w:tcPr>
            <w:tcW w:w="3467" w:type="dxa"/>
          </w:tcPr>
          <w:p w14:paraId="42B5A55A" w14:textId="211564F4" w:rsidR="001B05DB" w:rsidRPr="0038249B" w:rsidRDefault="001B05DB" w:rsidP="00A36A8B">
            <w:pPr>
              <w:rPr>
                <w:rFonts w:ascii="Times New Roman" w:hAnsi="Times New Roman" w:cs="Times New Roman"/>
                <w:sz w:val="20"/>
                <w:szCs w:val="20"/>
              </w:rPr>
            </w:pPr>
            <w:r w:rsidRPr="0038249B">
              <w:rPr>
                <w:rFonts w:ascii="Times New Roman" w:hAnsi="Times New Roman" w:cs="Times New Roman"/>
                <w:sz w:val="20"/>
                <w:szCs w:val="20"/>
              </w:rPr>
              <w:t xml:space="preserve">Deficiência: :&lt; 20 </w:t>
            </w:r>
            <w:proofErr w:type="spellStart"/>
            <w:r w:rsidRPr="0038249B">
              <w:rPr>
                <w:rFonts w:ascii="Times New Roman" w:hAnsi="Times New Roman" w:cs="Times New Roman"/>
                <w:sz w:val="20"/>
                <w:szCs w:val="20"/>
              </w:rPr>
              <w:t>nmol</w:t>
            </w:r>
            <w:proofErr w:type="spellEnd"/>
            <w:r w:rsidRPr="0038249B">
              <w:rPr>
                <w:rFonts w:ascii="Times New Roman" w:hAnsi="Times New Roman" w:cs="Times New Roman"/>
                <w:sz w:val="20"/>
                <w:szCs w:val="20"/>
              </w:rPr>
              <w:t xml:space="preserve"> / L</w:t>
            </w:r>
          </w:p>
          <w:p w14:paraId="4D954356" w14:textId="0395115B" w:rsidR="001B05DB" w:rsidRPr="0038249B" w:rsidRDefault="001B05DB" w:rsidP="00A36A8B">
            <w:pPr>
              <w:rPr>
                <w:rFonts w:ascii="Times New Roman" w:hAnsi="Times New Roman" w:cs="Times New Roman"/>
                <w:sz w:val="20"/>
                <w:szCs w:val="20"/>
              </w:rPr>
            </w:pPr>
            <w:r w:rsidRPr="0038249B">
              <w:rPr>
                <w:rFonts w:ascii="Times New Roman" w:hAnsi="Times New Roman" w:cs="Times New Roman"/>
                <w:sz w:val="20"/>
                <w:szCs w:val="20"/>
              </w:rPr>
              <w:t xml:space="preserve">Insuficiência: :21 a 29 </w:t>
            </w:r>
            <w:proofErr w:type="spellStart"/>
            <w:r w:rsidRPr="0038249B">
              <w:rPr>
                <w:rFonts w:ascii="Times New Roman" w:hAnsi="Times New Roman" w:cs="Times New Roman"/>
                <w:sz w:val="20"/>
                <w:szCs w:val="20"/>
              </w:rPr>
              <w:t>nmol</w:t>
            </w:r>
            <w:proofErr w:type="spellEnd"/>
            <w:r w:rsidRPr="0038249B">
              <w:rPr>
                <w:rFonts w:ascii="Times New Roman" w:hAnsi="Times New Roman" w:cs="Times New Roman"/>
                <w:sz w:val="20"/>
                <w:szCs w:val="20"/>
              </w:rPr>
              <w:t xml:space="preserve"> /L</w:t>
            </w:r>
          </w:p>
          <w:p w14:paraId="72452BAE" w14:textId="77777777" w:rsidR="001B05DB" w:rsidRPr="0038249B" w:rsidRDefault="001B05DB" w:rsidP="00A36A8B">
            <w:pPr>
              <w:rPr>
                <w:rFonts w:ascii="Times New Roman" w:hAnsi="Times New Roman" w:cs="Times New Roman"/>
                <w:sz w:val="20"/>
                <w:szCs w:val="20"/>
              </w:rPr>
            </w:pPr>
            <w:r w:rsidRPr="0038249B">
              <w:rPr>
                <w:rFonts w:ascii="Times New Roman" w:hAnsi="Times New Roman" w:cs="Times New Roman"/>
                <w:sz w:val="20"/>
                <w:szCs w:val="20"/>
              </w:rPr>
              <w:t xml:space="preserve">Suficiência: &gt;30 </w:t>
            </w:r>
            <w:proofErr w:type="spellStart"/>
            <w:r w:rsidRPr="0038249B">
              <w:rPr>
                <w:rFonts w:ascii="Times New Roman" w:hAnsi="Times New Roman" w:cs="Times New Roman"/>
                <w:sz w:val="20"/>
                <w:szCs w:val="20"/>
              </w:rPr>
              <w:t>nmol</w:t>
            </w:r>
            <w:proofErr w:type="spellEnd"/>
            <w:r w:rsidRPr="0038249B">
              <w:rPr>
                <w:rFonts w:ascii="Times New Roman" w:hAnsi="Times New Roman" w:cs="Times New Roman"/>
                <w:sz w:val="20"/>
                <w:szCs w:val="20"/>
              </w:rPr>
              <w:t>/L</w:t>
            </w:r>
          </w:p>
        </w:tc>
        <w:tc>
          <w:tcPr>
            <w:tcW w:w="2060" w:type="dxa"/>
          </w:tcPr>
          <w:p w14:paraId="62A9B290" w14:textId="57E1A3BC" w:rsidR="001B05DB" w:rsidRPr="001521DC" w:rsidRDefault="001B05DB" w:rsidP="00A36A8B">
            <w:pPr>
              <w:jc w:val="center"/>
              <w:rPr>
                <w:rFonts w:ascii="Times New Roman" w:hAnsi="Times New Roman" w:cs="Times New Roman"/>
                <w:sz w:val="20"/>
                <w:szCs w:val="20"/>
              </w:rPr>
            </w:pPr>
            <w:r w:rsidRPr="001521DC">
              <w:rPr>
                <w:rFonts w:ascii="Times New Roman" w:hAnsi="Times New Roman" w:cs="Times New Roman"/>
                <w:sz w:val="20"/>
                <w:szCs w:val="20"/>
              </w:rPr>
              <w:t>55</w:t>
            </w:r>
          </w:p>
          <w:p w14:paraId="23341DFF" w14:textId="06535AA0" w:rsidR="001B05DB" w:rsidRPr="0038249B" w:rsidRDefault="001B05DB" w:rsidP="00A36A8B">
            <w:pPr>
              <w:jc w:val="center"/>
              <w:rPr>
                <w:rFonts w:ascii="Times New Roman" w:hAnsi="Times New Roman" w:cs="Times New Roman"/>
                <w:sz w:val="20"/>
                <w:szCs w:val="20"/>
              </w:rPr>
            </w:pPr>
            <w:r w:rsidRPr="0038249B">
              <w:rPr>
                <w:rFonts w:ascii="Times New Roman" w:hAnsi="Times New Roman" w:cs="Times New Roman"/>
                <w:sz w:val="20"/>
                <w:szCs w:val="20"/>
              </w:rPr>
              <w:t>35</w:t>
            </w:r>
          </w:p>
          <w:p w14:paraId="216F97C1" w14:textId="46C85689" w:rsidR="001B05DB" w:rsidRPr="0038249B" w:rsidRDefault="001B05DB" w:rsidP="00A36A8B">
            <w:pPr>
              <w:jc w:val="center"/>
              <w:rPr>
                <w:rFonts w:ascii="Times New Roman" w:hAnsi="Times New Roman" w:cs="Times New Roman"/>
                <w:sz w:val="20"/>
                <w:szCs w:val="20"/>
              </w:rPr>
            </w:pPr>
            <w:r w:rsidRPr="0038249B">
              <w:rPr>
                <w:rFonts w:ascii="Times New Roman" w:hAnsi="Times New Roman" w:cs="Times New Roman"/>
                <w:sz w:val="20"/>
                <w:szCs w:val="20"/>
              </w:rPr>
              <w:t>10</w:t>
            </w:r>
          </w:p>
        </w:tc>
      </w:tr>
      <w:tr w:rsidR="001B05DB" w:rsidRPr="0038249B" w14:paraId="6AED5640" w14:textId="77777777" w:rsidTr="005238AC">
        <w:trPr>
          <w:cantSplit/>
          <w:trHeight w:val="11"/>
          <w:jc w:val="center"/>
        </w:trPr>
        <w:tc>
          <w:tcPr>
            <w:tcW w:w="1932" w:type="dxa"/>
          </w:tcPr>
          <w:p w14:paraId="76759C2D" w14:textId="00756A18" w:rsidR="001B05DB" w:rsidRPr="00183E58" w:rsidRDefault="001B05DB" w:rsidP="00183E58">
            <w:pPr>
              <w:jc w:val="center"/>
              <w:rPr>
                <w:rFonts w:ascii="Times New Roman" w:hAnsi="Times New Roman" w:cs="Times New Roman"/>
                <w:noProof/>
                <w:sz w:val="20"/>
                <w:szCs w:val="20"/>
              </w:rPr>
            </w:pPr>
            <w:r w:rsidRPr="00183E58">
              <w:rPr>
                <w:rFonts w:ascii="Times New Roman" w:hAnsi="Times New Roman" w:cs="Times New Roman"/>
                <w:sz w:val="20"/>
                <w:szCs w:val="20"/>
              </w:rPr>
              <w:fldChar w:fldCharType="begin" w:fldLock="1"/>
            </w:r>
            <w:r w:rsidRPr="00183E58">
              <w:rPr>
                <w:rFonts w:ascii="Times New Roman" w:hAnsi="Times New Roman" w:cs="Times New Roman"/>
                <w:sz w:val="20"/>
                <w:szCs w:val="20"/>
              </w:rPr>
              <w:instrText>ADDIN CSL_CITATION {"citationItems":[{"id":"ITEM-1","itemData":{"author":[{"dropping-particle":"","family":"Zaragoza","given":"Citlalli Álvarez","non-dropping-particle":"","parse-names":false,"suffix":""},{"dropping-particle":"","family":"Vásquez-garibay","given":"Edgar Manuel","non-dropping-particle":"","parse-names":false,"suffix":""},{"dropping-particle":"","family":"Anaís","given":"Andrea","non-dropping-particle":"","parse-names":false,"suffix":""},{"dropping-particle":"","family":"Contreras","given":"García","non-dropping-particle":"","parse-names":false,"suffix":""},{"dropping-particle":"","family":"Haro","given":"Alfredo Larrosa","non-dropping-particle":"","parse-names":false,"suffix":""},{"dropping-particle":"","family":"Velarde","given":"Enrique Romero","non-dropping-particle":"","parse-names":false,"suffix":""},{"dropping-particle":"","family":"Rosas","given":"Alejandro Rea","non-dropping-particle":"","parse-names":false,"suffix":""},{"dropping-particle":"","family":"Luis","given":"José","non-dropping-particle":"","parse-names":false,"suffix":""},{"dropping-particle":"De","family":"Anda","given":"Cabrales","non-dropping-particle":"","parse-names":false,"suffix":""},{"dropping-particle":"","family":"Francisco","given":"Israel","non-dropping-particle":"","parse-names":false,"suffix":""},{"dropping-particle":"","family":"Olea","given":"Vega","non-dropping-particle":"","parse-names":false,"suffix":""}],"container-title":"Nutrición Hospitalaria","id":"ITEM-1","issue":"3","issued":{"date-parts":[["2019"]]},"page":"517 - 525","title":"Bone mineral density and biochemical and hormonal indicators in children with quadriplegic cerebral palsy","type":"article-journal","volume":"36"},"uris":["http://www.mendeley.com/documents/?uuid=481ceecd-0102-4341-bec0-575933a5a803"]}],"mendeley":{"formattedCitation":"(ZARAGOZA et al., 2019)","plainTextFormattedCitation":"(ZARAGOZA et al., 2019)","previouslyFormattedCitation":"(ZARAGOZA et al., 2019)"},"properties":{"noteIndex":0},"schema":"https://github.com/citation-style-language/schema/raw/master/csl-citation.json"}</w:instrText>
            </w:r>
            <w:r w:rsidRPr="00183E58">
              <w:rPr>
                <w:rFonts w:ascii="Times New Roman" w:hAnsi="Times New Roman" w:cs="Times New Roman"/>
                <w:sz w:val="20"/>
                <w:szCs w:val="20"/>
              </w:rPr>
              <w:fldChar w:fldCharType="separate"/>
            </w:r>
            <w:r w:rsidRPr="00183E58">
              <w:rPr>
                <w:rFonts w:ascii="Times New Roman" w:hAnsi="Times New Roman" w:cs="Times New Roman"/>
                <w:noProof/>
                <w:sz w:val="20"/>
                <w:szCs w:val="20"/>
              </w:rPr>
              <w:t>(ZARAGOZA et al., 2019)</w:t>
            </w:r>
            <w:r w:rsidRPr="00183E58">
              <w:rPr>
                <w:rFonts w:ascii="Times New Roman" w:hAnsi="Times New Roman" w:cs="Times New Roman"/>
                <w:sz w:val="20"/>
                <w:szCs w:val="20"/>
              </w:rPr>
              <w:fldChar w:fldCharType="end"/>
            </w:r>
          </w:p>
          <w:p w14:paraId="18F55652" w14:textId="0E5A4205" w:rsidR="001B05DB" w:rsidRPr="00183E58" w:rsidRDefault="001B05DB" w:rsidP="00183E58">
            <w:pPr>
              <w:jc w:val="center"/>
              <w:rPr>
                <w:rFonts w:ascii="Times New Roman" w:hAnsi="Times New Roman" w:cs="Times New Roman"/>
                <w:sz w:val="20"/>
                <w:szCs w:val="20"/>
              </w:rPr>
            </w:pPr>
          </w:p>
        </w:tc>
        <w:tc>
          <w:tcPr>
            <w:tcW w:w="1612" w:type="dxa"/>
          </w:tcPr>
          <w:p w14:paraId="65BCDC8F" w14:textId="06357138" w:rsidR="001B05DB" w:rsidRPr="008C57FE" w:rsidRDefault="009A15E6" w:rsidP="009A15E6">
            <w:pPr>
              <w:jc w:val="center"/>
              <w:rPr>
                <w:rFonts w:ascii="Times New Roman" w:hAnsi="Times New Roman" w:cs="Times New Roman"/>
                <w:sz w:val="20"/>
                <w:szCs w:val="20"/>
              </w:rPr>
            </w:pPr>
            <w:r w:rsidRPr="008C57FE">
              <w:rPr>
                <w:rFonts w:ascii="Times New Roman" w:hAnsi="Times New Roman" w:cs="Times New Roman"/>
                <w:sz w:val="20"/>
                <w:szCs w:val="20"/>
              </w:rPr>
              <w:t>6 a 18 anos</w:t>
            </w:r>
          </w:p>
        </w:tc>
        <w:tc>
          <w:tcPr>
            <w:tcW w:w="3467" w:type="dxa"/>
          </w:tcPr>
          <w:p w14:paraId="10217FFA" w14:textId="2EED6EB5" w:rsidR="001B05DB" w:rsidRPr="0038249B" w:rsidRDefault="001B05DB" w:rsidP="00A36A8B">
            <w:pPr>
              <w:rPr>
                <w:rFonts w:ascii="Times New Roman" w:hAnsi="Times New Roman" w:cs="Times New Roman"/>
                <w:sz w:val="20"/>
                <w:szCs w:val="20"/>
              </w:rPr>
            </w:pPr>
            <w:r w:rsidRPr="0038249B">
              <w:rPr>
                <w:rFonts w:ascii="Times New Roman" w:hAnsi="Times New Roman" w:cs="Times New Roman"/>
                <w:sz w:val="20"/>
                <w:szCs w:val="20"/>
              </w:rPr>
              <w:t xml:space="preserve">Deficiência:  &lt;30 </w:t>
            </w:r>
            <w:proofErr w:type="spellStart"/>
            <w:r w:rsidRPr="0038249B">
              <w:rPr>
                <w:rFonts w:ascii="Times New Roman" w:hAnsi="Times New Roman" w:cs="Times New Roman"/>
                <w:sz w:val="20"/>
                <w:szCs w:val="20"/>
              </w:rPr>
              <w:t>nmol</w:t>
            </w:r>
            <w:proofErr w:type="spellEnd"/>
            <w:r w:rsidRPr="0038249B">
              <w:rPr>
                <w:rFonts w:ascii="Times New Roman" w:hAnsi="Times New Roman" w:cs="Times New Roman"/>
                <w:sz w:val="20"/>
                <w:szCs w:val="20"/>
              </w:rPr>
              <w:t xml:space="preserve"> /L</w:t>
            </w:r>
          </w:p>
          <w:p w14:paraId="70374B7F" w14:textId="7A58576E" w:rsidR="001B05DB" w:rsidRPr="0038249B" w:rsidRDefault="001B05DB" w:rsidP="00A36A8B">
            <w:pPr>
              <w:rPr>
                <w:rFonts w:ascii="Times New Roman" w:hAnsi="Times New Roman" w:cs="Times New Roman"/>
                <w:sz w:val="20"/>
                <w:szCs w:val="20"/>
              </w:rPr>
            </w:pPr>
            <w:r w:rsidRPr="0038249B">
              <w:rPr>
                <w:rFonts w:ascii="Times New Roman" w:hAnsi="Times New Roman" w:cs="Times New Roman"/>
                <w:sz w:val="20"/>
                <w:szCs w:val="20"/>
              </w:rPr>
              <w:t xml:space="preserve">Insuficiência: 30-50 </w:t>
            </w:r>
            <w:proofErr w:type="spellStart"/>
            <w:r w:rsidRPr="0038249B">
              <w:rPr>
                <w:rFonts w:ascii="Times New Roman" w:hAnsi="Times New Roman" w:cs="Times New Roman"/>
                <w:sz w:val="20"/>
                <w:szCs w:val="20"/>
              </w:rPr>
              <w:t>nmol</w:t>
            </w:r>
            <w:proofErr w:type="spellEnd"/>
            <w:r w:rsidRPr="0038249B">
              <w:rPr>
                <w:rFonts w:ascii="Times New Roman" w:hAnsi="Times New Roman" w:cs="Times New Roman"/>
                <w:sz w:val="20"/>
                <w:szCs w:val="20"/>
              </w:rPr>
              <w:t xml:space="preserve"> /L</w:t>
            </w:r>
          </w:p>
          <w:p w14:paraId="14583163" w14:textId="72D89851" w:rsidR="001B05DB" w:rsidRPr="0038249B" w:rsidRDefault="001B05DB" w:rsidP="00A36A8B">
            <w:pPr>
              <w:rPr>
                <w:rFonts w:ascii="Times New Roman" w:hAnsi="Times New Roman" w:cs="Times New Roman"/>
                <w:sz w:val="20"/>
                <w:szCs w:val="20"/>
              </w:rPr>
            </w:pPr>
            <w:r w:rsidRPr="0038249B">
              <w:rPr>
                <w:rFonts w:ascii="Times New Roman" w:hAnsi="Times New Roman" w:cs="Times New Roman"/>
                <w:sz w:val="20"/>
                <w:szCs w:val="20"/>
              </w:rPr>
              <w:t xml:space="preserve">Suficiência: 51-75 </w:t>
            </w:r>
            <w:proofErr w:type="spellStart"/>
            <w:r w:rsidRPr="0038249B">
              <w:rPr>
                <w:rFonts w:ascii="Times New Roman" w:hAnsi="Times New Roman" w:cs="Times New Roman"/>
                <w:sz w:val="20"/>
                <w:szCs w:val="20"/>
              </w:rPr>
              <w:t>nmol</w:t>
            </w:r>
            <w:proofErr w:type="spellEnd"/>
            <w:r w:rsidRPr="0038249B">
              <w:rPr>
                <w:rFonts w:ascii="Times New Roman" w:hAnsi="Times New Roman" w:cs="Times New Roman"/>
                <w:sz w:val="20"/>
                <w:szCs w:val="20"/>
              </w:rPr>
              <w:t xml:space="preserve"> /L</w:t>
            </w:r>
          </w:p>
          <w:p w14:paraId="166B6C53" w14:textId="72AC1B00" w:rsidR="001B05DB" w:rsidRPr="0038249B" w:rsidRDefault="001B05DB" w:rsidP="00A36A8B">
            <w:pPr>
              <w:rPr>
                <w:rFonts w:ascii="Times New Roman" w:hAnsi="Times New Roman" w:cs="Times New Roman"/>
                <w:sz w:val="20"/>
                <w:szCs w:val="20"/>
              </w:rPr>
            </w:pPr>
            <w:r w:rsidRPr="0038249B">
              <w:rPr>
                <w:rFonts w:ascii="Times New Roman" w:hAnsi="Times New Roman" w:cs="Times New Roman"/>
                <w:sz w:val="20"/>
                <w:szCs w:val="20"/>
              </w:rPr>
              <w:t xml:space="preserve">Ótima: &gt; 75 </w:t>
            </w:r>
            <w:proofErr w:type="spellStart"/>
            <w:r w:rsidRPr="0038249B">
              <w:rPr>
                <w:rFonts w:ascii="Times New Roman" w:hAnsi="Times New Roman" w:cs="Times New Roman"/>
                <w:sz w:val="20"/>
                <w:szCs w:val="20"/>
              </w:rPr>
              <w:t>nmol</w:t>
            </w:r>
            <w:proofErr w:type="spellEnd"/>
            <w:r w:rsidRPr="0038249B">
              <w:rPr>
                <w:rFonts w:ascii="Times New Roman" w:hAnsi="Times New Roman" w:cs="Times New Roman"/>
                <w:sz w:val="20"/>
                <w:szCs w:val="20"/>
              </w:rPr>
              <w:t xml:space="preserve"> /L</w:t>
            </w:r>
          </w:p>
        </w:tc>
        <w:tc>
          <w:tcPr>
            <w:tcW w:w="2060" w:type="dxa"/>
          </w:tcPr>
          <w:p w14:paraId="2A8CA0AC" w14:textId="581549F2" w:rsidR="001B05DB" w:rsidRPr="001521DC" w:rsidRDefault="001B05DB" w:rsidP="001521DC">
            <w:pPr>
              <w:jc w:val="center"/>
              <w:rPr>
                <w:rFonts w:ascii="Times New Roman" w:hAnsi="Times New Roman" w:cs="Times New Roman"/>
                <w:sz w:val="20"/>
                <w:szCs w:val="20"/>
              </w:rPr>
            </w:pPr>
            <w:r w:rsidRPr="001521DC">
              <w:rPr>
                <w:rFonts w:ascii="Times New Roman" w:hAnsi="Times New Roman" w:cs="Times New Roman"/>
                <w:sz w:val="20"/>
                <w:szCs w:val="20"/>
              </w:rPr>
              <w:t xml:space="preserve">27,1           </w:t>
            </w:r>
            <w:r>
              <w:rPr>
                <w:rFonts w:ascii="Times New Roman" w:hAnsi="Times New Roman" w:cs="Times New Roman"/>
                <w:sz w:val="20"/>
                <w:szCs w:val="20"/>
              </w:rPr>
              <w:t xml:space="preserve"> </w:t>
            </w:r>
          </w:p>
          <w:p w14:paraId="6FFCAF03" w14:textId="74B4D326" w:rsidR="001B05DB" w:rsidRPr="00F659E1" w:rsidRDefault="001B05DB" w:rsidP="001521DC">
            <w:pPr>
              <w:jc w:val="center"/>
              <w:rPr>
                <w:rFonts w:ascii="Times New Roman" w:hAnsi="Times New Roman" w:cs="Times New Roman"/>
                <w:color w:val="FF0000"/>
                <w:sz w:val="20"/>
                <w:szCs w:val="20"/>
              </w:rPr>
            </w:pPr>
            <w:r w:rsidRPr="001521DC">
              <w:rPr>
                <w:rFonts w:ascii="Times New Roman" w:hAnsi="Times New Roman" w:cs="Times New Roman"/>
                <w:sz w:val="20"/>
                <w:szCs w:val="20"/>
              </w:rPr>
              <w:t xml:space="preserve">35,4          </w:t>
            </w:r>
            <w:r>
              <w:rPr>
                <w:rFonts w:ascii="Times New Roman" w:hAnsi="Times New Roman" w:cs="Times New Roman"/>
                <w:sz w:val="20"/>
                <w:szCs w:val="20"/>
              </w:rPr>
              <w:t xml:space="preserve"> </w:t>
            </w:r>
            <w:r w:rsidRPr="001521DC">
              <w:rPr>
                <w:rFonts w:ascii="Times New Roman" w:hAnsi="Times New Roman" w:cs="Times New Roman"/>
                <w:sz w:val="20"/>
                <w:szCs w:val="20"/>
              </w:rPr>
              <w:t xml:space="preserve"> </w:t>
            </w:r>
          </w:p>
          <w:p w14:paraId="4BD2FFB3" w14:textId="3C3913AE" w:rsidR="001B05DB" w:rsidRPr="0038249B" w:rsidRDefault="001B05DB" w:rsidP="001521DC">
            <w:pPr>
              <w:jc w:val="center"/>
              <w:rPr>
                <w:rFonts w:ascii="Times New Roman" w:hAnsi="Times New Roman" w:cs="Times New Roman"/>
                <w:sz w:val="20"/>
                <w:szCs w:val="20"/>
              </w:rPr>
            </w:pPr>
            <w:r w:rsidRPr="0038249B">
              <w:rPr>
                <w:rFonts w:ascii="Times New Roman" w:hAnsi="Times New Roman" w:cs="Times New Roman"/>
                <w:sz w:val="20"/>
                <w:szCs w:val="20"/>
              </w:rPr>
              <w:t xml:space="preserve">27,1          </w:t>
            </w:r>
            <w:r>
              <w:rPr>
                <w:rFonts w:ascii="Times New Roman" w:hAnsi="Times New Roman" w:cs="Times New Roman"/>
                <w:sz w:val="20"/>
                <w:szCs w:val="20"/>
              </w:rPr>
              <w:t xml:space="preserve">  </w:t>
            </w:r>
          </w:p>
          <w:p w14:paraId="78A8485F" w14:textId="4B1D4050" w:rsidR="001B05DB" w:rsidRPr="0038249B" w:rsidRDefault="001B05DB" w:rsidP="001521DC">
            <w:pPr>
              <w:jc w:val="center"/>
              <w:rPr>
                <w:rFonts w:ascii="Times New Roman" w:hAnsi="Times New Roman" w:cs="Times New Roman"/>
                <w:sz w:val="20"/>
                <w:szCs w:val="20"/>
              </w:rPr>
            </w:pPr>
            <w:r w:rsidRPr="0038249B">
              <w:rPr>
                <w:rFonts w:ascii="Times New Roman" w:hAnsi="Times New Roman" w:cs="Times New Roman"/>
                <w:sz w:val="20"/>
                <w:szCs w:val="20"/>
              </w:rPr>
              <w:t xml:space="preserve">10,4            </w:t>
            </w:r>
          </w:p>
        </w:tc>
      </w:tr>
      <w:tr w:rsidR="001B05DB" w:rsidRPr="0038249B" w14:paraId="6D91BA0B" w14:textId="77777777" w:rsidTr="005238AC">
        <w:trPr>
          <w:cantSplit/>
          <w:trHeight w:val="11"/>
          <w:jc w:val="center"/>
        </w:trPr>
        <w:tc>
          <w:tcPr>
            <w:tcW w:w="1932" w:type="dxa"/>
          </w:tcPr>
          <w:p w14:paraId="44C8144C" w14:textId="04A2D1BD" w:rsidR="001B05DB" w:rsidRPr="00183E58" w:rsidRDefault="001B05DB" w:rsidP="00183E58">
            <w:pPr>
              <w:jc w:val="center"/>
              <w:rPr>
                <w:rFonts w:ascii="Times New Roman" w:hAnsi="Times New Roman" w:cs="Times New Roman"/>
                <w:sz w:val="20"/>
                <w:szCs w:val="20"/>
              </w:rPr>
            </w:pPr>
            <w:r w:rsidRPr="00183E58">
              <w:rPr>
                <w:rFonts w:ascii="Times New Roman" w:hAnsi="Times New Roman" w:cs="Times New Roman"/>
                <w:sz w:val="20"/>
                <w:szCs w:val="20"/>
              </w:rPr>
              <w:fldChar w:fldCharType="begin" w:fldLock="1"/>
            </w:r>
            <w:r w:rsidRPr="00183E58">
              <w:rPr>
                <w:rFonts w:ascii="Times New Roman" w:hAnsi="Times New Roman" w:cs="Times New Roman"/>
                <w:sz w:val="20"/>
                <w:szCs w:val="20"/>
              </w:rPr>
              <w:instrText>ADDIN CSL_CITATION {"citationItems":[{"id":"ITEM-1","itemData":{"DOI":"10.1016/j.nrleng.2017.11.005","ISSN":"21735808","abstract":"© 2017 Sociedad Española de Neurología Introduction: Children and adolescents with cerebral palsy (CP) are at a greater risk of malnutrition and micronutrient deficiencies. Two deficiencies that we can study and treat are vitamin D (VD) and iron deficiencies; however, no studies have described these deficiencies in Chile. Objective: To describe the status of VD and iron in patients with CP and evaluate the relationship with certain factors associated with deficiencies of these micronutrients. Patients and method: We performed a descriptive, cross-sectional study including 69 patients aged between 2 and 21 years, from two public hospitals. Data were obtained on demographic variables, motor function, use of feeding tube, and pharmacological treatment. We performed a nutritional assessment according to patterns of CP and determined 25-hydroxyvitamin D (25[OH]D) ferritin, and albumin levels. Results: Patients’ mean age was 11.1 ± 4.9 years; 43 (62.3%) were male; and 56 (81.2%) had moderate-to-severe CP. Thirty-five (50.7%) used a nasogastric tube and/or gastrostomy; 15.4% were underweight and 73.8% were eutrophic, all with normal height. Twenty (29%) and 4 patients (6.2%) received VD and iron supplementation, respectively. Albuminaemia was normal in all patients. Mean 25(OH)D level was 24.3 ± 8.8 ng/mL; 33 patients (47.8%) had insufficiency and 21 (30.4%) deficiency; 36 patients (52.2%) had low ferritin levels. There was no association between 25(OH)D level and the other variables studied. Low ferritin levels were found to be associated with older age (P = .03), being male (P = .006), and feeding tube use (P = .006). Conclusions: The patients studied mainly had moderate-to-severe CP, with a high frequency of suboptimal VD values and low plasma ferritin; few patients received VD and/or iron supplementation. We suggest monitoring 25(OH)D and ferritin levels due to the high rate of deficiency of these nutrients; public hospitals should be equipped with drugs to treat these deficiencies.","author":[{"dropping-particle":"","family":"Roy","given":"C.","non-dropping-particle":"Le","parse-names":false,"suffix":""},{"dropping-particle":"","family":"Barja","given":"S.","non-dropping-particle":"","parse-names":false,"suffix":""},{"dropping-particle":"","family":"Sepúlveda","given":"C.","non-dropping-particle":"","parse-names":false,"suffix":""},{"dropping-particle":"","family":"Guzmán","given":"M.L.","non-dropping-particle":"","parse-names":false,"suffix":""},{"dropping-particle":"","family":"Olivarez","given":"M.","non-dropping-particle":"","parse-names":false,"suffix":""},{"dropping-particle":"","family":"Figueroa","given":"M.J.","non-dropping-particle":"","parse-names":false,"suffix":""},{"dropping-particle":"","family":"Alvarez","given":"M.","non-dropping-particle":"","parse-names":false,"suffix":""}],"container-title":"Neurología","id":"ITEM-1","issued":{"date-parts":[["2019"]]},"publisher":"Sociedad Española de Neurología","title":"Vitamin D and iron deficiencies in children and adolescents with cerebral palsy","type":"article-journal"},"uris":["http://www.mendeley.com/documents/?uuid=fe721d30-eaa9-4fa7-a035-ed0e978c4204"]}],"mendeley":{"formattedCitation":"(LE ROY et al., 2019)","plainTextFormattedCitation":"(LE ROY et al., 2019)","previouslyFormattedCitation":"(LE ROY et al., 2019)"},"properties":{"noteIndex":0},"schema":"https://github.com/citation-style-language/schema/raw/master/csl-citation.json"}</w:instrText>
            </w:r>
            <w:r w:rsidRPr="00183E58">
              <w:rPr>
                <w:rFonts w:ascii="Times New Roman" w:hAnsi="Times New Roman" w:cs="Times New Roman"/>
                <w:sz w:val="20"/>
                <w:szCs w:val="20"/>
              </w:rPr>
              <w:fldChar w:fldCharType="separate"/>
            </w:r>
            <w:r w:rsidRPr="00183E58">
              <w:rPr>
                <w:rFonts w:ascii="Times New Roman" w:hAnsi="Times New Roman" w:cs="Times New Roman"/>
                <w:noProof/>
                <w:sz w:val="20"/>
                <w:szCs w:val="20"/>
              </w:rPr>
              <w:t>(LE ROY et al., 2019)</w:t>
            </w:r>
            <w:r w:rsidRPr="00183E58">
              <w:rPr>
                <w:rFonts w:ascii="Times New Roman" w:hAnsi="Times New Roman" w:cs="Times New Roman"/>
                <w:sz w:val="20"/>
                <w:szCs w:val="20"/>
              </w:rPr>
              <w:fldChar w:fldCharType="end"/>
            </w:r>
          </w:p>
        </w:tc>
        <w:tc>
          <w:tcPr>
            <w:tcW w:w="1612" w:type="dxa"/>
          </w:tcPr>
          <w:p w14:paraId="049AD2FE" w14:textId="57CB17FE" w:rsidR="001B05DB" w:rsidRPr="008C57FE" w:rsidRDefault="009A15E6" w:rsidP="009A15E6">
            <w:pPr>
              <w:jc w:val="center"/>
              <w:rPr>
                <w:rFonts w:ascii="Times New Roman" w:hAnsi="Times New Roman" w:cs="Times New Roman"/>
                <w:sz w:val="20"/>
                <w:szCs w:val="20"/>
              </w:rPr>
            </w:pPr>
            <w:r w:rsidRPr="008C57FE">
              <w:rPr>
                <w:rFonts w:ascii="Times New Roman" w:hAnsi="Times New Roman" w:cs="Times New Roman"/>
                <w:sz w:val="20"/>
                <w:szCs w:val="20"/>
              </w:rPr>
              <w:t>2 e 21 anos</w:t>
            </w:r>
          </w:p>
        </w:tc>
        <w:tc>
          <w:tcPr>
            <w:tcW w:w="3467" w:type="dxa"/>
          </w:tcPr>
          <w:p w14:paraId="4D30140F" w14:textId="19664CBE" w:rsidR="001B05DB" w:rsidRPr="0038249B" w:rsidRDefault="001B05DB" w:rsidP="00F448AC">
            <w:pPr>
              <w:rPr>
                <w:rFonts w:ascii="Times New Roman" w:hAnsi="Times New Roman" w:cs="Times New Roman"/>
                <w:sz w:val="20"/>
                <w:szCs w:val="20"/>
              </w:rPr>
            </w:pPr>
            <w:r w:rsidRPr="0038249B">
              <w:rPr>
                <w:rFonts w:ascii="Times New Roman" w:hAnsi="Times New Roman" w:cs="Times New Roman"/>
                <w:sz w:val="20"/>
                <w:szCs w:val="20"/>
              </w:rPr>
              <w:t xml:space="preserve">Deficiência:    &lt;20 </w:t>
            </w:r>
            <w:proofErr w:type="spellStart"/>
            <w:r w:rsidRPr="0038249B">
              <w:rPr>
                <w:rFonts w:ascii="Times New Roman" w:hAnsi="Times New Roman" w:cs="Times New Roman"/>
                <w:sz w:val="20"/>
                <w:szCs w:val="20"/>
              </w:rPr>
              <w:t>ng</w:t>
            </w:r>
            <w:proofErr w:type="spellEnd"/>
            <w:r w:rsidRPr="0038249B">
              <w:rPr>
                <w:rFonts w:ascii="Times New Roman" w:hAnsi="Times New Roman" w:cs="Times New Roman"/>
                <w:sz w:val="20"/>
                <w:szCs w:val="20"/>
              </w:rPr>
              <w:t xml:space="preserve"> / </w:t>
            </w:r>
            <w:proofErr w:type="spellStart"/>
            <w:r w:rsidRPr="0038249B">
              <w:rPr>
                <w:rFonts w:ascii="Times New Roman" w:hAnsi="Times New Roman" w:cs="Times New Roman"/>
                <w:sz w:val="20"/>
                <w:szCs w:val="20"/>
              </w:rPr>
              <w:t>mL</w:t>
            </w:r>
            <w:proofErr w:type="spellEnd"/>
          </w:p>
          <w:p w14:paraId="487E5ABE" w14:textId="08C78C28" w:rsidR="001B05DB" w:rsidRPr="0038249B" w:rsidRDefault="001B05DB" w:rsidP="00F448AC">
            <w:pPr>
              <w:rPr>
                <w:rFonts w:ascii="Times New Roman" w:hAnsi="Times New Roman" w:cs="Times New Roman"/>
                <w:sz w:val="20"/>
                <w:szCs w:val="20"/>
              </w:rPr>
            </w:pPr>
            <w:r w:rsidRPr="0038249B">
              <w:rPr>
                <w:rFonts w:ascii="Times New Roman" w:hAnsi="Times New Roman" w:cs="Times New Roman"/>
                <w:sz w:val="20"/>
                <w:szCs w:val="20"/>
              </w:rPr>
              <w:t xml:space="preserve">Insuficiência:  21 a 29 </w:t>
            </w:r>
            <w:proofErr w:type="spellStart"/>
            <w:r w:rsidRPr="0038249B">
              <w:rPr>
                <w:rFonts w:ascii="Times New Roman" w:hAnsi="Times New Roman" w:cs="Times New Roman"/>
                <w:sz w:val="20"/>
                <w:szCs w:val="20"/>
              </w:rPr>
              <w:t>ng</w:t>
            </w:r>
            <w:proofErr w:type="spellEnd"/>
            <w:r w:rsidRPr="0038249B">
              <w:rPr>
                <w:rFonts w:ascii="Times New Roman" w:hAnsi="Times New Roman" w:cs="Times New Roman"/>
                <w:sz w:val="20"/>
                <w:szCs w:val="20"/>
              </w:rPr>
              <w:t xml:space="preserve"> /</w:t>
            </w:r>
            <w:proofErr w:type="spellStart"/>
            <w:r w:rsidRPr="0038249B">
              <w:rPr>
                <w:rFonts w:ascii="Times New Roman" w:hAnsi="Times New Roman" w:cs="Times New Roman"/>
                <w:sz w:val="20"/>
                <w:szCs w:val="20"/>
              </w:rPr>
              <w:t>mL</w:t>
            </w:r>
            <w:proofErr w:type="spellEnd"/>
          </w:p>
          <w:p w14:paraId="4ABF8A71" w14:textId="326BF5F4" w:rsidR="001B05DB" w:rsidRPr="0038249B" w:rsidRDefault="001B05DB" w:rsidP="00F448AC">
            <w:pPr>
              <w:rPr>
                <w:rFonts w:ascii="Times New Roman" w:hAnsi="Times New Roman" w:cs="Times New Roman"/>
                <w:sz w:val="20"/>
                <w:szCs w:val="20"/>
              </w:rPr>
            </w:pPr>
            <w:r w:rsidRPr="0038249B">
              <w:rPr>
                <w:rFonts w:ascii="Times New Roman" w:hAnsi="Times New Roman" w:cs="Times New Roman"/>
                <w:sz w:val="20"/>
                <w:szCs w:val="20"/>
              </w:rPr>
              <w:t xml:space="preserve">Suficiência: ≥ 30 </w:t>
            </w:r>
            <w:proofErr w:type="spellStart"/>
            <w:r w:rsidRPr="0038249B">
              <w:rPr>
                <w:rFonts w:ascii="Times New Roman" w:hAnsi="Times New Roman" w:cs="Times New Roman"/>
                <w:sz w:val="20"/>
                <w:szCs w:val="20"/>
              </w:rPr>
              <w:t>ng</w:t>
            </w:r>
            <w:proofErr w:type="spellEnd"/>
            <w:r w:rsidRPr="0038249B">
              <w:rPr>
                <w:rFonts w:ascii="Times New Roman" w:hAnsi="Times New Roman" w:cs="Times New Roman"/>
                <w:sz w:val="20"/>
                <w:szCs w:val="20"/>
              </w:rPr>
              <w:t xml:space="preserve"> / </w:t>
            </w:r>
            <w:proofErr w:type="spellStart"/>
            <w:r w:rsidRPr="0038249B">
              <w:rPr>
                <w:rFonts w:ascii="Times New Roman" w:hAnsi="Times New Roman" w:cs="Times New Roman"/>
                <w:sz w:val="20"/>
                <w:szCs w:val="20"/>
              </w:rPr>
              <w:t>mL</w:t>
            </w:r>
            <w:proofErr w:type="spellEnd"/>
          </w:p>
        </w:tc>
        <w:tc>
          <w:tcPr>
            <w:tcW w:w="2060" w:type="dxa"/>
          </w:tcPr>
          <w:p w14:paraId="72C75DB1" w14:textId="6167D2A9" w:rsidR="001B05DB" w:rsidRPr="001521DC" w:rsidRDefault="001B05DB" w:rsidP="00F448AC">
            <w:pPr>
              <w:jc w:val="center"/>
              <w:rPr>
                <w:rFonts w:ascii="Times New Roman" w:hAnsi="Times New Roman" w:cs="Times New Roman"/>
                <w:sz w:val="20"/>
                <w:szCs w:val="20"/>
              </w:rPr>
            </w:pPr>
            <w:r w:rsidRPr="001521DC">
              <w:rPr>
                <w:rFonts w:ascii="Times New Roman" w:hAnsi="Times New Roman" w:cs="Times New Roman"/>
                <w:sz w:val="20"/>
                <w:szCs w:val="20"/>
              </w:rPr>
              <w:t xml:space="preserve">30,4 </w:t>
            </w:r>
          </w:p>
          <w:p w14:paraId="65623726" w14:textId="6709750F" w:rsidR="001B05DB" w:rsidRPr="001521DC" w:rsidRDefault="001B05DB" w:rsidP="00F448AC">
            <w:pPr>
              <w:jc w:val="center"/>
              <w:rPr>
                <w:rFonts w:ascii="Times New Roman" w:hAnsi="Times New Roman" w:cs="Times New Roman"/>
                <w:sz w:val="20"/>
                <w:szCs w:val="20"/>
              </w:rPr>
            </w:pPr>
            <w:r w:rsidRPr="001521DC">
              <w:rPr>
                <w:rFonts w:ascii="Times New Roman" w:hAnsi="Times New Roman" w:cs="Times New Roman"/>
                <w:sz w:val="20"/>
                <w:szCs w:val="20"/>
              </w:rPr>
              <w:t>47,8</w:t>
            </w:r>
          </w:p>
          <w:p w14:paraId="312EDAEE" w14:textId="70DCAE37" w:rsidR="001B05DB" w:rsidRPr="0038249B" w:rsidRDefault="001B05DB" w:rsidP="00F448AC">
            <w:pPr>
              <w:jc w:val="center"/>
              <w:rPr>
                <w:rFonts w:ascii="Times New Roman" w:hAnsi="Times New Roman" w:cs="Times New Roman"/>
                <w:sz w:val="20"/>
                <w:szCs w:val="20"/>
              </w:rPr>
            </w:pPr>
            <w:r w:rsidRPr="001521DC">
              <w:rPr>
                <w:rFonts w:ascii="Times New Roman" w:hAnsi="Times New Roman" w:cs="Times New Roman"/>
                <w:sz w:val="20"/>
                <w:szCs w:val="20"/>
              </w:rPr>
              <w:t>21,8</w:t>
            </w:r>
          </w:p>
        </w:tc>
      </w:tr>
      <w:tr w:rsidR="001B05DB" w:rsidRPr="0038249B" w14:paraId="740192AB" w14:textId="77777777" w:rsidTr="005238AC">
        <w:trPr>
          <w:cantSplit/>
          <w:trHeight w:val="11"/>
          <w:jc w:val="center"/>
        </w:trPr>
        <w:tc>
          <w:tcPr>
            <w:tcW w:w="1932" w:type="dxa"/>
          </w:tcPr>
          <w:p w14:paraId="213702D9" w14:textId="6E5C50F6" w:rsidR="001B05DB" w:rsidRPr="00183E58" w:rsidRDefault="001B05DB" w:rsidP="00183E58">
            <w:pPr>
              <w:jc w:val="center"/>
              <w:rPr>
                <w:rFonts w:ascii="Times New Roman" w:hAnsi="Times New Roman" w:cs="Times New Roman"/>
                <w:sz w:val="20"/>
                <w:szCs w:val="20"/>
              </w:rPr>
            </w:pPr>
            <w:r w:rsidRPr="00183E58">
              <w:rPr>
                <w:rFonts w:ascii="Times New Roman" w:hAnsi="Times New Roman" w:cs="Times New Roman"/>
                <w:sz w:val="20"/>
                <w:szCs w:val="20"/>
              </w:rPr>
              <w:fldChar w:fldCharType="begin" w:fldLock="1"/>
            </w:r>
            <w:r w:rsidR="00F562F4">
              <w:rPr>
                <w:rFonts w:ascii="Times New Roman" w:hAnsi="Times New Roman" w:cs="Times New Roman"/>
                <w:sz w:val="20"/>
                <w:szCs w:val="20"/>
              </w:rPr>
              <w:instrText>ADDIN CSL_CITATION {"citationItems":[{"id":"ITEM-1","itemData":{"DOI":"10.14744/nci.2017.09581","ISSN":"21484902","abstract":"OBJECTIVE: We aimed to investigate the vitamin D status of children with cerebral palsy (CP). METHODS: A total of 274 children (111 females and 163 males), aged between 1 and 19 years with CP, who came to the Physical Medicine and Rehabilitation, Pediatric Rehabilitation Outpatient Clinic between October 2013 and March 2017, were included in our study. Demographics, data concerning the details of each child's comorbidity, the Gross Motor Function Classification System (GMFCS), and Manual Ability Classification System (MACS) scores were recorded. The serum 25 hydroxy vitamin D [25(OH)D], calcium (Ca), phosphate (P), and parathormone (PTH) levels were also recorded. RESULTS: The mean age of children with CP was 7.59+/-6.09 years. The distribution by the CP type was 24.8% spastic unilateral, 59.8% spastic bilateral, 1.4% dyskinetic, 0.7% ataxic, 7.6% mixed, and 5.1% unclassified. The serum 25(OH)D levels of the 235 children with CP were measured. There were 79 children at the 25(OH)D level &lt;/=12 ng/ml, regarded as vitamin D deficiency; 62 children at the 25(OH)D level 12-&lt;/=20 ng/ml, considered as vitamin D insufficiency, 43 children at the 25(OH)D level 20-&lt;/=30 ng/ml, considered as vitamin D sufficiency, and 15 children at the 25(OH)D level &gt;30 ng/ml. A total of 36 children were already taking vitamin D supplements. There was a significant correlation between the 25(OH)D levels and GMFCS and MACS levels and associated impairments such as the epilepsy history, intellectual delay, teeth problems, and growth retardation (p&lt;0.05). CONCLUSION: Our results revealed that the children with CP who are not ambulatory (GMFCS levels IV-V) and have associated impairments were prone to vitamin D deficiency, and thus should be checked for vitamin D.","author":[{"dropping-particle":"","family":"Akpınar","given":"Pınar","non-dropping-particle":"","parse-names":false,"suffix":""}],"container-title":"Northern Clinics of Istanbul","id":"ITEM-1","issue":"4","issued":{"date-parts":[["2018"]]},"page":"341-347","title":"Vitamin D status of children with cerebral palsy: Should vitamin D levels be checked in children with cerebral palsy?","type":"article-journal","volume":"5"},"uris":["http://www.mendeley.com/documents/?uuid=2b03a637-7cbd-4bb5-9c25-5a6c7b4de611"]}],"mendeley":{"formattedCitation":"(AKPINAR, 2018)","plainTextFormattedCitation":"(AKPINAR, 2018)","previouslyFormattedCitation":"(AKPINAR, 2018)"},"properties":{"noteIndex":0},"schema":"https://github.com/citation-style-language/schema/raw/master/csl-citation.json"}</w:instrText>
            </w:r>
            <w:r w:rsidRPr="00183E58">
              <w:rPr>
                <w:rFonts w:ascii="Times New Roman" w:hAnsi="Times New Roman" w:cs="Times New Roman"/>
                <w:sz w:val="20"/>
                <w:szCs w:val="20"/>
              </w:rPr>
              <w:fldChar w:fldCharType="separate"/>
            </w:r>
            <w:r w:rsidRPr="00183E58">
              <w:rPr>
                <w:rFonts w:ascii="Times New Roman" w:hAnsi="Times New Roman" w:cs="Times New Roman"/>
                <w:noProof/>
                <w:sz w:val="20"/>
                <w:szCs w:val="20"/>
              </w:rPr>
              <w:t>(AKPINAR, 2018)</w:t>
            </w:r>
            <w:r w:rsidRPr="00183E58">
              <w:rPr>
                <w:rFonts w:ascii="Times New Roman" w:hAnsi="Times New Roman" w:cs="Times New Roman"/>
                <w:sz w:val="20"/>
                <w:szCs w:val="20"/>
              </w:rPr>
              <w:fldChar w:fldCharType="end"/>
            </w:r>
          </w:p>
          <w:p w14:paraId="5674F408" w14:textId="7554EBF1" w:rsidR="001B05DB" w:rsidRPr="00183E58" w:rsidRDefault="001B05DB" w:rsidP="00183E58">
            <w:pPr>
              <w:jc w:val="center"/>
              <w:rPr>
                <w:rFonts w:ascii="Times New Roman" w:hAnsi="Times New Roman" w:cs="Times New Roman"/>
                <w:sz w:val="20"/>
                <w:szCs w:val="20"/>
              </w:rPr>
            </w:pPr>
          </w:p>
          <w:p w14:paraId="41E9C3FA" w14:textId="77777777" w:rsidR="001B05DB" w:rsidRPr="00183E58" w:rsidRDefault="001B05DB" w:rsidP="00183E58">
            <w:pPr>
              <w:jc w:val="center"/>
              <w:rPr>
                <w:rFonts w:ascii="Times New Roman" w:hAnsi="Times New Roman" w:cs="Times New Roman"/>
                <w:noProof/>
                <w:sz w:val="20"/>
                <w:szCs w:val="20"/>
              </w:rPr>
            </w:pPr>
          </w:p>
        </w:tc>
        <w:tc>
          <w:tcPr>
            <w:tcW w:w="1612" w:type="dxa"/>
          </w:tcPr>
          <w:p w14:paraId="1F646212" w14:textId="4491BE4D" w:rsidR="001B05DB" w:rsidRPr="008C57FE" w:rsidRDefault="009A15E6" w:rsidP="009A15E6">
            <w:pPr>
              <w:jc w:val="center"/>
              <w:rPr>
                <w:rFonts w:ascii="Times New Roman" w:hAnsi="Times New Roman" w:cs="Times New Roman"/>
                <w:sz w:val="20"/>
                <w:szCs w:val="20"/>
              </w:rPr>
            </w:pPr>
            <w:r w:rsidRPr="008C57FE">
              <w:rPr>
                <w:rFonts w:ascii="Times New Roman" w:hAnsi="Times New Roman" w:cs="Times New Roman"/>
                <w:sz w:val="20"/>
                <w:szCs w:val="20"/>
              </w:rPr>
              <w:t>1 e 19 anos</w:t>
            </w:r>
          </w:p>
        </w:tc>
        <w:tc>
          <w:tcPr>
            <w:tcW w:w="3467" w:type="dxa"/>
          </w:tcPr>
          <w:p w14:paraId="5FC2AF65" w14:textId="429D1611" w:rsidR="001B05DB" w:rsidRPr="0038249B" w:rsidRDefault="001B05DB" w:rsidP="00F46A44">
            <w:pPr>
              <w:rPr>
                <w:rFonts w:ascii="Times New Roman" w:hAnsi="Times New Roman" w:cs="Times New Roman"/>
                <w:sz w:val="20"/>
                <w:szCs w:val="20"/>
              </w:rPr>
            </w:pPr>
            <w:r w:rsidRPr="0038249B">
              <w:rPr>
                <w:rFonts w:ascii="Times New Roman" w:hAnsi="Times New Roman" w:cs="Times New Roman"/>
                <w:sz w:val="20"/>
                <w:szCs w:val="20"/>
              </w:rPr>
              <w:t xml:space="preserve">Deficiência: ≤12 </w:t>
            </w:r>
            <w:proofErr w:type="spellStart"/>
            <w:r w:rsidRPr="0038249B">
              <w:rPr>
                <w:rFonts w:ascii="Times New Roman" w:hAnsi="Times New Roman" w:cs="Times New Roman"/>
                <w:sz w:val="20"/>
                <w:szCs w:val="20"/>
              </w:rPr>
              <w:t>ng</w:t>
            </w:r>
            <w:proofErr w:type="spellEnd"/>
            <w:r w:rsidRPr="0038249B">
              <w:rPr>
                <w:rFonts w:ascii="Times New Roman" w:hAnsi="Times New Roman" w:cs="Times New Roman"/>
                <w:sz w:val="20"/>
                <w:szCs w:val="20"/>
              </w:rPr>
              <w:t xml:space="preserve"> / </w:t>
            </w:r>
            <w:proofErr w:type="spellStart"/>
            <w:r w:rsidRPr="0038249B">
              <w:rPr>
                <w:rFonts w:ascii="Times New Roman" w:hAnsi="Times New Roman" w:cs="Times New Roman"/>
                <w:sz w:val="20"/>
                <w:szCs w:val="20"/>
              </w:rPr>
              <w:t>mL</w:t>
            </w:r>
            <w:proofErr w:type="spellEnd"/>
          </w:p>
          <w:p w14:paraId="4ACFA363" w14:textId="606F89DD" w:rsidR="001B05DB" w:rsidRPr="0038249B" w:rsidRDefault="001B05DB" w:rsidP="00F46A44">
            <w:pPr>
              <w:rPr>
                <w:rFonts w:ascii="Times New Roman" w:hAnsi="Times New Roman" w:cs="Times New Roman"/>
                <w:sz w:val="20"/>
                <w:szCs w:val="20"/>
              </w:rPr>
            </w:pPr>
            <w:r w:rsidRPr="0038249B">
              <w:rPr>
                <w:rFonts w:ascii="Times New Roman" w:hAnsi="Times New Roman" w:cs="Times New Roman"/>
                <w:sz w:val="20"/>
                <w:szCs w:val="20"/>
              </w:rPr>
              <w:t xml:space="preserve">Insuficiência: </w:t>
            </w:r>
            <w:r>
              <w:rPr>
                <w:rFonts w:ascii="Times New Roman" w:hAnsi="Times New Roman" w:cs="Times New Roman"/>
                <w:sz w:val="20"/>
                <w:szCs w:val="20"/>
              </w:rPr>
              <w:t>1</w:t>
            </w:r>
            <w:r w:rsidRPr="0038249B">
              <w:rPr>
                <w:rFonts w:ascii="Times New Roman" w:hAnsi="Times New Roman" w:cs="Times New Roman"/>
                <w:sz w:val="20"/>
                <w:szCs w:val="20"/>
              </w:rPr>
              <w:t xml:space="preserve">2 a 20 </w:t>
            </w:r>
            <w:proofErr w:type="spellStart"/>
            <w:r w:rsidRPr="0038249B">
              <w:rPr>
                <w:rFonts w:ascii="Times New Roman" w:hAnsi="Times New Roman" w:cs="Times New Roman"/>
                <w:sz w:val="20"/>
                <w:szCs w:val="20"/>
              </w:rPr>
              <w:t>ng</w:t>
            </w:r>
            <w:proofErr w:type="spellEnd"/>
            <w:r w:rsidRPr="0038249B">
              <w:rPr>
                <w:rFonts w:ascii="Times New Roman" w:hAnsi="Times New Roman" w:cs="Times New Roman"/>
                <w:sz w:val="20"/>
                <w:szCs w:val="20"/>
              </w:rPr>
              <w:t xml:space="preserve"> / </w:t>
            </w:r>
            <w:proofErr w:type="spellStart"/>
            <w:r w:rsidRPr="0038249B">
              <w:rPr>
                <w:rFonts w:ascii="Times New Roman" w:hAnsi="Times New Roman" w:cs="Times New Roman"/>
                <w:sz w:val="20"/>
                <w:szCs w:val="20"/>
              </w:rPr>
              <w:t>mL</w:t>
            </w:r>
            <w:proofErr w:type="spellEnd"/>
          </w:p>
          <w:p w14:paraId="1ABBE3CF" w14:textId="6EAD8262" w:rsidR="001B05DB" w:rsidRPr="0038249B" w:rsidRDefault="001B05DB" w:rsidP="00F46A44">
            <w:pPr>
              <w:rPr>
                <w:rFonts w:ascii="Times New Roman" w:hAnsi="Times New Roman" w:cs="Times New Roman"/>
                <w:sz w:val="20"/>
                <w:szCs w:val="20"/>
              </w:rPr>
            </w:pPr>
            <w:r w:rsidRPr="0038249B">
              <w:rPr>
                <w:rFonts w:ascii="Times New Roman" w:hAnsi="Times New Roman" w:cs="Times New Roman"/>
                <w:sz w:val="20"/>
                <w:szCs w:val="20"/>
              </w:rPr>
              <w:t xml:space="preserve">Suficiência: 20≤30 </w:t>
            </w:r>
            <w:proofErr w:type="spellStart"/>
            <w:r w:rsidRPr="0038249B">
              <w:rPr>
                <w:rFonts w:ascii="Times New Roman" w:hAnsi="Times New Roman" w:cs="Times New Roman"/>
                <w:sz w:val="20"/>
                <w:szCs w:val="20"/>
              </w:rPr>
              <w:t>ng</w:t>
            </w:r>
            <w:proofErr w:type="spellEnd"/>
            <w:r w:rsidRPr="0038249B">
              <w:rPr>
                <w:rFonts w:ascii="Times New Roman" w:hAnsi="Times New Roman" w:cs="Times New Roman"/>
                <w:sz w:val="20"/>
                <w:szCs w:val="20"/>
              </w:rPr>
              <w:t xml:space="preserve"> / </w:t>
            </w:r>
            <w:proofErr w:type="spellStart"/>
            <w:r w:rsidRPr="0038249B">
              <w:rPr>
                <w:rFonts w:ascii="Times New Roman" w:hAnsi="Times New Roman" w:cs="Times New Roman"/>
                <w:sz w:val="20"/>
                <w:szCs w:val="20"/>
              </w:rPr>
              <w:t>mL</w:t>
            </w:r>
            <w:proofErr w:type="spellEnd"/>
          </w:p>
          <w:p w14:paraId="401022CA" w14:textId="6B02AE9F" w:rsidR="001B05DB" w:rsidRPr="0038249B" w:rsidRDefault="001B05DB" w:rsidP="00F46A44">
            <w:pPr>
              <w:rPr>
                <w:rFonts w:ascii="Times New Roman" w:hAnsi="Times New Roman" w:cs="Times New Roman"/>
                <w:sz w:val="20"/>
                <w:szCs w:val="20"/>
              </w:rPr>
            </w:pPr>
            <w:r w:rsidRPr="0038249B">
              <w:rPr>
                <w:rFonts w:ascii="Times New Roman" w:hAnsi="Times New Roman" w:cs="Times New Roman"/>
                <w:sz w:val="20"/>
                <w:szCs w:val="20"/>
              </w:rPr>
              <w:t xml:space="preserve">Nível &gt; 30 </w:t>
            </w:r>
            <w:proofErr w:type="spellStart"/>
            <w:r w:rsidRPr="0038249B">
              <w:rPr>
                <w:rFonts w:ascii="Times New Roman" w:hAnsi="Times New Roman" w:cs="Times New Roman"/>
                <w:sz w:val="20"/>
                <w:szCs w:val="20"/>
              </w:rPr>
              <w:t>ng</w:t>
            </w:r>
            <w:proofErr w:type="spellEnd"/>
            <w:r w:rsidRPr="0038249B">
              <w:rPr>
                <w:rFonts w:ascii="Times New Roman" w:hAnsi="Times New Roman" w:cs="Times New Roman"/>
                <w:sz w:val="20"/>
                <w:szCs w:val="20"/>
              </w:rPr>
              <w:t xml:space="preserve"> /</w:t>
            </w:r>
            <w:proofErr w:type="spellStart"/>
            <w:r w:rsidRPr="0038249B">
              <w:rPr>
                <w:rFonts w:ascii="Times New Roman" w:hAnsi="Times New Roman" w:cs="Times New Roman"/>
                <w:sz w:val="20"/>
                <w:szCs w:val="20"/>
              </w:rPr>
              <w:t>mL</w:t>
            </w:r>
            <w:proofErr w:type="spellEnd"/>
          </w:p>
        </w:tc>
        <w:tc>
          <w:tcPr>
            <w:tcW w:w="2060" w:type="dxa"/>
          </w:tcPr>
          <w:p w14:paraId="0B744EFE" w14:textId="5D147827" w:rsidR="001B05DB" w:rsidRPr="001521DC" w:rsidRDefault="001B05DB" w:rsidP="00F46A44">
            <w:pPr>
              <w:jc w:val="center"/>
              <w:rPr>
                <w:rFonts w:ascii="Times New Roman" w:hAnsi="Times New Roman" w:cs="Times New Roman"/>
                <w:sz w:val="20"/>
                <w:szCs w:val="20"/>
              </w:rPr>
            </w:pPr>
            <w:r w:rsidRPr="001521DC">
              <w:rPr>
                <w:rFonts w:ascii="Times New Roman" w:hAnsi="Times New Roman" w:cs="Times New Roman"/>
                <w:sz w:val="20"/>
                <w:szCs w:val="20"/>
              </w:rPr>
              <w:t>33,6</w:t>
            </w:r>
          </w:p>
          <w:p w14:paraId="08072584" w14:textId="755259E4" w:rsidR="001B05DB" w:rsidRPr="001521DC" w:rsidRDefault="001B05DB" w:rsidP="00F46A44">
            <w:pPr>
              <w:jc w:val="center"/>
              <w:rPr>
                <w:rFonts w:ascii="Times New Roman" w:hAnsi="Times New Roman" w:cs="Times New Roman"/>
                <w:sz w:val="20"/>
                <w:szCs w:val="20"/>
              </w:rPr>
            </w:pPr>
            <w:r w:rsidRPr="001521DC">
              <w:rPr>
                <w:rFonts w:ascii="Times New Roman" w:hAnsi="Times New Roman" w:cs="Times New Roman"/>
                <w:sz w:val="20"/>
                <w:szCs w:val="20"/>
              </w:rPr>
              <w:t>26,4</w:t>
            </w:r>
          </w:p>
          <w:p w14:paraId="1536F81F" w14:textId="734F64FB" w:rsidR="001B05DB" w:rsidRPr="0038249B" w:rsidRDefault="001B05DB" w:rsidP="00F46A44">
            <w:pPr>
              <w:jc w:val="center"/>
              <w:rPr>
                <w:rFonts w:ascii="Times New Roman" w:hAnsi="Times New Roman" w:cs="Times New Roman"/>
                <w:sz w:val="20"/>
                <w:szCs w:val="20"/>
              </w:rPr>
            </w:pPr>
            <w:r w:rsidRPr="0038249B">
              <w:rPr>
                <w:rFonts w:ascii="Times New Roman" w:hAnsi="Times New Roman" w:cs="Times New Roman"/>
                <w:sz w:val="20"/>
                <w:szCs w:val="20"/>
              </w:rPr>
              <w:t>18,3</w:t>
            </w:r>
          </w:p>
          <w:p w14:paraId="46137879" w14:textId="47E1D36A" w:rsidR="001B05DB" w:rsidRPr="0038249B" w:rsidRDefault="001B05DB" w:rsidP="003479CC">
            <w:pPr>
              <w:jc w:val="center"/>
              <w:rPr>
                <w:rFonts w:ascii="Times New Roman" w:hAnsi="Times New Roman" w:cs="Times New Roman"/>
                <w:sz w:val="20"/>
                <w:szCs w:val="20"/>
              </w:rPr>
            </w:pPr>
            <w:r w:rsidRPr="0038249B">
              <w:rPr>
                <w:rFonts w:ascii="Times New Roman" w:hAnsi="Times New Roman" w:cs="Times New Roman"/>
                <w:sz w:val="20"/>
                <w:szCs w:val="20"/>
              </w:rPr>
              <w:t>6,4</w:t>
            </w:r>
          </w:p>
        </w:tc>
      </w:tr>
      <w:tr w:rsidR="001B05DB" w:rsidRPr="0038249B" w14:paraId="425290F9" w14:textId="77777777" w:rsidTr="005238AC">
        <w:trPr>
          <w:cantSplit/>
          <w:trHeight w:val="11"/>
          <w:jc w:val="center"/>
        </w:trPr>
        <w:tc>
          <w:tcPr>
            <w:tcW w:w="1932" w:type="dxa"/>
          </w:tcPr>
          <w:p w14:paraId="0430CE24" w14:textId="58CF9180" w:rsidR="001B05DB" w:rsidRPr="00183E58" w:rsidRDefault="001B05DB" w:rsidP="00183E58">
            <w:pPr>
              <w:jc w:val="center"/>
              <w:rPr>
                <w:rFonts w:ascii="Times New Roman" w:hAnsi="Times New Roman" w:cs="Times New Roman"/>
                <w:sz w:val="20"/>
                <w:szCs w:val="20"/>
              </w:rPr>
            </w:pPr>
            <w:r w:rsidRPr="00183E58">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{"citationItems":[{"id":"ITEM-1","itemData":{"DOI":"10.22037/ijcn.v12i2.14376","ISSN":"20080700","PMID":"29696043","abstract":"Objective This study aimed to compare the prevalence of 25-hydroxy vitamin D deficiency in cerebral palsied (CP) with healthy control children and evaluate possible correlations between serum level of 25-hydroxy vitamin D and severity of CP and motor function. Materials &amp; Methods In this case-control study, serum levels of 25-hydroxy vitamin D were evaluated in 65 children with CP and compared with 65 healthy children referred to Tabriz Pediatric Hospital, Tabriz, northwestern Iran in 2015. Blood samples were taken to measure levels of 25-hydroxy vitamin D, calcium, phosphorus and alkaline phosphatase. Regarding 25-hydroxy vitamin D levels, patients were classified as sufficient (≥30 ng/ml), insufficient (20-30 ng/ml) and deficient (&lt;20 ng/ml). Results Mean 25-hydroxy vitamin D levels were 28.03±24.2 ng/ml in patients and 30±1.94 ng/ml in control group. 25-hydroxy vitamin D deficiency was seen in 44.6% of CP and 18.5% of healthy children. There was no significant difference in 25-hydroxy vitamin D levels between boys and girls, CP types and use of antiepileptics in case group. There was significant negative correlation between age and 25-hydroxy vitamin D levels (P=0.007). The correlation between 25-hydroxy vitamin D and Gross Motor Function Classification System was not significant. Conclusion 25-hydroxy vitamin D deficiency is common in children with CP in comparison with healthy children. There was significant negative correlation between age and 25-hydroxy vitamin D levels. Routine measurement of 25-hydroxy vitamin D levels and its proper treatment is recommended to prevent its deficiency and subsequent consequences.","author":[{"dropping-particle":"","family":"Toopchizadeh","given":"Vahideh","non-dropping-particle":"","parse-names":false,"suffix":""},{"dropping-particle":"","family":"Barzegar","given":"Mohammad","non-dropping-particle":"","parse-names":false,"suffix":""},{"dropping-particle":"","family":"Masoumi","given":"Shahab","non-dropping-particle":"","parse-names":false,"suffix":""},{"dropping-particle":"","family":"Jahanjoo","given":"Fatemeh","non-dropping-particle":"","parse-names":false,"suffix":""}],"container-title":"Iranian Journal of Child Neurology","id":"ITEM-1","issue":"2","issued":{"date-parts":[["2018"]]},"page":"25-32","title":"Prevalence of vitamin D deficiency and associated risk factors in Cerebral palsy, a study in north-west of Iran","type":"article-journal","volume":"12"},"uris":["http://www.mendeley.com/documents/?uuid=091970fe-d4f0-4ba8-ad15-0884597d3aed"]}],"mendeley":{"formattedCitation":"(TOOPCHIZADEH et al., 2018)","plainTextFormattedCitation":"(TOOPCHIZADEH et al., 2018)","previouslyFormattedCitation":"(TOOPCHIZADEH et al., 2018)"},"properties":{"noteIndex":0},"schema":"https://github.com/citation-style-language/schema/raw/master/csl-citation.json"}</w:instrText>
            </w:r>
            <w:r w:rsidRPr="00183E58">
              <w:rPr>
                <w:rFonts w:ascii="Times New Roman" w:hAnsi="Times New Roman" w:cs="Times New Roman"/>
                <w:sz w:val="20"/>
                <w:szCs w:val="20"/>
              </w:rPr>
              <w:fldChar w:fldCharType="separate"/>
            </w:r>
            <w:r w:rsidRPr="00183E58">
              <w:rPr>
                <w:rFonts w:ascii="Times New Roman" w:hAnsi="Times New Roman" w:cs="Times New Roman"/>
                <w:noProof/>
                <w:sz w:val="20"/>
                <w:szCs w:val="20"/>
              </w:rPr>
              <w:t>(TOOPCHIZADEH et al., 2018)</w:t>
            </w:r>
            <w:r w:rsidRPr="00183E58">
              <w:rPr>
                <w:rFonts w:ascii="Times New Roman" w:hAnsi="Times New Roman" w:cs="Times New Roman"/>
                <w:sz w:val="20"/>
                <w:szCs w:val="20"/>
              </w:rPr>
              <w:fldChar w:fldCharType="end"/>
            </w:r>
          </w:p>
        </w:tc>
        <w:tc>
          <w:tcPr>
            <w:tcW w:w="1612" w:type="dxa"/>
          </w:tcPr>
          <w:p w14:paraId="195346DC" w14:textId="57519F96" w:rsidR="001B05DB" w:rsidRPr="008C57FE" w:rsidRDefault="009A15E6" w:rsidP="009A15E6">
            <w:pPr>
              <w:jc w:val="center"/>
              <w:rPr>
                <w:rFonts w:ascii="Times New Roman" w:hAnsi="Times New Roman" w:cs="Times New Roman"/>
                <w:sz w:val="20"/>
                <w:szCs w:val="20"/>
              </w:rPr>
            </w:pPr>
            <w:r w:rsidRPr="008C57FE">
              <w:rPr>
                <w:rFonts w:ascii="Times New Roman" w:hAnsi="Times New Roman" w:cs="Times New Roman"/>
                <w:sz w:val="20"/>
                <w:szCs w:val="20"/>
              </w:rPr>
              <w:t>3 a 11 anos</w:t>
            </w:r>
          </w:p>
        </w:tc>
        <w:tc>
          <w:tcPr>
            <w:tcW w:w="3467" w:type="dxa"/>
          </w:tcPr>
          <w:p w14:paraId="055AEC2C" w14:textId="6913027C" w:rsidR="001B05DB" w:rsidRDefault="001B05DB" w:rsidP="00F46A44">
            <w:pPr>
              <w:rPr>
                <w:rFonts w:ascii="Times New Roman" w:hAnsi="Times New Roman" w:cs="Times New Roman"/>
                <w:sz w:val="20"/>
                <w:szCs w:val="20"/>
              </w:rPr>
            </w:pPr>
            <w:r w:rsidRPr="0038249B">
              <w:rPr>
                <w:rFonts w:ascii="Times New Roman" w:hAnsi="Times New Roman" w:cs="Times New Roman"/>
                <w:sz w:val="20"/>
                <w:szCs w:val="20"/>
              </w:rPr>
              <w:t xml:space="preserve">Deficiência: </w:t>
            </w:r>
            <w:r w:rsidRPr="00F46A44">
              <w:rPr>
                <w:rFonts w:ascii="Times New Roman" w:hAnsi="Times New Roman" w:cs="Times New Roman"/>
                <w:sz w:val="20"/>
                <w:szCs w:val="20"/>
              </w:rPr>
              <w:t xml:space="preserve"> &lt;20 </w:t>
            </w:r>
            <w:proofErr w:type="spellStart"/>
            <w:r w:rsidRPr="00F46A44">
              <w:rPr>
                <w:rFonts w:ascii="Times New Roman" w:hAnsi="Times New Roman" w:cs="Times New Roman"/>
                <w:sz w:val="20"/>
                <w:szCs w:val="20"/>
              </w:rPr>
              <w:t>ng</w:t>
            </w:r>
            <w:proofErr w:type="spellEnd"/>
            <w:r w:rsidRPr="00F46A44">
              <w:rPr>
                <w:rFonts w:ascii="Times New Roman" w:hAnsi="Times New Roman" w:cs="Times New Roman"/>
                <w:sz w:val="20"/>
                <w:szCs w:val="20"/>
              </w:rPr>
              <w:t xml:space="preserve"> / </w:t>
            </w:r>
            <w:proofErr w:type="spellStart"/>
            <w:r w:rsidRPr="00F46A44">
              <w:rPr>
                <w:rFonts w:ascii="Times New Roman" w:hAnsi="Times New Roman" w:cs="Times New Roman"/>
                <w:sz w:val="20"/>
                <w:szCs w:val="20"/>
              </w:rPr>
              <w:t>mL</w:t>
            </w:r>
            <w:proofErr w:type="spellEnd"/>
          </w:p>
          <w:p w14:paraId="1C46789D" w14:textId="6BCCB261" w:rsidR="001B05DB" w:rsidRPr="0038249B" w:rsidRDefault="001B05DB" w:rsidP="00F46A44">
            <w:pPr>
              <w:rPr>
                <w:rFonts w:ascii="Times New Roman" w:hAnsi="Times New Roman" w:cs="Times New Roman"/>
                <w:sz w:val="20"/>
                <w:szCs w:val="20"/>
              </w:rPr>
            </w:pPr>
            <w:r w:rsidRPr="0038249B">
              <w:rPr>
                <w:rFonts w:ascii="Times New Roman" w:hAnsi="Times New Roman" w:cs="Times New Roman"/>
                <w:sz w:val="20"/>
                <w:szCs w:val="20"/>
              </w:rPr>
              <w:t xml:space="preserve">Insuficiência: </w:t>
            </w:r>
            <w:r w:rsidRPr="00F46A44">
              <w:rPr>
                <w:rFonts w:ascii="Times New Roman" w:hAnsi="Times New Roman" w:cs="Times New Roman"/>
                <w:sz w:val="20"/>
                <w:szCs w:val="20"/>
              </w:rPr>
              <w:t xml:space="preserve">20-30 </w:t>
            </w:r>
            <w:proofErr w:type="spellStart"/>
            <w:r w:rsidRPr="00F46A44">
              <w:rPr>
                <w:rFonts w:ascii="Times New Roman" w:hAnsi="Times New Roman" w:cs="Times New Roman"/>
                <w:sz w:val="20"/>
                <w:szCs w:val="20"/>
              </w:rPr>
              <w:t>ng</w:t>
            </w:r>
            <w:proofErr w:type="spellEnd"/>
            <w:r w:rsidRPr="00F46A44">
              <w:rPr>
                <w:rFonts w:ascii="Times New Roman" w:hAnsi="Times New Roman" w:cs="Times New Roman"/>
                <w:sz w:val="20"/>
                <w:szCs w:val="20"/>
              </w:rPr>
              <w:t xml:space="preserve"> / </w:t>
            </w:r>
            <w:proofErr w:type="spellStart"/>
            <w:r w:rsidRPr="00F46A44">
              <w:rPr>
                <w:rFonts w:ascii="Times New Roman" w:hAnsi="Times New Roman" w:cs="Times New Roman"/>
                <w:sz w:val="20"/>
                <w:szCs w:val="20"/>
              </w:rPr>
              <w:t>mL</w:t>
            </w:r>
            <w:proofErr w:type="spellEnd"/>
          </w:p>
          <w:p w14:paraId="5F60E749" w14:textId="1BA78706" w:rsidR="001B05DB" w:rsidRPr="0038249B" w:rsidRDefault="001B05DB" w:rsidP="00F46A44">
            <w:pPr>
              <w:rPr>
                <w:rFonts w:ascii="Times New Roman" w:hAnsi="Times New Roman" w:cs="Times New Roman"/>
                <w:sz w:val="20"/>
                <w:szCs w:val="20"/>
              </w:rPr>
            </w:pPr>
            <w:r w:rsidRPr="0038249B">
              <w:rPr>
                <w:rFonts w:ascii="Times New Roman" w:hAnsi="Times New Roman" w:cs="Times New Roman"/>
                <w:sz w:val="20"/>
                <w:szCs w:val="20"/>
              </w:rPr>
              <w:t>Suficiência</w:t>
            </w:r>
            <w:r>
              <w:rPr>
                <w:rFonts w:ascii="Times New Roman" w:hAnsi="Times New Roman" w:cs="Times New Roman"/>
                <w:sz w:val="20"/>
                <w:szCs w:val="20"/>
              </w:rPr>
              <w:t xml:space="preserve">: </w:t>
            </w:r>
            <w:r w:rsidRPr="00F46A44">
              <w:rPr>
                <w:rFonts w:ascii="Times New Roman" w:hAnsi="Times New Roman" w:cs="Times New Roman"/>
                <w:sz w:val="20"/>
                <w:szCs w:val="20"/>
              </w:rPr>
              <w:t xml:space="preserve">≥30 </w:t>
            </w:r>
            <w:proofErr w:type="spellStart"/>
            <w:r w:rsidRPr="00F46A44">
              <w:rPr>
                <w:rFonts w:ascii="Times New Roman" w:hAnsi="Times New Roman" w:cs="Times New Roman"/>
                <w:sz w:val="20"/>
                <w:szCs w:val="20"/>
              </w:rPr>
              <w:t>ng</w:t>
            </w:r>
            <w:proofErr w:type="spellEnd"/>
            <w:r w:rsidRPr="00F46A44">
              <w:rPr>
                <w:rFonts w:ascii="Times New Roman" w:hAnsi="Times New Roman" w:cs="Times New Roman"/>
                <w:sz w:val="20"/>
                <w:szCs w:val="20"/>
              </w:rPr>
              <w:t xml:space="preserve"> / </w:t>
            </w:r>
            <w:proofErr w:type="spellStart"/>
            <w:r w:rsidRPr="00F46A44">
              <w:rPr>
                <w:rFonts w:ascii="Times New Roman" w:hAnsi="Times New Roman" w:cs="Times New Roman"/>
                <w:sz w:val="20"/>
                <w:szCs w:val="20"/>
              </w:rPr>
              <w:t>mL</w:t>
            </w:r>
            <w:proofErr w:type="spellEnd"/>
          </w:p>
        </w:tc>
        <w:tc>
          <w:tcPr>
            <w:tcW w:w="2060" w:type="dxa"/>
          </w:tcPr>
          <w:p w14:paraId="5FDC2675" w14:textId="3D786871" w:rsidR="001B05DB" w:rsidRPr="001521DC" w:rsidRDefault="001B05DB" w:rsidP="00F46A44">
            <w:pPr>
              <w:jc w:val="center"/>
              <w:rPr>
                <w:rFonts w:ascii="Times New Roman" w:hAnsi="Times New Roman" w:cs="Times New Roman"/>
                <w:sz w:val="20"/>
                <w:szCs w:val="20"/>
              </w:rPr>
            </w:pPr>
            <w:r w:rsidRPr="001521DC">
              <w:rPr>
                <w:rFonts w:ascii="Times New Roman" w:hAnsi="Times New Roman" w:cs="Times New Roman"/>
                <w:sz w:val="20"/>
                <w:szCs w:val="20"/>
              </w:rPr>
              <w:t>44, 6</w:t>
            </w:r>
          </w:p>
          <w:p w14:paraId="6CFC8444" w14:textId="4F4B9636" w:rsidR="001B05DB" w:rsidRPr="001521DC" w:rsidRDefault="001B05DB" w:rsidP="00F46A44">
            <w:pPr>
              <w:jc w:val="center"/>
              <w:rPr>
                <w:rFonts w:ascii="Times New Roman" w:hAnsi="Times New Roman" w:cs="Times New Roman"/>
                <w:sz w:val="20"/>
                <w:szCs w:val="20"/>
              </w:rPr>
            </w:pPr>
            <w:r w:rsidRPr="001521DC">
              <w:rPr>
                <w:rFonts w:ascii="Times New Roman" w:hAnsi="Times New Roman" w:cs="Times New Roman"/>
                <w:sz w:val="20"/>
                <w:szCs w:val="20"/>
              </w:rPr>
              <w:t>23,1</w:t>
            </w:r>
          </w:p>
          <w:p w14:paraId="2395BBCE" w14:textId="21CE6352" w:rsidR="001B05DB" w:rsidRPr="00F659E1" w:rsidRDefault="001B05DB" w:rsidP="00F46A44">
            <w:pPr>
              <w:jc w:val="center"/>
              <w:rPr>
                <w:rFonts w:ascii="Times New Roman" w:hAnsi="Times New Roman" w:cs="Times New Roman"/>
                <w:color w:val="FF0000"/>
                <w:sz w:val="20"/>
                <w:szCs w:val="20"/>
              </w:rPr>
            </w:pPr>
            <w:r w:rsidRPr="001521DC">
              <w:rPr>
                <w:rFonts w:ascii="Times New Roman" w:hAnsi="Times New Roman" w:cs="Times New Roman"/>
                <w:sz w:val="20"/>
                <w:szCs w:val="20"/>
              </w:rPr>
              <w:t>30, 8</w:t>
            </w:r>
          </w:p>
        </w:tc>
      </w:tr>
      <w:tr w:rsidR="001B05DB" w:rsidRPr="0038249B" w14:paraId="375CD620" w14:textId="77777777" w:rsidTr="005238AC">
        <w:trPr>
          <w:cantSplit/>
          <w:trHeight w:val="683"/>
          <w:jc w:val="center"/>
        </w:trPr>
        <w:tc>
          <w:tcPr>
            <w:tcW w:w="1932" w:type="dxa"/>
          </w:tcPr>
          <w:p w14:paraId="6DCA7220" w14:textId="55EC63CD" w:rsidR="001B05DB" w:rsidRPr="00183E58" w:rsidRDefault="001B05DB" w:rsidP="00183E58">
            <w:pPr>
              <w:jc w:val="center"/>
              <w:rPr>
                <w:rFonts w:ascii="Times New Roman" w:hAnsi="Times New Roman" w:cs="Times New Roman"/>
                <w:sz w:val="20"/>
                <w:szCs w:val="20"/>
              </w:rPr>
            </w:pPr>
            <w:r w:rsidRPr="00183E58">
              <w:rPr>
                <w:rFonts w:ascii="Times New Roman" w:hAnsi="Times New Roman" w:cs="Times New Roman"/>
                <w:sz w:val="20"/>
                <w:szCs w:val="20"/>
              </w:rPr>
              <w:fldChar w:fldCharType="begin" w:fldLock="1"/>
            </w:r>
            <w:r w:rsidRPr="00183E58">
              <w:rPr>
                <w:rFonts w:ascii="Times New Roman" w:hAnsi="Times New Roman" w:cs="Times New Roman"/>
                <w:sz w:val="20"/>
                <w:szCs w:val="20"/>
              </w:rPr>
              <w:instrText>ADDIN CSL_CITATION {"citationItems":[{"id":"ITEM-1","itemData":{"DOI":"10.4103/ijpc.ijpc_52_17","ISSN":"0973-1075","abstract":"INTRODUCTION: Cerebral palsy (CP) refers to a spectrum of disorders causing physical and intellectual morbidity. Macro and micro nutrient deficiencies often contribute to the subnormal physical and mental capabilities of them. OBJECTIVES: To assess the growth, nutritional status, physical and functional ability and quality of life in cerebral palsy children and to determine any relation with their gross motor and functional capabilities. METHOD: The study was conducted at a Tertiary Care Centre, with the participants in the age group 1-16 years. A pretested evaluation tool was prepared which included Anthropometric measurements, tests for hemoglobin and Vitamin D estimation, evidence of micronutrient deficiencies, Dietary patterns, Epidemiological factors, Functional assessment using GMFM (Gross Motor Function Measure ) and FIM (Functional Independent Measurement) scales and Quality of life (QOL) assessment. The data was statistically analyzed. RESULTS: Out of the 41 children, 30 had quadriplegia, 3 had hemiplegia and 8 had spastic diplegia. 34 (82.9%) were severely underweight, 35 (85.4%) had severe stunting and 38 (92.7%) had severe wasting. Micronutrient deficiencies were noted like vitamin B complex deficiency in 37 (90.2%), vitamin A deficiency in 31 (75.6%), low vitamin D levels in 27 (65.9%) and insufficient levels in 9 (22%), severe anemia in 5 (12.2%) and moderate anemia in 26 (63.4%). The gross motor and functional scores were suboptimum in the majority of patients and the care givers had significant impairment in the quality of life. CONCLUSION: Majority of children with cerebral palsy had multiple nutritional deficiencies, gross motor and functional disabilities. QOL of the children and their care givers were suboptimum. A comprehensive package that address dietary intake, correction of micronutrient deficiencies especially anemia and vitamin D deficiency, physical and emotional support is recommended for the wellbeing of the affected children.","author":[{"dropping-particle":"","family":"Hariprasad","given":"PG","non-dropping-particle":"","parse-names":false,"suffix":""},{"dropping-particle":"","family":"Elizabeth","given":"KE","non-dropping-particle":"","parse-names":false,"suffix":""},{"dropping-particle":"","family":"Valamparampil","given":"MathewJ","non-dropping-particle":"","parse-names":false,"suffix":""},{"dropping-particle":"","family":"Kalpana","given":"D","non-dropping-particle":"","parse-names":false,"suffix":""},{"dropping-particle":"","family":"Anish","given":"TS","non-dropping-particle":"","parse-names":false,"suffix":""}],"container-title":"Indian Journal of Palliative Care","id":"ITEM-1","issue":"4","issued":{"date-parts":[["2017"]]},"page":"387","title":"Multiple nutritional deficiencies in cerebral palsy compounding physical and functional impairments","type":"article-journal","volume":"23"},"uris":["http://www.mendeley.com/documents/?uuid=d77cf5d4-2e45-4a8c-821c-c55f1130ce3f"]}],"mendeley":{"formattedCitation":"(HARIPRASAD et al., 2017)","plainTextFormattedCitation":"(HARIPRASAD et al., 2017)","previouslyFormattedCitation":"(HARIPRASAD et al., 2017)"},"properties":{"noteIndex":0},"schema":"https://github.com/citation-style-language/schema/raw/master/csl-citation.json"}</w:instrText>
            </w:r>
            <w:r w:rsidRPr="00183E58">
              <w:rPr>
                <w:rFonts w:ascii="Times New Roman" w:hAnsi="Times New Roman" w:cs="Times New Roman"/>
                <w:sz w:val="20"/>
                <w:szCs w:val="20"/>
              </w:rPr>
              <w:fldChar w:fldCharType="separate"/>
            </w:r>
            <w:r w:rsidRPr="00183E58">
              <w:rPr>
                <w:rFonts w:ascii="Times New Roman" w:hAnsi="Times New Roman" w:cs="Times New Roman"/>
                <w:noProof/>
                <w:sz w:val="20"/>
                <w:szCs w:val="20"/>
              </w:rPr>
              <w:t>(HARIPRASAD et al., 2017)</w:t>
            </w:r>
            <w:r w:rsidRPr="00183E58">
              <w:rPr>
                <w:rFonts w:ascii="Times New Roman" w:hAnsi="Times New Roman" w:cs="Times New Roman"/>
                <w:sz w:val="20"/>
                <w:szCs w:val="20"/>
              </w:rPr>
              <w:fldChar w:fldCharType="end"/>
            </w:r>
          </w:p>
        </w:tc>
        <w:tc>
          <w:tcPr>
            <w:tcW w:w="1612" w:type="dxa"/>
          </w:tcPr>
          <w:p w14:paraId="5BB1B25E" w14:textId="74C44E1D" w:rsidR="001B05DB" w:rsidRPr="008C57FE" w:rsidRDefault="009A15E6" w:rsidP="009A15E6">
            <w:pPr>
              <w:jc w:val="center"/>
              <w:rPr>
                <w:rFonts w:ascii="Times New Roman" w:hAnsi="Times New Roman" w:cs="Times New Roman"/>
                <w:sz w:val="20"/>
                <w:szCs w:val="20"/>
              </w:rPr>
            </w:pPr>
            <w:r w:rsidRPr="008C57FE">
              <w:rPr>
                <w:rFonts w:ascii="Times New Roman" w:hAnsi="Times New Roman" w:cs="Times New Roman"/>
                <w:sz w:val="20"/>
                <w:szCs w:val="20"/>
              </w:rPr>
              <w:t>1 a 16 anos</w:t>
            </w:r>
          </w:p>
        </w:tc>
        <w:tc>
          <w:tcPr>
            <w:tcW w:w="3467" w:type="dxa"/>
          </w:tcPr>
          <w:p w14:paraId="0A893A54" w14:textId="2AD22A68" w:rsidR="001B05DB" w:rsidRPr="0038249B" w:rsidRDefault="001B05DB" w:rsidP="00A36A8B">
            <w:pPr>
              <w:rPr>
                <w:rFonts w:ascii="Times New Roman" w:hAnsi="Times New Roman" w:cs="Times New Roman"/>
                <w:sz w:val="20"/>
                <w:szCs w:val="20"/>
              </w:rPr>
            </w:pPr>
            <w:r w:rsidRPr="0038249B">
              <w:rPr>
                <w:rFonts w:ascii="Times New Roman" w:hAnsi="Times New Roman" w:cs="Times New Roman"/>
                <w:sz w:val="20"/>
                <w:szCs w:val="20"/>
              </w:rPr>
              <w:t xml:space="preserve">Deficiência: &lt;20 </w:t>
            </w:r>
            <w:proofErr w:type="spellStart"/>
            <w:r w:rsidRPr="0038249B">
              <w:rPr>
                <w:rFonts w:ascii="Times New Roman" w:hAnsi="Times New Roman" w:cs="Times New Roman"/>
                <w:sz w:val="20"/>
                <w:szCs w:val="20"/>
              </w:rPr>
              <w:t>ng</w:t>
            </w:r>
            <w:proofErr w:type="spellEnd"/>
            <w:r w:rsidRPr="0038249B">
              <w:rPr>
                <w:rFonts w:ascii="Times New Roman" w:hAnsi="Times New Roman" w:cs="Times New Roman"/>
                <w:sz w:val="20"/>
                <w:szCs w:val="20"/>
              </w:rPr>
              <w:t xml:space="preserve"> / </w:t>
            </w:r>
            <w:proofErr w:type="spellStart"/>
            <w:r w:rsidRPr="0038249B">
              <w:rPr>
                <w:rFonts w:ascii="Times New Roman" w:hAnsi="Times New Roman" w:cs="Times New Roman"/>
                <w:sz w:val="20"/>
                <w:szCs w:val="20"/>
              </w:rPr>
              <w:t>mL</w:t>
            </w:r>
            <w:proofErr w:type="spellEnd"/>
          </w:p>
          <w:p w14:paraId="4D8F5001" w14:textId="1505CFEB" w:rsidR="001B05DB" w:rsidRPr="0038249B" w:rsidRDefault="001B05DB" w:rsidP="00A36A8B">
            <w:pPr>
              <w:rPr>
                <w:rFonts w:ascii="Times New Roman" w:hAnsi="Times New Roman" w:cs="Times New Roman"/>
                <w:sz w:val="20"/>
                <w:szCs w:val="20"/>
              </w:rPr>
            </w:pPr>
            <w:r w:rsidRPr="0038249B">
              <w:rPr>
                <w:rFonts w:ascii="Times New Roman" w:hAnsi="Times New Roman" w:cs="Times New Roman"/>
                <w:sz w:val="20"/>
                <w:szCs w:val="20"/>
              </w:rPr>
              <w:t xml:space="preserve">Insuficiência:  20-30 </w:t>
            </w:r>
            <w:proofErr w:type="spellStart"/>
            <w:r w:rsidRPr="0038249B">
              <w:rPr>
                <w:rFonts w:ascii="Times New Roman" w:hAnsi="Times New Roman" w:cs="Times New Roman"/>
                <w:sz w:val="20"/>
                <w:szCs w:val="20"/>
              </w:rPr>
              <w:t>ng</w:t>
            </w:r>
            <w:proofErr w:type="spellEnd"/>
            <w:r w:rsidRPr="0038249B">
              <w:rPr>
                <w:rFonts w:ascii="Times New Roman" w:hAnsi="Times New Roman" w:cs="Times New Roman"/>
                <w:sz w:val="20"/>
                <w:szCs w:val="20"/>
              </w:rPr>
              <w:t xml:space="preserve"> / </w:t>
            </w:r>
            <w:proofErr w:type="spellStart"/>
            <w:r w:rsidRPr="0038249B">
              <w:rPr>
                <w:rFonts w:ascii="Times New Roman" w:hAnsi="Times New Roman" w:cs="Times New Roman"/>
                <w:sz w:val="20"/>
                <w:szCs w:val="20"/>
              </w:rPr>
              <w:t>mL</w:t>
            </w:r>
            <w:proofErr w:type="spellEnd"/>
          </w:p>
          <w:p w14:paraId="0DFD05A4" w14:textId="553AF96D" w:rsidR="001B05DB" w:rsidRPr="0038249B" w:rsidRDefault="001B05DB" w:rsidP="00A36A8B">
            <w:pPr>
              <w:rPr>
                <w:rFonts w:ascii="Times New Roman" w:hAnsi="Times New Roman" w:cs="Times New Roman"/>
                <w:sz w:val="20"/>
                <w:szCs w:val="20"/>
              </w:rPr>
            </w:pPr>
            <w:r w:rsidRPr="0038249B">
              <w:rPr>
                <w:rFonts w:ascii="Times New Roman" w:hAnsi="Times New Roman" w:cs="Times New Roman"/>
                <w:sz w:val="20"/>
                <w:szCs w:val="20"/>
              </w:rPr>
              <w:t xml:space="preserve">Suficiência: &gt;30 </w:t>
            </w:r>
            <w:proofErr w:type="spellStart"/>
            <w:r w:rsidRPr="0038249B">
              <w:rPr>
                <w:rFonts w:ascii="Times New Roman" w:hAnsi="Times New Roman" w:cs="Times New Roman"/>
                <w:sz w:val="20"/>
                <w:szCs w:val="20"/>
              </w:rPr>
              <w:t>ng</w:t>
            </w:r>
            <w:proofErr w:type="spellEnd"/>
            <w:r w:rsidRPr="0038249B">
              <w:rPr>
                <w:rFonts w:ascii="Times New Roman" w:hAnsi="Times New Roman" w:cs="Times New Roman"/>
                <w:sz w:val="20"/>
                <w:szCs w:val="20"/>
              </w:rPr>
              <w:t xml:space="preserve"> / </w:t>
            </w:r>
            <w:proofErr w:type="spellStart"/>
            <w:r w:rsidRPr="0038249B">
              <w:rPr>
                <w:rFonts w:ascii="Times New Roman" w:hAnsi="Times New Roman" w:cs="Times New Roman"/>
                <w:sz w:val="20"/>
                <w:szCs w:val="20"/>
              </w:rPr>
              <w:t>mL</w:t>
            </w:r>
            <w:proofErr w:type="spellEnd"/>
          </w:p>
        </w:tc>
        <w:tc>
          <w:tcPr>
            <w:tcW w:w="2060" w:type="dxa"/>
          </w:tcPr>
          <w:p w14:paraId="02BFA36D" w14:textId="05C50221" w:rsidR="001B05DB" w:rsidRPr="001521DC" w:rsidRDefault="001B05DB" w:rsidP="00A36A8B">
            <w:pPr>
              <w:jc w:val="center"/>
              <w:rPr>
                <w:rFonts w:ascii="Times New Roman" w:hAnsi="Times New Roman" w:cs="Times New Roman"/>
                <w:sz w:val="20"/>
                <w:szCs w:val="20"/>
              </w:rPr>
            </w:pPr>
            <w:r w:rsidRPr="001521DC">
              <w:rPr>
                <w:rFonts w:ascii="Times New Roman" w:hAnsi="Times New Roman" w:cs="Times New Roman"/>
                <w:sz w:val="20"/>
                <w:szCs w:val="20"/>
              </w:rPr>
              <w:t>65,8</w:t>
            </w:r>
          </w:p>
          <w:p w14:paraId="0480571F" w14:textId="71EF6E72" w:rsidR="001B05DB" w:rsidRPr="001521DC" w:rsidRDefault="001B05DB" w:rsidP="00A36A8B">
            <w:pPr>
              <w:jc w:val="center"/>
              <w:rPr>
                <w:rFonts w:ascii="Times New Roman" w:hAnsi="Times New Roman" w:cs="Times New Roman"/>
                <w:sz w:val="20"/>
                <w:szCs w:val="20"/>
              </w:rPr>
            </w:pPr>
            <w:r w:rsidRPr="001521DC">
              <w:rPr>
                <w:rFonts w:ascii="Times New Roman" w:hAnsi="Times New Roman" w:cs="Times New Roman"/>
                <w:sz w:val="20"/>
                <w:szCs w:val="20"/>
              </w:rPr>
              <w:t>22,0</w:t>
            </w:r>
          </w:p>
          <w:p w14:paraId="4A9B0006" w14:textId="096D100A" w:rsidR="001B05DB" w:rsidRPr="0038249B" w:rsidRDefault="001B05DB" w:rsidP="00A36A8B">
            <w:pPr>
              <w:jc w:val="center"/>
              <w:rPr>
                <w:rFonts w:ascii="Times New Roman" w:hAnsi="Times New Roman" w:cs="Times New Roman"/>
                <w:sz w:val="20"/>
                <w:szCs w:val="20"/>
              </w:rPr>
            </w:pPr>
            <w:r>
              <w:rPr>
                <w:rFonts w:ascii="Times New Roman" w:hAnsi="Times New Roman" w:cs="Times New Roman"/>
                <w:sz w:val="20"/>
                <w:szCs w:val="20"/>
              </w:rPr>
              <w:t>12,2</w:t>
            </w:r>
          </w:p>
        </w:tc>
      </w:tr>
      <w:tr w:rsidR="001B05DB" w:rsidRPr="0038249B" w14:paraId="4FB51A26" w14:textId="77777777" w:rsidTr="005238AC">
        <w:trPr>
          <w:cantSplit/>
          <w:trHeight w:val="9"/>
          <w:jc w:val="center"/>
        </w:trPr>
        <w:tc>
          <w:tcPr>
            <w:tcW w:w="1932" w:type="dxa"/>
          </w:tcPr>
          <w:p w14:paraId="7F8F4B55" w14:textId="68BD9500" w:rsidR="001B05DB" w:rsidRPr="00183E58" w:rsidRDefault="001B05DB" w:rsidP="00183E58">
            <w:pPr>
              <w:jc w:val="center"/>
              <w:rPr>
                <w:rFonts w:ascii="Times New Roman" w:hAnsi="Times New Roman" w:cs="Times New Roman"/>
                <w:sz w:val="20"/>
                <w:szCs w:val="20"/>
              </w:rPr>
            </w:pPr>
            <w:r w:rsidRPr="00183E58">
              <w:rPr>
                <w:rFonts w:ascii="Times New Roman" w:hAnsi="Times New Roman" w:cs="Times New Roman"/>
                <w:sz w:val="20"/>
                <w:szCs w:val="20"/>
              </w:rPr>
              <w:fldChar w:fldCharType="begin" w:fldLock="1"/>
            </w:r>
            <w:r w:rsidRPr="00183E58">
              <w:rPr>
                <w:rFonts w:ascii="Times New Roman" w:hAnsi="Times New Roman" w:cs="Times New Roman"/>
                <w:sz w:val="20"/>
                <w:szCs w:val="20"/>
              </w:rPr>
              <w:instrText>ADDIN CSL_CITATION {"citationItems":[{"id":"ITEM-1","itemData":{"DOI":"10.1080/20469047.2016.1266116","ISSN":"20469055","abstract":"Background: Children with cerebral palsy (CP) are vulnerable to developing vitamin D deficiency. There is little information on the prevalence and severity of vitamin D deficiency in these patients. Objective: To study vitamin D status in children with CP with special reference to their intake of anti-epileptic drugs (AED) and ambulatory status. Methods: The relative effects of AED use and ambulatory status on the vitamin D status of 120 children with CP aged 2–10 years were examined in this observational study. The patients were classified into four groups (30 in each) on the basis of AED use and ambulatory status: ambulatory (CPA), ambulatory receiving AED (CPAD), non-ambulatory (CPNA) and non-ambulatory receiving AED (CPNAD). A control group of 30 age-matched healthy children was also included. Parameters assessed included dietary calcium intake, sun exposure, serum total and ionised calcium (tCa, iCa), inorganic phosphate (iP), alkaline phosphatase (ALP), parathormone (PTH), 25 hydroxy vitamin D [25(OH)D] levels and a wrist radiograph to detect rickets. Vitamin D status was defined on the basis of serum 25(OH)D levels as normal (&gt;50 nmol/L), mild deficiency (25–50 nmol/L), moderate deficiency (12.5–25 nmol/L), severe deficiency (&lt;12.5 nmol/L). Results: Median (IQR) serum 25 (OH)D levels in patients with CP were 35.6 (26.75–64) nmol/L compared with 60 (37–69.25) nmol/L in controls (p = 0.04). Sixty per cent of children with CP and 36.7% of controls were vitamin D-deficient [25(OH)D &lt; 50 nmol/L]. Children with CP had a significantly lower dietary calcium intake and sun exposure than controls (p &lt; 0.0001 each). Serum tCa and iCa levels were significantly lower (p = 0.01 and p &lt; 0.001, respectively) and PTH and ALP levels significantly higher (p = 0.04 and p = 0.001, respectively) in children with CP than in controls. Patients in the CPNAD group were the worst affected, 83.3% of them being vitamin D-deficient with median (IQR) 25(OH)D levels of 33.5 (12.5–45.25) nmol/L. Also, 53.3% of them had raised ALP and 17.2% raised PTH levels. Conclusion: Children with CP are highly vulnerable to vitamin D deficiency. In these patients, AED use and lack of sun exposure contribute towards poor vitamin D status, the effect being more pronounced when they co-exist.","author":[{"dropping-particle":"","family":"Seth","given":"Anju","non-dropping-particle":"","parse-names":false,"suffix":""},{"dropping-particle":"","family":"Aneja","given":"Satinder","non-dropping-particle":"","parse-names":false,"suffix":""},{"dropping-particle":"","family":"Singh","given":"Ritu","non-dropping-particle":"","parse-names":false,"suffix":""},{"dropping-particle":"","family":"Majumdar","given":"Ritu","non-dropping-particle":"","parse-names":false,"suffix":""},{"dropping-particle":"","family":"Sharma","given":"Neera","non-dropping-particle":"","parse-names":false,"suffix":""},{"dropping-particle":"","family":"Gopinath","given":"Muthuselvan","non-dropping-particle":"","parse-names":false,"suffix":""}],"container-title":"Paediatrics and International Child Health","id":"ITEM-1","issue":"3","issued":{"date-parts":[["2017"]]},"page":"193-198","publisher":"Taylor &amp; Francis","title":"Effect of impaired ambulation and anti-epileptic drug intake on vitamin D status of children with cerebral palsy","type":"article-journal","volume":"37"},"uris":["http://www.mendeley.com/documents/?uuid=9d757788-6268-4a5c-9872-a7ecd88a9808"]}],"mendeley":{"formattedCitation":"(SETH et al., 2017)","plainTextFormattedCitation":"(SETH et al., 2017)","previouslyFormattedCitation":"(SETH et al., 2017)"},"properties":{"noteIndex":0},"schema":"https://github.com/citation-style-language/schema/raw/master/csl-citation.json"}</w:instrText>
            </w:r>
            <w:r w:rsidRPr="00183E58">
              <w:rPr>
                <w:rFonts w:ascii="Times New Roman" w:hAnsi="Times New Roman" w:cs="Times New Roman"/>
                <w:sz w:val="20"/>
                <w:szCs w:val="20"/>
              </w:rPr>
              <w:fldChar w:fldCharType="separate"/>
            </w:r>
            <w:r w:rsidRPr="00183E58">
              <w:rPr>
                <w:rFonts w:ascii="Times New Roman" w:hAnsi="Times New Roman" w:cs="Times New Roman"/>
                <w:noProof/>
                <w:sz w:val="20"/>
                <w:szCs w:val="20"/>
              </w:rPr>
              <w:t>(SETH et al., 2017)</w:t>
            </w:r>
            <w:r w:rsidRPr="00183E58">
              <w:rPr>
                <w:rFonts w:ascii="Times New Roman" w:hAnsi="Times New Roman" w:cs="Times New Roman"/>
                <w:sz w:val="20"/>
                <w:szCs w:val="20"/>
              </w:rPr>
              <w:fldChar w:fldCharType="end"/>
            </w:r>
          </w:p>
          <w:p w14:paraId="2E104F84" w14:textId="77777777" w:rsidR="001B05DB" w:rsidRPr="00183E58" w:rsidRDefault="001B05DB" w:rsidP="00183E58">
            <w:pPr>
              <w:jc w:val="center"/>
              <w:rPr>
                <w:rFonts w:ascii="Times New Roman" w:hAnsi="Times New Roman" w:cs="Times New Roman"/>
                <w:sz w:val="20"/>
                <w:szCs w:val="20"/>
              </w:rPr>
            </w:pPr>
          </w:p>
        </w:tc>
        <w:tc>
          <w:tcPr>
            <w:tcW w:w="1612" w:type="dxa"/>
          </w:tcPr>
          <w:p w14:paraId="73DC889E" w14:textId="52C528EC" w:rsidR="001B05DB" w:rsidRPr="008C57FE" w:rsidRDefault="009A15E6" w:rsidP="009A15E6">
            <w:pPr>
              <w:jc w:val="center"/>
              <w:rPr>
                <w:rFonts w:ascii="Times New Roman" w:hAnsi="Times New Roman" w:cs="Times New Roman"/>
                <w:sz w:val="20"/>
                <w:szCs w:val="20"/>
              </w:rPr>
            </w:pPr>
            <w:r w:rsidRPr="008C57FE">
              <w:rPr>
                <w:rFonts w:ascii="Times New Roman" w:hAnsi="Times New Roman" w:cs="Times New Roman"/>
                <w:sz w:val="20"/>
                <w:szCs w:val="20"/>
              </w:rPr>
              <w:t>1 a 16 anos</w:t>
            </w:r>
          </w:p>
        </w:tc>
        <w:tc>
          <w:tcPr>
            <w:tcW w:w="3467" w:type="dxa"/>
          </w:tcPr>
          <w:p w14:paraId="42C743A2" w14:textId="4B14B124" w:rsidR="001B05DB" w:rsidRPr="0038249B" w:rsidRDefault="001B05DB" w:rsidP="00A36A8B">
            <w:pPr>
              <w:rPr>
                <w:rFonts w:ascii="Times New Roman" w:hAnsi="Times New Roman" w:cs="Times New Roman"/>
                <w:sz w:val="20"/>
                <w:szCs w:val="20"/>
              </w:rPr>
            </w:pPr>
            <w:r w:rsidRPr="0038249B">
              <w:rPr>
                <w:rFonts w:ascii="Times New Roman" w:hAnsi="Times New Roman" w:cs="Times New Roman"/>
                <w:sz w:val="20"/>
                <w:szCs w:val="20"/>
              </w:rPr>
              <w:t xml:space="preserve">Deficiência grave: &lt;12,5 </w:t>
            </w:r>
            <w:proofErr w:type="spellStart"/>
            <w:r w:rsidRPr="0038249B">
              <w:rPr>
                <w:rFonts w:ascii="Times New Roman" w:hAnsi="Times New Roman" w:cs="Times New Roman"/>
                <w:sz w:val="20"/>
                <w:szCs w:val="20"/>
              </w:rPr>
              <w:t>nmol</w:t>
            </w:r>
            <w:proofErr w:type="spellEnd"/>
            <w:r w:rsidRPr="0038249B">
              <w:rPr>
                <w:rFonts w:ascii="Times New Roman" w:hAnsi="Times New Roman" w:cs="Times New Roman"/>
                <w:sz w:val="20"/>
                <w:szCs w:val="20"/>
              </w:rPr>
              <w:t xml:space="preserve"> /L</w:t>
            </w:r>
          </w:p>
          <w:p w14:paraId="717A7F08" w14:textId="3691D265" w:rsidR="001B05DB" w:rsidRPr="0038249B" w:rsidRDefault="001B05DB" w:rsidP="00A36A8B">
            <w:pPr>
              <w:rPr>
                <w:rFonts w:ascii="Times New Roman" w:hAnsi="Times New Roman" w:cs="Times New Roman"/>
                <w:sz w:val="20"/>
                <w:szCs w:val="20"/>
              </w:rPr>
            </w:pPr>
            <w:r w:rsidRPr="0038249B">
              <w:rPr>
                <w:rFonts w:ascii="Times New Roman" w:hAnsi="Times New Roman" w:cs="Times New Roman"/>
                <w:sz w:val="20"/>
                <w:szCs w:val="20"/>
              </w:rPr>
              <w:t>Deficiência moderada: 12,5–25nmol /L</w:t>
            </w:r>
          </w:p>
          <w:p w14:paraId="0368464D" w14:textId="4F5C4595" w:rsidR="001B05DB" w:rsidRPr="0038249B" w:rsidRDefault="001B05DB" w:rsidP="00A36A8B">
            <w:pPr>
              <w:rPr>
                <w:rFonts w:ascii="Times New Roman" w:hAnsi="Times New Roman" w:cs="Times New Roman"/>
                <w:sz w:val="20"/>
                <w:szCs w:val="20"/>
              </w:rPr>
            </w:pPr>
            <w:r w:rsidRPr="0038249B">
              <w:rPr>
                <w:rFonts w:ascii="Times New Roman" w:hAnsi="Times New Roman" w:cs="Times New Roman"/>
                <w:sz w:val="20"/>
                <w:szCs w:val="20"/>
              </w:rPr>
              <w:t xml:space="preserve">Deficiência leve: 25–50 </w:t>
            </w:r>
            <w:proofErr w:type="spellStart"/>
            <w:r w:rsidRPr="0038249B">
              <w:rPr>
                <w:rFonts w:ascii="Times New Roman" w:hAnsi="Times New Roman" w:cs="Times New Roman"/>
                <w:sz w:val="20"/>
                <w:szCs w:val="20"/>
              </w:rPr>
              <w:t>nmol</w:t>
            </w:r>
            <w:proofErr w:type="spellEnd"/>
            <w:r w:rsidRPr="0038249B">
              <w:rPr>
                <w:rFonts w:ascii="Times New Roman" w:hAnsi="Times New Roman" w:cs="Times New Roman"/>
                <w:sz w:val="20"/>
                <w:szCs w:val="20"/>
              </w:rPr>
              <w:t xml:space="preserve"> /L</w:t>
            </w:r>
          </w:p>
          <w:p w14:paraId="525DBD21" w14:textId="77777777" w:rsidR="001B05DB" w:rsidRPr="0038249B" w:rsidRDefault="001B05DB" w:rsidP="00A36A8B">
            <w:pPr>
              <w:rPr>
                <w:rFonts w:ascii="Times New Roman" w:hAnsi="Times New Roman" w:cs="Times New Roman"/>
                <w:sz w:val="20"/>
                <w:szCs w:val="20"/>
              </w:rPr>
            </w:pPr>
            <w:r w:rsidRPr="0038249B">
              <w:rPr>
                <w:rFonts w:ascii="Times New Roman" w:hAnsi="Times New Roman" w:cs="Times New Roman"/>
                <w:sz w:val="20"/>
                <w:szCs w:val="20"/>
              </w:rPr>
              <w:t xml:space="preserve">Normal: &gt; 50 </w:t>
            </w:r>
            <w:proofErr w:type="spellStart"/>
            <w:r w:rsidRPr="0038249B">
              <w:rPr>
                <w:rFonts w:ascii="Times New Roman" w:hAnsi="Times New Roman" w:cs="Times New Roman"/>
                <w:sz w:val="20"/>
                <w:szCs w:val="20"/>
              </w:rPr>
              <w:t>nmol</w:t>
            </w:r>
            <w:proofErr w:type="spellEnd"/>
            <w:r w:rsidRPr="0038249B">
              <w:rPr>
                <w:rFonts w:ascii="Times New Roman" w:hAnsi="Times New Roman" w:cs="Times New Roman"/>
                <w:sz w:val="20"/>
                <w:szCs w:val="20"/>
              </w:rPr>
              <w:t xml:space="preserve"> / L</w:t>
            </w:r>
          </w:p>
        </w:tc>
        <w:tc>
          <w:tcPr>
            <w:tcW w:w="2060" w:type="dxa"/>
          </w:tcPr>
          <w:p w14:paraId="712D8DED" w14:textId="380D1697" w:rsidR="001B05DB" w:rsidRPr="001521DC" w:rsidRDefault="001B05DB" w:rsidP="00A36A8B">
            <w:pPr>
              <w:jc w:val="center"/>
              <w:rPr>
                <w:rFonts w:ascii="Times New Roman" w:hAnsi="Times New Roman" w:cs="Times New Roman"/>
                <w:sz w:val="20"/>
                <w:szCs w:val="20"/>
              </w:rPr>
            </w:pPr>
            <w:r w:rsidRPr="001521DC">
              <w:rPr>
                <w:rFonts w:ascii="Times New Roman" w:hAnsi="Times New Roman" w:cs="Times New Roman"/>
                <w:sz w:val="20"/>
                <w:szCs w:val="20"/>
              </w:rPr>
              <w:t>10</w:t>
            </w:r>
          </w:p>
          <w:p w14:paraId="7BAAAF5C" w14:textId="69287938" w:rsidR="001B05DB" w:rsidRPr="001521DC" w:rsidRDefault="001B05DB" w:rsidP="00A36A8B">
            <w:pPr>
              <w:jc w:val="center"/>
              <w:rPr>
                <w:rFonts w:ascii="Times New Roman" w:hAnsi="Times New Roman" w:cs="Times New Roman"/>
                <w:sz w:val="20"/>
                <w:szCs w:val="20"/>
              </w:rPr>
            </w:pPr>
            <w:r w:rsidRPr="001521DC">
              <w:rPr>
                <w:rFonts w:ascii="Times New Roman" w:hAnsi="Times New Roman" w:cs="Times New Roman"/>
                <w:sz w:val="20"/>
                <w:szCs w:val="20"/>
              </w:rPr>
              <w:t>23,3</w:t>
            </w:r>
          </w:p>
          <w:p w14:paraId="5E165CC6" w14:textId="50BF356E" w:rsidR="001B05DB" w:rsidRPr="001521DC" w:rsidRDefault="001B05DB" w:rsidP="00A36A8B">
            <w:pPr>
              <w:jc w:val="center"/>
              <w:rPr>
                <w:rFonts w:ascii="Times New Roman" w:hAnsi="Times New Roman" w:cs="Times New Roman"/>
                <w:sz w:val="20"/>
                <w:szCs w:val="20"/>
              </w:rPr>
            </w:pPr>
            <w:r w:rsidRPr="001521DC">
              <w:rPr>
                <w:rFonts w:ascii="Times New Roman" w:hAnsi="Times New Roman" w:cs="Times New Roman"/>
                <w:sz w:val="20"/>
                <w:szCs w:val="20"/>
              </w:rPr>
              <w:t>26,7</w:t>
            </w:r>
          </w:p>
          <w:p w14:paraId="1AF1F79E" w14:textId="52719FDE" w:rsidR="001B05DB" w:rsidRPr="0038249B" w:rsidRDefault="001B05DB" w:rsidP="00A36A8B">
            <w:pPr>
              <w:jc w:val="center"/>
              <w:rPr>
                <w:rFonts w:ascii="Times New Roman" w:hAnsi="Times New Roman" w:cs="Times New Roman"/>
                <w:sz w:val="20"/>
                <w:szCs w:val="20"/>
              </w:rPr>
            </w:pPr>
            <w:r w:rsidRPr="0038249B">
              <w:rPr>
                <w:rFonts w:ascii="Times New Roman" w:hAnsi="Times New Roman" w:cs="Times New Roman"/>
                <w:sz w:val="20"/>
                <w:szCs w:val="20"/>
              </w:rPr>
              <w:t>40</w:t>
            </w:r>
          </w:p>
        </w:tc>
      </w:tr>
      <w:tr w:rsidR="001B05DB" w:rsidRPr="0038249B" w14:paraId="1E8D3807" w14:textId="77777777" w:rsidTr="005238AC">
        <w:trPr>
          <w:cantSplit/>
          <w:trHeight w:val="9"/>
          <w:jc w:val="center"/>
        </w:trPr>
        <w:tc>
          <w:tcPr>
            <w:tcW w:w="1932" w:type="dxa"/>
          </w:tcPr>
          <w:p w14:paraId="71B91505" w14:textId="0AA1B5DC" w:rsidR="001B05DB" w:rsidRPr="00183E58" w:rsidRDefault="001B05DB" w:rsidP="00183E58">
            <w:pPr>
              <w:jc w:val="center"/>
              <w:rPr>
                <w:rFonts w:ascii="Times New Roman" w:hAnsi="Times New Roman" w:cs="Times New Roman"/>
                <w:sz w:val="20"/>
                <w:szCs w:val="20"/>
              </w:rPr>
            </w:pPr>
            <w:r w:rsidRPr="00183E58">
              <w:rPr>
                <w:rFonts w:ascii="Times New Roman" w:hAnsi="Times New Roman" w:cs="Times New Roman"/>
                <w:sz w:val="20"/>
                <w:szCs w:val="20"/>
              </w:rPr>
              <w:fldChar w:fldCharType="begin" w:fldLock="1"/>
            </w:r>
            <w:r w:rsidRPr="00183E58">
              <w:rPr>
                <w:rFonts w:ascii="Times New Roman" w:hAnsi="Times New Roman" w:cs="Times New Roman"/>
                <w:sz w:val="20"/>
                <w:szCs w:val="20"/>
              </w:rPr>
              <w:instrText>ADDIN CSL_CITATION {"citationItems":[{"id":"ITEM-1","itemData":{"DOI":"10.1007/s00381-016-3258-0","ISSN":"14330350","abstract":"Purpose: We aimed to evaluate the relationship between bone mineral density (BMD) disorders and possible risk factors in patients with epilepsy only (EO), cerebral palsy only (CPO), and cerebral palsy–epilepsy (CP + E). Methods: A total of 122 patients [EO (n = 54), CPO (n = 30), CP + E (n = 38)] and 30 healthy children were evaluated. BMD was only measured in patient groups, not in control subjects. BMD of lumbar vertebrae was determined by dual energy X-ray absorptiometry (DXA). An abnormal BMD was defined as low or low normal BMD. Results: Low BMD rate in EO, CPO, and CP + E group was 3.7, 50, and 39.5 %, respectively. Abnormal BMD values were significantly related to inadequate dietary Ca intake (p = 0.017), severe intellectual disability (p &lt; 0.001), and immobility (p = 0.018). In multivariate regression analysis, the risk of abnormal BMD was higher (3.9-fold) in patients not able to walk independently than the others (p = 0.029). However, serum Ca−Vitamin D levels, insufficient exposure to sunlight, low BMI, and use of AED were not correlated with abnormal BMD. Conclusion: Abnormal BMD is a common problem in patients with CP and CP + E. Abnormal BMD was related to the severity of CP, but not to vitamin D levels or AED treatment.","author":[{"dropping-particle":"","family":"Tosun","given":"Ayse","non-dropping-particle":"","parse-names":false,"suffix":""},{"dropping-particle":"","family":"Erisen Karaca","given":"Seda","non-dropping-particle":"","parse-names":false,"suffix":""},{"dropping-particle":"","family":"Unuvar","given":"Tolga","non-dropping-particle":"","parse-names":false,"suffix":""},{"dropping-particle":"","family":"Yurekli","given":"Yakup","non-dropping-particle":"","parse-names":false,"suffix":""},{"dropping-particle":"","family":"Yenisey","given":"Cigdem","non-dropping-particle":"","parse-names":false,"suffix":""},{"dropping-particle":"","family":"Omurlu","given":"Imran Kurt","non-dropping-particle":"","parse-names":false,"suffix":""}],"container-title":"Child's Nervous System","id":"ITEM-1","issue":"1","issued":{"date-parts":[["2017"]]},"page":"153-158","publisher":"Child's Nervous System","title":"Bone mineral density and vitamin D status in children with epilepsy, cerebral palsy, and cerebral palsy with epilepsy","type":"article-journal","volume":"33"},"uris":["http://www.mendeley.com/documents/?uuid=a4dd5b07-2328-400e-9c21-1524c8f7a1c6"]}],"mendeley":{"formattedCitation":"(TOSUN et al., 2017)","plainTextFormattedCitation":"(TOSUN et al., 2017)","previouslyFormattedCitation":"(TOSUN et al., 2017)"},"properties":{"noteIndex":0},"schema":"https://github.com/citation-style-language/schema/raw/master/csl-citation.json"}</w:instrText>
            </w:r>
            <w:r w:rsidRPr="00183E58">
              <w:rPr>
                <w:rFonts w:ascii="Times New Roman" w:hAnsi="Times New Roman" w:cs="Times New Roman"/>
                <w:sz w:val="20"/>
                <w:szCs w:val="20"/>
              </w:rPr>
              <w:fldChar w:fldCharType="separate"/>
            </w:r>
            <w:r w:rsidRPr="00183E58">
              <w:rPr>
                <w:rFonts w:ascii="Times New Roman" w:hAnsi="Times New Roman" w:cs="Times New Roman"/>
                <w:noProof/>
                <w:sz w:val="20"/>
                <w:szCs w:val="20"/>
              </w:rPr>
              <w:t>(TOSUN et al., 2017)</w:t>
            </w:r>
            <w:r w:rsidRPr="00183E58">
              <w:rPr>
                <w:rFonts w:ascii="Times New Roman" w:hAnsi="Times New Roman" w:cs="Times New Roman"/>
                <w:sz w:val="20"/>
                <w:szCs w:val="20"/>
              </w:rPr>
              <w:fldChar w:fldCharType="end"/>
            </w:r>
          </w:p>
          <w:p w14:paraId="10429277" w14:textId="1FC47159" w:rsidR="001B05DB" w:rsidRPr="00183E58" w:rsidRDefault="001B05DB" w:rsidP="00183E58">
            <w:pPr>
              <w:jc w:val="center"/>
              <w:rPr>
                <w:rFonts w:ascii="Times New Roman" w:hAnsi="Times New Roman" w:cs="Times New Roman"/>
                <w:sz w:val="20"/>
                <w:szCs w:val="20"/>
              </w:rPr>
            </w:pPr>
          </w:p>
        </w:tc>
        <w:tc>
          <w:tcPr>
            <w:tcW w:w="1612" w:type="dxa"/>
          </w:tcPr>
          <w:p w14:paraId="2885B459" w14:textId="3ACA30A8" w:rsidR="001B05DB" w:rsidRPr="008C57FE" w:rsidRDefault="005238AC" w:rsidP="005238AC">
            <w:pPr>
              <w:jc w:val="center"/>
              <w:rPr>
                <w:rFonts w:ascii="Times New Roman" w:hAnsi="Times New Roman" w:cs="Times New Roman"/>
                <w:sz w:val="20"/>
                <w:szCs w:val="20"/>
              </w:rPr>
            </w:pPr>
            <w:r w:rsidRPr="008C57FE">
              <w:rPr>
                <w:rFonts w:ascii="Times New Roman" w:hAnsi="Times New Roman" w:cs="Times New Roman"/>
                <w:sz w:val="20"/>
                <w:szCs w:val="20"/>
              </w:rPr>
              <w:t>3 a 14 anos</w:t>
            </w:r>
          </w:p>
        </w:tc>
        <w:tc>
          <w:tcPr>
            <w:tcW w:w="3467" w:type="dxa"/>
          </w:tcPr>
          <w:p w14:paraId="64F996D3" w14:textId="6E720DBB" w:rsidR="001B05DB" w:rsidRPr="0038249B" w:rsidRDefault="001B05DB" w:rsidP="00A36A8B">
            <w:pPr>
              <w:rPr>
                <w:rFonts w:ascii="Times New Roman" w:hAnsi="Times New Roman" w:cs="Times New Roman"/>
                <w:sz w:val="20"/>
                <w:szCs w:val="20"/>
              </w:rPr>
            </w:pPr>
            <w:r w:rsidRPr="0038249B">
              <w:rPr>
                <w:rFonts w:ascii="Times New Roman" w:hAnsi="Times New Roman" w:cs="Times New Roman"/>
                <w:sz w:val="20"/>
                <w:szCs w:val="20"/>
              </w:rPr>
              <w:t xml:space="preserve">Deficiência: &lt;12 </w:t>
            </w:r>
            <w:proofErr w:type="spellStart"/>
            <w:r w:rsidRPr="0038249B">
              <w:rPr>
                <w:rFonts w:ascii="Times New Roman" w:hAnsi="Times New Roman" w:cs="Times New Roman"/>
                <w:sz w:val="20"/>
                <w:szCs w:val="20"/>
              </w:rPr>
              <w:t>ng</w:t>
            </w:r>
            <w:proofErr w:type="spellEnd"/>
            <w:r w:rsidRPr="0038249B">
              <w:rPr>
                <w:rFonts w:ascii="Times New Roman" w:hAnsi="Times New Roman" w:cs="Times New Roman"/>
                <w:sz w:val="20"/>
                <w:szCs w:val="20"/>
              </w:rPr>
              <w:t xml:space="preserve"> / </w:t>
            </w:r>
            <w:proofErr w:type="spellStart"/>
            <w:r w:rsidRPr="0038249B">
              <w:rPr>
                <w:rFonts w:ascii="Times New Roman" w:hAnsi="Times New Roman" w:cs="Times New Roman"/>
                <w:sz w:val="20"/>
                <w:szCs w:val="20"/>
              </w:rPr>
              <w:t>mL</w:t>
            </w:r>
            <w:proofErr w:type="spellEnd"/>
          </w:p>
          <w:p w14:paraId="561C1450" w14:textId="1BE00107" w:rsidR="001B05DB" w:rsidRDefault="001B05DB" w:rsidP="00A36A8B">
            <w:pPr>
              <w:rPr>
                <w:rFonts w:ascii="Times New Roman" w:hAnsi="Times New Roman" w:cs="Times New Roman"/>
                <w:sz w:val="20"/>
                <w:szCs w:val="20"/>
              </w:rPr>
            </w:pPr>
            <w:r w:rsidRPr="0038249B">
              <w:rPr>
                <w:rFonts w:ascii="Times New Roman" w:hAnsi="Times New Roman" w:cs="Times New Roman"/>
                <w:sz w:val="20"/>
                <w:szCs w:val="20"/>
              </w:rPr>
              <w:t xml:space="preserve">Insuficiência: 12 a 20 </w:t>
            </w:r>
            <w:proofErr w:type="spellStart"/>
            <w:r w:rsidRPr="0038249B">
              <w:rPr>
                <w:rFonts w:ascii="Times New Roman" w:hAnsi="Times New Roman" w:cs="Times New Roman"/>
                <w:sz w:val="20"/>
                <w:szCs w:val="20"/>
              </w:rPr>
              <w:t>ng</w:t>
            </w:r>
            <w:proofErr w:type="spellEnd"/>
            <w:r w:rsidRPr="0038249B">
              <w:rPr>
                <w:rFonts w:ascii="Times New Roman" w:hAnsi="Times New Roman" w:cs="Times New Roman"/>
                <w:sz w:val="20"/>
                <w:szCs w:val="20"/>
              </w:rPr>
              <w:t xml:space="preserve"> / </w:t>
            </w:r>
            <w:proofErr w:type="spellStart"/>
            <w:r w:rsidRPr="0038249B">
              <w:rPr>
                <w:rFonts w:ascii="Times New Roman" w:hAnsi="Times New Roman" w:cs="Times New Roman"/>
                <w:sz w:val="20"/>
                <w:szCs w:val="20"/>
              </w:rPr>
              <w:t>mL</w:t>
            </w:r>
            <w:proofErr w:type="spellEnd"/>
          </w:p>
          <w:p w14:paraId="44263137" w14:textId="7E3542F3" w:rsidR="001B05DB" w:rsidRPr="0038249B" w:rsidRDefault="001B05DB" w:rsidP="00A36A8B">
            <w:pPr>
              <w:rPr>
                <w:rFonts w:ascii="Times New Roman" w:hAnsi="Times New Roman" w:cs="Times New Roman"/>
                <w:sz w:val="20"/>
                <w:szCs w:val="20"/>
              </w:rPr>
            </w:pPr>
            <w:r w:rsidRPr="0038249B">
              <w:rPr>
                <w:rFonts w:ascii="Times New Roman" w:hAnsi="Times New Roman" w:cs="Times New Roman"/>
                <w:sz w:val="20"/>
                <w:szCs w:val="20"/>
              </w:rPr>
              <w:t xml:space="preserve">Deficiência: &lt;12 </w:t>
            </w:r>
            <w:proofErr w:type="spellStart"/>
            <w:r w:rsidRPr="0038249B">
              <w:rPr>
                <w:rFonts w:ascii="Times New Roman" w:hAnsi="Times New Roman" w:cs="Times New Roman"/>
                <w:sz w:val="20"/>
                <w:szCs w:val="20"/>
              </w:rPr>
              <w:t>ng</w:t>
            </w:r>
            <w:proofErr w:type="spellEnd"/>
            <w:r w:rsidRPr="0038249B">
              <w:rPr>
                <w:rFonts w:ascii="Times New Roman" w:hAnsi="Times New Roman" w:cs="Times New Roman"/>
                <w:sz w:val="20"/>
                <w:szCs w:val="20"/>
              </w:rPr>
              <w:t xml:space="preserve"> / </w:t>
            </w:r>
            <w:proofErr w:type="spellStart"/>
            <w:r w:rsidRPr="0038249B">
              <w:rPr>
                <w:rFonts w:ascii="Times New Roman" w:hAnsi="Times New Roman" w:cs="Times New Roman"/>
                <w:sz w:val="20"/>
                <w:szCs w:val="20"/>
              </w:rPr>
              <w:t>mL</w:t>
            </w:r>
            <w:proofErr w:type="spellEnd"/>
          </w:p>
          <w:p w14:paraId="0E441DFA" w14:textId="761DB9AC" w:rsidR="001B05DB" w:rsidRPr="0038249B" w:rsidRDefault="001B05DB" w:rsidP="00A36A8B">
            <w:pPr>
              <w:rPr>
                <w:rFonts w:ascii="Times New Roman" w:hAnsi="Times New Roman" w:cs="Times New Roman"/>
                <w:sz w:val="20"/>
                <w:szCs w:val="20"/>
              </w:rPr>
            </w:pPr>
            <w:r w:rsidRPr="0038249B">
              <w:rPr>
                <w:rFonts w:ascii="Times New Roman" w:hAnsi="Times New Roman" w:cs="Times New Roman"/>
                <w:sz w:val="20"/>
                <w:szCs w:val="20"/>
              </w:rPr>
              <w:t xml:space="preserve">Insuficiência: 12 a 20 </w:t>
            </w:r>
            <w:proofErr w:type="spellStart"/>
            <w:r w:rsidRPr="0038249B">
              <w:rPr>
                <w:rFonts w:ascii="Times New Roman" w:hAnsi="Times New Roman" w:cs="Times New Roman"/>
                <w:sz w:val="20"/>
                <w:szCs w:val="20"/>
              </w:rPr>
              <w:t>ng</w:t>
            </w:r>
            <w:proofErr w:type="spellEnd"/>
            <w:r w:rsidRPr="0038249B">
              <w:rPr>
                <w:rFonts w:ascii="Times New Roman" w:hAnsi="Times New Roman" w:cs="Times New Roman"/>
                <w:sz w:val="20"/>
                <w:szCs w:val="20"/>
              </w:rPr>
              <w:t xml:space="preserve"> / </w:t>
            </w:r>
            <w:proofErr w:type="spellStart"/>
            <w:r w:rsidRPr="0038249B">
              <w:rPr>
                <w:rFonts w:ascii="Times New Roman" w:hAnsi="Times New Roman" w:cs="Times New Roman"/>
                <w:sz w:val="20"/>
                <w:szCs w:val="20"/>
              </w:rPr>
              <w:t>mL</w:t>
            </w:r>
            <w:proofErr w:type="spellEnd"/>
          </w:p>
        </w:tc>
        <w:tc>
          <w:tcPr>
            <w:tcW w:w="2060" w:type="dxa"/>
          </w:tcPr>
          <w:p w14:paraId="663EBC49" w14:textId="15BAAB45" w:rsidR="001B05DB" w:rsidRDefault="001B05DB" w:rsidP="00A36A8B">
            <w:pPr>
              <w:jc w:val="center"/>
              <w:rPr>
                <w:rFonts w:ascii="Times New Roman" w:hAnsi="Times New Roman" w:cs="Times New Roman"/>
                <w:sz w:val="20"/>
                <w:szCs w:val="20"/>
              </w:rPr>
            </w:pPr>
            <w:r w:rsidRPr="0038249B">
              <w:rPr>
                <w:rFonts w:ascii="Times New Roman" w:hAnsi="Times New Roman" w:cs="Times New Roman"/>
                <w:sz w:val="20"/>
                <w:szCs w:val="20"/>
              </w:rPr>
              <w:t>30% no PC</w:t>
            </w:r>
          </w:p>
          <w:p w14:paraId="35494245" w14:textId="71F1D6FB" w:rsidR="001B05DB" w:rsidRPr="0038249B" w:rsidRDefault="001B05DB" w:rsidP="00A166E1">
            <w:pPr>
              <w:jc w:val="center"/>
              <w:rPr>
                <w:rFonts w:ascii="Times New Roman" w:hAnsi="Times New Roman" w:cs="Times New Roman"/>
                <w:sz w:val="20"/>
                <w:szCs w:val="20"/>
              </w:rPr>
            </w:pPr>
            <w:r w:rsidRPr="0038249B">
              <w:rPr>
                <w:rFonts w:ascii="Times New Roman" w:hAnsi="Times New Roman" w:cs="Times New Roman"/>
                <w:sz w:val="20"/>
                <w:szCs w:val="20"/>
              </w:rPr>
              <w:t>30% no PC</w:t>
            </w:r>
          </w:p>
          <w:p w14:paraId="0FCA2CC4" w14:textId="77777777" w:rsidR="001B05DB" w:rsidRPr="0038249B" w:rsidRDefault="001B05DB" w:rsidP="00A36A8B">
            <w:pPr>
              <w:jc w:val="center"/>
              <w:rPr>
                <w:rFonts w:ascii="Times New Roman" w:hAnsi="Times New Roman" w:cs="Times New Roman"/>
                <w:sz w:val="20"/>
                <w:szCs w:val="20"/>
              </w:rPr>
            </w:pPr>
            <w:r w:rsidRPr="0038249B">
              <w:rPr>
                <w:rFonts w:ascii="Times New Roman" w:hAnsi="Times New Roman" w:cs="Times New Roman"/>
                <w:sz w:val="20"/>
                <w:szCs w:val="20"/>
              </w:rPr>
              <w:t>31,6 % no CP + E</w:t>
            </w:r>
          </w:p>
          <w:p w14:paraId="34E3B46B" w14:textId="77777777" w:rsidR="001B05DB" w:rsidRPr="0038249B" w:rsidRDefault="001B05DB" w:rsidP="00A36A8B">
            <w:pPr>
              <w:jc w:val="center"/>
              <w:rPr>
                <w:rFonts w:ascii="Times New Roman" w:hAnsi="Times New Roman" w:cs="Times New Roman"/>
                <w:sz w:val="20"/>
                <w:szCs w:val="20"/>
              </w:rPr>
            </w:pPr>
            <w:r w:rsidRPr="0038249B">
              <w:rPr>
                <w:rFonts w:ascii="Times New Roman" w:hAnsi="Times New Roman" w:cs="Times New Roman"/>
                <w:sz w:val="20"/>
                <w:szCs w:val="20"/>
              </w:rPr>
              <w:t>31,6% no CP + E</w:t>
            </w:r>
          </w:p>
        </w:tc>
      </w:tr>
    </w:tbl>
    <w:p w14:paraId="2AACF7AB" w14:textId="20A8B317" w:rsidR="0038249B" w:rsidRPr="00212646" w:rsidRDefault="00F659E1" w:rsidP="009A1767">
      <w:pPr>
        <w:autoSpaceDE w:val="0"/>
        <w:autoSpaceDN w:val="0"/>
        <w:adjustRightInd w:val="0"/>
        <w:spacing w:after="120" w:line="360" w:lineRule="auto"/>
        <w:ind w:firstLine="709"/>
        <w:jc w:val="both"/>
        <w:rPr>
          <w:rFonts w:ascii="Times New Roman" w:hAnsi="Times New Roman" w:cs="Times New Roman"/>
          <w:sz w:val="20"/>
          <w:szCs w:val="20"/>
        </w:rPr>
      </w:pPr>
      <w:r w:rsidRPr="0038249B">
        <w:rPr>
          <w:rFonts w:ascii="Times New Roman" w:hAnsi="Times New Roman" w:cs="Times New Roman"/>
          <w:sz w:val="20"/>
          <w:szCs w:val="20"/>
        </w:rPr>
        <w:t>DMO</w:t>
      </w:r>
      <w:r w:rsidR="00E77233">
        <w:rPr>
          <w:rFonts w:ascii="Times New Roman" w:hAnsi="Times New Roman" w:cs="Times New Roman"/>
          <w:sz w:val="20"/>
          <w:szCs w:val="20"/>
        </w:rPr>
        <w:t xml:space="preserve"> </w:t>
      </w:r>
      <w:r>
        <w:rPr>
          <w:rFonts w:ascii="Times New Roman" w:hAnsi="Times New Roman" w:cs="Times New Roman"/>
          <w:sz w:val="20"/>
          <w:szCs w:val="20"/>
        </w:rPr>
        <w:t xml:space="preserve">- densidade mineral </w:t>
      </w:r>
      <w:r w:rsidR="00E77233">
        <w:rPr>
          <w:rFonts w:ascii="Times New Roman" w:hAnsi="Times New Roman" w:cs="Times New Roman"/>
          <w:sz w:val="20"/>
          <w:szCs w:val="20"/>
        </w:rPr>
        <w:t>óssea; PC</w:t>
      </w:r>
      <w:r w:rsidRPr="00010909">
        <w:rPr>
          <w:rFonts w:ascii="Times New Roman" w:hAnsi="Times New Roman" w:cs="Times New Roman"/>
          <w:sz w:val="20"/>
          <w:szCs w:val="20"/>
        </w:rPr>
        <w:t xml:space="preserve"> + E</w:t>
      </w:r>
      <w:r>
        <w:rPr>
          <w:rFonts w:ascii="Times New Roman" w:hAnsi="Times New Roman" w:cs="Times New Roman"/>
          <w:sz w:val="20"/>
          <w:szCs w:val="20"/>
        </w:rPr>
        <w:t xml:space="preserve"> - paralisia cerebral e epilepsia</w:t>
      </w:r>
      <w:r w:rsidR="00E77233">
        <w:rPr>
          <w:rFonts w:ascii="Times New Roman" w:hAnsi="Times New Roman" w:cs="Times New Roman"/>
          <w:sz w:val="20"/>
          <w:szCs w:val="20"/>
        </w:rPr>
        <w:t xml:space="preserve">. </w:t>
      </w:r>
      <w:r w:rsidR="00E77233" w:rsidRPr="005F2DFF">
        <w:rPr>
          <w:rFonts w:ascii="Times New Roman" w:hAnsi="Times New Roman" w:cs="Times New Roman"/>
          <w:b/>
          <w:sz w:val="20"/>
          <w:szCs w:val="20"/>
        </w:rPr>
        <w:t>Fonte</w:t>
      </w:r>
      <w:r w:rsidR="00E77233" w:rsidRPr="005F2DFF">
        <w:rPr>
          <w:rFonts w:ascii="Times New Roman" w:hAnsi="Times New Roman" w:cs="Times New Roman"/>
          <w:sz w:val="20"/>
          <w:szCs w:val="20"/>
        </w:rPr>
        <w:t xml:space="preserve">: </w:t>
      </w:r>
      <w:r w:rsidR="00E77233" w:rsidRPr="0038249B">
        <w:rPr>
          <w:rFonts w:ascii="Times New Roman" w:hAnsi="Times New Roman" w:cs="Times New Roman"/>
          <w:sz w:val="20"/>
          <w:szCs w:val="20"/>
        </w:rPr>
        <w:t>próprio autor</w:t>
      </w:r>
      <w:r w:rsidR="00E77233">
        <w:rPr>
          <w:rFonts w:ascii="Times New Roman" w:hAnsi="Times New Roman" w:cs="Times New Roman"/>
          <w:sz w:val="20"/>
          <w:szCs w:val="20"/>
        </w:rPr>
        <w:t xml:space="preserve">  </w:t>
      </w:r>
    </w:p>
    <w:p w14:paraId="5D9C4983" w14:textId="77610651" w:rsidR="00105C86" w:rsidRDefault="00105C86" w:rsidP="00E919C3">
      <w:pPr>
        <w:spacing w:after="0" w:line="360" w:lineRule="auto"/>
        <w:ind w:firstLine="709"/>
        <w:jc w:val="both"/>
        <w:rPr>
          <w:rFonts w:ascii="Times New Roman" w:hAnsi="Times New Roman" w:cs="Times New Roman"/>
          <w:sz w:val="24"/>
          <w:szCs w:val="24"/>
        </w:rPr>
      </w:pPr>
      <w:r w:rsidRPr="004D4027">
        <w:rPr>
          <w:rFonts w:ascii="Times New Roman" w:hAnsi="Times New Roman" w:cs="Times New Roman"/>
          <w:sz w:val="24"/>
          <w:szCs w:val="24"/>
        </w:rPr>
        <w:t xml:space="preserve">Sobre aos principais </w:t>
      </w:r>
      <w:r w:rsidR="000B3B53">
        <w:rPr>
          <w:rFonts w:ascii="Times New Roman" w:hAnsi="Times New Roman" w:cs="Times New Roman"/>
          <w:sz w:val="24"/>
          <w:szCs w:val="24"/>
        </w:rPr>
        <w:t>da</w:t>
      </w:r>
      <w:r w:rsidRPr="004D4027">
        <w:rPr>
          <w:rFonts w:ascii="Times New Roman" w:hAnsi="Times New Roman" w:cs="Times New Roman"/>
          <w:sz w:val="24"/>
          <w:szCs w:val="24"/>
        </w:rPr>
        <w:t>dos</w:t>
      </w:r>
      <w:r>
        <w:rPr>
          <w:rFonts w:ascii="Times New Roman" w:hAnsi="Times New Roman" w:cs="Times New Roman"/>
          <w:sz w:val="24"/>
          <w:szCs w:val="24"/>
        </w:rPr>
        <w:t xml:space="preserve">, </w:t>
      </w:r>
      <w:r w:rsidR="00E919C3">
        <w:rPr>
          <w:rFonts w:ascii="Times New Roman" w:hAnsi="Times New Roman" w:cs="Times New Roman"/>
          <w:sz w:val="24"/>
          <w:szCs w:val="24"/>
        </w:rPr>
        <w:t xml:space="preserve">apesar da </w:t>
      </w:r>
      <w:r w:rsidR="00E919C3" w:rsidRPr="00E919C3">
        <w:rPr>
          <w:rFonts w:ascii="Times New Roman" w:hAnsi="Times New Roman" w:cs="Times New Roman"/>
          <w:sz w:val="24"/>
          <w:szCs w:val="24"/>
        </w:rPr>
        <w:t>variabilidade</w:t>
      </w:r>
      <w:r w:rsidR="00E919C3">
        <w:rPr>
          <w:rFonts w:ascii="Times New Roman" w:hAnsi="Times New Roman" w:cs="Times New Roman"/>
          <w:sz w:val="24"/>
          <w:szCs w:val="24"/>
        </w:rPr>
        <w:t xml:space="preserve"> </w:t>
      </w:r>
      <w:r w:rsidR="00E919C3" w:rsidRPr="00E919C3">
        <w:rPr>
          <w:rFonts w:ascii="Times New Roman" w:hAnsi="Times New Roman" w:cs="Times New Roman"/>
          <w:sz w:val="24"/>
          <w:szCs w:val="24"/>
        </w:rPr>
        <w:t>nas classificações de deficiência e insuficiência</w:t>
      </w:r>
      <w:r w:rsidR="005117B3">
        <w:rPr>
          <w:rFonts w:ascii="Times New Roman" w:hAnsi="Times New Roman" w:cs="Times New Roman"/>
          <w:sz w:val="24"/>
          <w:szCs w:val="24"/>
        </w:rPr>
        <w:t xml:space="preserve"> dos níveis séricos de vitamina D,</w:t>
      </w:r>
      <w:r w:rsidR="00E919C3">
        <w:rPr>
          <w:rFonts w:ascii="Times New Roman" w:hAnsi="Times New Roman" w:cs="Times New Roman"/>
          <w:sz w:val="24"/>
          <w:szCs w:val="24"/>
        </w:rPr>
        <w:t xml:space="preserve"> </w:t>
      </w:r>
      <w:r w:rsidR="006072B3">
        <w:rPr>
          <w:rFonts w:ascii="Times New Roman" w:hAnsi="Times New Roman" w:cs="Times New Roman"/>
          <w:sz w:val="24"/>
          <w:szCs w:val="24"/>
        </w:rPr>
        <w:t>todos os</w:t>
      </w:r>
      <w:r>
        <w:rPr>
          <w:rFonts w:ascii="Times New Roman" w:hAnsi="Times New Roman" w:cs="Times New Roman"/>
          <w:sz w:val="24"/>
          <w:szCs w:val="24"/>
        </w:rPr>
        <w:t xml:space="preserve"> estudos incluídos</w:t>
      </w:r>
      <w:r w:rsidR="006072B3">
        <w:rPr>
          <w:rFonts w:ascii="Times New Roman" w:hAnsi="Times New Roman" w:cs="Times New Roman"/>
          <w:sz w:val="24"/>
          <w:szCs w:val="24"/>
        </w:rPr>
        <w:t xml:space="preserve"> </w:t>
      </w:r>
      <w:r w:rsidR="006A78BF">
        <w:rPr>
          <w:rFonts w:ascii="Times New Roman" w:hAnsi="Times New Roman" w:cs="Times New Roman"/>
          <w:sz w:val="24"/>
          <w:szCs w:val="24"/>
        </w:rPr>
        <w:t xml:space="preserve">apresentaram </w:t>
      </w:r>
      <w:r w:rsidR="006A78BF">
        <w:rPr>
          <w:rFonts w:ascii="Times New Roman" w:hAnsi="Times New Roman" w:cs="Times New Roman"/>
          <w:sz w:val="24"/>
          <w:szCs w:val="24"/>
        </w:rPr>
        <w:lastRenderedPageBreak/>
        <w:t>deficiência e insuficiência altamente prevalente na população de estudo.</w:t>
      </w:r>
      <w:r w:rsidR="001521DC">
        <w:rPr>
          <w:rFonts w:ascii="Times New Roman" w:hAnsi="Times New Roman" w:cs="Times New Roman"/>
          <w:sz w:val="24"/>
          <w:szCs w:val="24"/>
        </w:rPr>
        <w:t xml:space="preserve"> As</w:t>
      </w:r>
      <w:r w:rsidR="001521DC" w:rsidRPr="003479CC">
        <w:rPr>
          <w:rFonts w:ascii="Times New Roman" w:hAnsi="Times New Roman" w:cs="Times New Roman"/>
          <w:sz w:val="24"/>
          <w:szCs w:val="24"/>
        </w:rPr>
        <w:t xml:space="preserve"> prevalências </w:t>
      </w:r>
      <w:r w:rsidR="001521DC">
        <w:rPr>
          <w:rFonts w:ascii="Times New Roman" w:hAnsi="Times New Roman" w:cs="Times New Roman"/>
          <w:sz w:val="24"/>
          <w:szCs w:val="24"/>
        </w:rPr>
        <w:t xml:space="preserve">nos estudos </w:t>
      </w:r>
      <w:r w:rsidR="001521DC" w:rsidRPr="003479CC">
        <w:rPr>
          <w:rFonts w:ascii="Times New Roman" w:hAnsi="Times New Roman" w:cs="Times New Roman"/>
          <w:sz w:val="24"/>
          <w:szCs w:val="24"/>
        </w:rPr>
        <w:t>varia</w:t>
      </w:r>
      <w:r w:rsidR="001521DC">
        <w:rPr>
          <w:rFonts w:ascii="Times New Roman" w:hAnsi="Times New Roman" w:cs="Times New Roman"/>
          <w:sz w:val="24"/>
          <w:szCs w:val="24"/>
        </w:rPr>
        <w:t xml:space="preserve">ram de </w:t>
      </w:r>
      <w:r w:rsidR="00725C05">
        <w:rPr>
          <w:rFonts w:ascii="Times New Roman" w:hAnsi="Times New Roman" w:cs="Times New Roman"/>
          <w:sz w:val="24"/>
          <w:szCs w:val="24"/>
        </w:rPr>
        <w:t>27,1</w:t>
      </w:r>
      <w:r w:rsidR="001521DC" w:rsidRPr="00F21CDA">
        <w:rPr>
          <w:rFonts w:ascii="Times New Roman" w:hAnsi="Times New Roman" w:cs="Times New Roman"/>
          <w:sz w:val="24"/>
          <w:szCs w:val="24"/>
        </w:rPr>
        <w:t xml:space="preserve"> a 65,8%</w:t>
      </w:r>
      <w:r w:rsidR="001521DC">
        <w:rPr>
          <w:rFonts w:ascii="Times New Roman" w:hAnsi="Times New Roman" w:cs="Times New Roman"/>
          <w:sz w:val="24"/>
          <w:szCs w:val="24"/>
        </w:rPr>
        <w:t>.</w:t>
      </w:r>
    </w:p>
    <w:p w14:paraId="06907D2C" w14:textId="295328FC" w:rsidR="00E52248" w:rsidRPr="00E52248" w:rsidRDefault="00617DCB" w:rsidP="004C4BCB">
      <w:pPr>
        <w:spacing w:after="0" w:line="360" w:lineRule="auto"/>
        <w:ind w:firstLine="851"/>
        <w:jc w:val="both"/>
        <w:rPr>
          <w:rFonts w:ascii="Times New Roman" w:hAnsi="Times New Roman" w:cs="Times New Roman"/>
          <w:sz w:val="24"/>
          <w:szCs w:val="24"/>
        </w:rPr>
      </w:pPr>
      <w:r w:rsidRPr="005238AC">
        <w:rPr>
          <w:rFonts w:ascii="Times New Roman" w:hAnsi="Times New Roman" w:cs="Times New Roman"/>
          <w:sz w:val="24"/>
          <w:szCs w:val="24"/>
        </w:rPr>
        <w:t>O</w:t>
      </w:r>
      <w:r w:rsidRPr="00617DCB">
        <w:rPr>
          <w:rFonts w:ascii="Times New Roman" w:hAnsi="Times New Roman" w:cs="Times New Roman"/>
          <w:color w:val="FF0000"/>
          <w:sz w:val="24"/>
          <w:szCs w:val="24"/>
        </w:rPr>
        <w:t xml:space="preserve"> </w:t>
      </w:r>
      <w:r>
        <w:rPr>
          <w:rFonts w:ascii="Times New Roman" w:hAnsi="Times New Roman" w:cs="Times New Roman"/>
          <w:sz w:val="24"/>
          <w:szCs w:val="24"/>
        </w:rPr>
        <w:t>e</w:t>
      </w:r>
      <w:r w:rsidR="00E65F86">
        <w:rPr>
          <w:rFonts w:ascii="Times New Roman" w:hAnsi="Times New Roman" w:cs="Times New Roman"/>
          <w:sz w:val="24"/>
          <w:szCs w:val="24"/>
        </w:rPr>
        <w:t xml:space="preserve">studo transversal indiano investigou </w:t>
      </w:r>
      <w:r w:rsidR="00FE3149" w:rsidRPr="00FE3149">
        <w:rPr>
          <w:rFonts w:ascii="Times New Roman" w:hAnsi="Times New Roman" w:cs="Times New Roman"/>
          <w:sz w:val="24"/>
          <w:szCs w:val="24"/>
        </w:rPr>
        <w:t xml:space="preserve">a deficiência de vitamina D </w:t>
      </w:r>
      <w:r w:rsidRPr="005238AC">
        <w:rPr>
          <w:rFonts w:ascii="Times New Roman" w:hAnsi="Times New Roman" w:cs="Times New Roman"/>
          <w:sz w:val="24"/>
          <w:szCs w:val="24"/>
        </w:rPr>
        <w:t>co</w:t>
      </w:r>
      <w:r w:rsidR="00FE3149" w:rsidRPr="005238AC">
        <w:rPr>
          <w:rFonts w:ascii="Times New Roman" w:hAnsi="Times New Roman" w:cs="Times New Roman"/>
          <w:sz w:val="24"/>
          <w:szCs w:val="24"/>
        </w:rPr>
        <w:t>m</w:t>
      </w:r>
      <w:r w:rsidR="00FE3149" w:rsidRPr="00FE3149">
        <w:rPr>
          <w:rFonts w:ascii="Times New Roman" w:hAnsi="Times New Roman" w:cs="Times New Roman"/>
          <w:sz w:val="24"/>
          <w:szCs w:val="24"/>
        </w:rPr>
        <w:t xml:space="preserve"> </w:t>
      </w:r>
      <w:r w:rsidR="00405A38">
        <w:rPr>
          <w:rFonts w:ascii="Times New Roman" w:hAnsi="Times New Roman" w:cs="Times New Roman"/>
          <w:sz w:val="24"/>
          <w:szCs w:val="24"/>
        </w:rPr>
        <w:t>pacientes</w:t>
      </w:r>
      <w:r w:rsidR="00FE3149" w:rsidRPr="00FE3149">
        <w:rPr>
          <w:rFonts w:ascii="Times New Roman" w:hAnsi="Times New Roman" w:cs="Times New Roman"/>
          <w:sz w:val="24"/>
          <w:szCs w:val="24"/>
        </w:rPr>
        <w:t xml:space="preserve"> com </w:t>
      </w:r>
      <w:r>
        <w:rPr>
          <w:rFonts w:ascii="Times New Roman" w:hAnsi="Times New Roman" w:cs="Times New Roman"/>
          <w:sz w:val="24"/>
          <w:szCs w:val="24"/>
        </w:rPr>
        <w:t>PC</w:t>
      </w:r>
      <w:r w:rsidR="00FE3149" w:rsidRPr="00FE3149">
        <w:rPr>
          <w:rFonts w:ascii="Times New Roman" w:hAnsi="Times New Roman" w:cs="Times New Roman"/>
          <w:sz w:val="24"/>
          <w:szCs w:val="24"/>
        </w:rPr>
        <w:t xml:space="preserve"> abaixo de 18 anos</w:t>
      </w:r>
      <w:r w:rsidR="00FE3149">
        <w:rPr>
          <w:rFonts w:ascii="Times New Roman" w:hAnsi="Times New Roman" w:cs="Times New Roman"/>
          <w:sz w:val="24"/>
          <w:szCs w:val="24"/>
        </w:rPr>
        <w:t xml:space="preserve">, atendidas ambulatorialmente. </w:t>
      </w:r>
      <w:r w:rsidR="00E65F86">
        <w:rPr>
          <w:rFonts w:ascii="Times New Roman" w:hAnsi="Times New Roman" w:cs="Times New Roman"/>
          <w:sz w:val="24"/>
          <w:szCs w:val="24"/>
        </w:rPr>
        <w:t>A</w:t>
      </w:r>
      <w:r w:rsidR="00FE3149" w:rsidRPr="00FE3149">
        <w:rPr>
          <w:rFonts w:ascii="Times New Roman" w:hAnsi="Times New Roman" w:cs="Times New Roman"/>
          <w:sz w:val="24"/>
          <w:szCs w:val="24"/>
        </w:rPr>
        <w:t xml:space="preserve"> prevalência encontrada foi </w:t>
      </w:r>
      <w:r w:rsidR="00FE3149">
        <w:rPr>
          <w:rFonts w:ascii="Times New Roman" w:hAnsi="Times New Roman" w:cs="Times New Roman"/>
          <w:sz w:val="24"/>
          <w:szCs w:val="24"/>
        </w:rPr>
        <w:t xml:space="preserve">alta, em torno de </w:t>
      </w:r>
      <w:r w:rsidR="00FE3149" w:rsidRPr="00FE3149">
        <w:rPr>
          <w:rFonts w:ascii="Times New Roman" w:hAnsi="Times New Roman" w:cs="Times New Roman"/>
          <w:sz w:val="24"/>
          <w:szCs w:val="24"/>
        </w:rPr>
        <w:t>55%</w:t>
      </w:r>
      <w:r w:rsidR="00E65F86">
        <w:rPr>
          <w:rFonts w:ascii="Times New Roman" w:hAnsi="Times New Roman" w:cs="Times New Roman"/>
          <w:sz w:val="24"/>
          <w:szCs w:val="24"/>
        </w:rPr>
        <w:t xml:space="preserve"> e a</w:t>
      </w:r>
      <w:r w:rsidR="00FE3149" w:rsidRPr="00FE3149">
        <w:rPr>
          <w:rFonts w:ascii="Times New Roman" w:hAnsi="Times New Roman" w:cs="Times New Roman"/>
          <w:sz w:val="24"/>
          <w:szCs w:val="24"/>
        </w:rPr>
        <w:t xml:space="preserve"> </w:t>
      </w:r>
      <w:r w:rsidR="00E65F86">
        <w:rPr>
          <w:rFonts w:ascii="Times New Roman" w:hAnsi="Times New Roman" w:cs="Times New Roman"/>
          <w:sz w:val="24"/>
          <w:szCs w:val="24"/>
        </w:rPr>
        <w:t>i</w:t>
      </w:r>
      <w:r w:rsidR="00FE3149" w:rsidRPr="00FE3149">
        <w:rPr>
          <w:rFonts w:ascii="Times New Roman" w:hAnsi="Times New Roman" w:cs="Times New Roman"/>
          <w:sz w:val="24"/>
          <w:szCs w:val="24"/>
        </w:rPr>
        <w:t xml:space="preserve">nsuficiência foi </w:t>
      </w:r>
      <w:r w:rsidR="00E52248">
        <w:rPr>
          <w:rFonts w:ascii="Times New Roman" w:hAnsi="Times New Roman" w:cs="Times New Roman"/>
          <w:sz w:val="24"/>
          <w:szCs w:val="24"/>
        </w:rPr>
        <w:t>vista</w:t>
      </w:r>
      <w:r w:rsidR="00FE3149" w:rsidRPr="00FE3149">
        <w:rPr>
          <w:rFonts w:ascii="Times New Roman" w:hAnsi="Times New Roman" w:cs="Times New Roman"/>
          <w:sz w:val="24"/>
          <w:szCs w:val="24"/>
        </w:rPr>
        <w:t xml:space="preserve"> em 35% dos casos. </w:t>
      </w:r>
      <w:r w:rsidR="008D15A6">
        <w:rPr>
          <w:rFonts w:ascii="Times New Roman" w:hAnsi="Times New Roman" w:cs="Times New Roman"/>
          <w:sz w:val="24"/>
          <w:szCs w:val="24"/>
        </w:rPr>
        <w:t>A soma da deficiência e</w:t>
      </w:r>
      <w:r w:rsidR="00FE3149" w:rsidRPr="00FE3149">
        <w:rPr>
          <w:rFonts w:ascii="Times New Roman" w:hAnsi="Times New Roman" w:cs="Times New Roman"/>
          <w:sz w:val="24"/>
          <w:szCs w:val="24"/>
        </w:rPr>
        <w:t xml:space="preserve"> insuficiência </w:t>
      </w:r>
      <w:r w:rsidR="00B16A06">
        <w:rPr>
          <w:rFonts w:ascii="Times New Roman" w:hAnsi="Times New Roman" w:cs="Times New Roman"/>
          <w:sz w:val="24"/>
          <w:szCs w:val="24"/>
        </w:rPr>
        <w:t>f</w:t>
      </w:r>
      <w:r w:rsidR="008D15A6">
        <w:rPr>
          <w:rFonts w:ascii="Times New Roman" w:hAnsi="Times New Roman" w:cs="Times New Roman"/>
          <w:sz w:val="24"/>
          <w:szCs w:val="24"/>
        </w:rPr>
        <w:t>oi</w:t>
      </w:r>
      <w:r w:rsidR="00B16A06">
        <w:rPr>
          <w:rFonts w:ascii="Times New Roman" w:hAnsi="Times New Roman" w:cs="Times New Roman"/>
          <w:sz w:val="24"/>
          <w:szCs w:val="24"/>
        </w:rPr>
        <w:t xml:space="preserve"> </w:t>
      </w:r>
      <w:r w:rsidR="00177504">
        <w:rPr>
          <w:rFonts w:ascii="Times New Roman" w:hAnsi="Times New Roman" w:cs="Times New Roman"/>
          <w:sz w:val="24"/>
          <w:szCs w:val="24"/>
        </w:rPr>
        <w:t xml:space="preserve">bem </w:t>
      </w:r>
      <w:r w:rsidR="008D15A6">
        <w:rPr>
          <w:rFonts w:ascii="Times New Roman" w:hAnsi="Times New Roman" w:cs="Times New Roman"/>
          <w:sz w:val="24"/>
          <w:szCs w:val="24"/>
        </w:rPr>
        <w:t>elevada</w:t>
      </w:r>
      <w:r w:rsidR="00177504">
        <w:rPr>
          <w:rFonts w:ascii="Times New Roman" w:hAnsi="Times New Roman" w:cs="Times New Roman"/>
          <w:sz w:val="24"/>
          <w:szCs w:val="24"/>
        </w:rPr>
        <w:t xml:space="preserve">, </w:t>
      </w:r>
      <w:r w:rsidR="008D15A6">
        <w:rPr>
          <w:rFonts w:ascii="Times New Roman" w:hAnsi="Times New Roman" w:cs="Times New Roman"/>
          <w:sz w:val="24"/>
          <w:szCs w:val="24"/>
        </w:rPr>
        <w:t xml:space="preserve">em torno de </w:t>
      </w:r>
      <w:r w:rsidR="008D15A6" w:rsidRPr="00FE3149">
        <w:rPr>
          <w:rFonts w:ascii="Times New Roman" w:hAnsi="Times New Roman" w:cs="Times New Roman"/>
          <w:sz w:val="24"/>
          <w:szCs w:val="24"/>
        </w:rPr>
        <w:t>90</w:t>
      </w:r>
      <w:r w:rsidR="00FE3149" w:rsidRPr="00FE3149">
        <w:rPr>
          <w:rFonts w:ascii="Times New Roman" w:hAnsi="Times New Roman" w:cs="Times New Roman"/>
          <w:sz w:val="24"/>
          <w:szCs w:val="24"/>
        </w:rPr>
        <w:t>%</w:t>
      </w:r>
      <w:r w:rsidR="00E65F86">
        <w:rPr>
          <w:rFonts w:ascii="Times New Roman" w:hAnsi="Times New Roman" w:cs="Times New Roman"/>
          <w:sz w:val="24"/>
          <w:szCs w:val="24"/>
        </w:rPr>
        <w:t xml:space="preserve"> </w:t>
      </w:r>
      <w:r w:rsidR="00E65F86">
        <w:rPr>
          <w:rFonts w:ascii="Times New Roman" w:hAnsi="Times New Roman" w:cs="Times New Roman"/>
          <w:sz w:val="24"/>
          <w:szCs w:val="24"/>
        </w:rPr>
        <w:fldChar w:fldCharType="begin" w:fldLock="1"/>
      </w:r>
      <w:r w:rsidR="00E65F86">
        <w:rPr>
          <w:rFonts w:ascii="Times New Roman" w:hAnsi="Times New Roman" w:cs="Times New Roman"/>
          <w:sz w:val="24"/>
          <w:szCs w:val="24"/>
        </w:rPr>
        <w:instrText>ADDIN CSL_CITATION {"citationItems":[{"id":"ITEM-1","itemData":{"DOI":"10.18535/jmscr/v7i3.171","author":[{"dropping-particle":"","family":"Nair","given":"Sindhu K","non-dropping-particle":"","parse-names":false,"suffix":""},{"dropping-particle":"","family":"Gafoor","given":"Dr S. Abdul","non-dropping-particle":"","parse-names":false,"suffix":""}],"container-title":"journal of Medical Science And clinical Research","id":"ITEM-1","issue":"3","issued":{"date-parts":[["2019"]]},"page":"991-996","title":"Vitamin D level in cerebral palsy patients below 18 years","type":"article-journal","volume":"7"},"uris":["http://www.mendeley.com/documents/?uuid=48877b37-3317-4aad-a954-722a4fb4253a"]}],"mendeley":{"formattedCitation":"(NAIR; GAFOOR, 2019)","plainTextFormattedCitation":"(NAIR; GAFOOR, 2019)","previouslyFormattedCitation":"(NAIR; GAFOOR, 2019)"},"properties":{"noteIndex":0},"schema":"https://github.com/citation-style-language/schema/raw/master/csl-citation.json"}</w:instrText>
      </w:r>
      <w:r w:rsidR="00E65F86">
        <w:rPr>
          <w:rFonts w:ascii="Times New Roman" w:hAnsi="Times New Roman" w:cs="Times New Roman"/>
          <w:sz w:val="24"/>
          <w:szCs w:val="24"/>
        </w:rPr>
        <w:fldChar w:fldCharType="separate"/>
      </w:r>
      <w:r w:rsidR="00E65F86" w:rsidRPr="00E65F86">
        <w:rPr>
          <w:rFonts w:ascii="Times New Roman" w:hAnsi="Times New Roman" w:cs="Times New Roman"/>
          <w:noProof/>
          <w:sz w:val="24"/>
          <w:szCs w:val="24"/>
        </w:rPr>
        <w:t>(NAIR; GAFOOR, 2019)</w:t>
      </w:r>
      <w:r w:rsidR="00E65F86">
        <w:rPr>
          <w:rFonts w:ascii="Times New Roman" w:hAnsi="Times New Roman" w:cs="Times New Roman"/>
          <w:sz w:val="24"/>
          <w:szCs w:val="24"/>
        </w:rPr>
        <w:fldChar w:fldCharType="end"/>
      </w:r>
      <w:r w:rsidR="00FE3149">
        <w:rPr>
          <w:rFonts w:ascii="Times New Roman" w:hAnsi="Times New Roman" w:cs="Times New Roman"/>
          <w:sz w:val="24"/>
          <w:szCs w:val="24"/>
        </w:rPr>
        <w:t>.</w:t>
      </w:r>
      <w:r w:rsidR="00E52248">
        <w:rPr>
          <w:rFonts w:ascii="Times New Roman" w:hAnsi="Times New Roman" w:cs="Times New Roman"/>
          <w:sz w:val="24"/>
          <w:szCs w:val="24"/>
        </w:rPr>
        <w:t xml:space="preserve"> </w:t>
      </w:r>
      <w:r w:rsidR="00E65F86">
        <w:rPr>
          <w:rFonts w:ascii="Times New Roman" w:hAnsi="Times New Roman" w:cs="Times New Roman"/>
          <w:sz w:val="24"/>
          <w:szCs w:val="24"/>
        </w:rPr>
        <w:t xml:space="preserve">Outro estudo transversal indiano, </w:t>
      </w:r>
      <w:r w:rsidR="00E52248">
        <w:rPr>
          <w:rFonts w:ascii="Times New Roman" w:hAnsi="Times New Roman" w:cs="Times New Roman"/>
          <w:sz w:val="24"/>
          <w:szCs w:val="24"/>
        </w:rPr>
        <w:t>também observ</w:t>
      </w:r>
      <w:r w:rsidR="00E65F86">
        <w:rPr>
          <w:rFonts w:ascii="Times New Roman" w:hAnsi="Times New Roman" w:cs="Times New Roman"/>
          <w:sz w:val="24"/>
          <w:szCs w:val="24"/>
        </w:rPr>
        <w:t>ou</w:t>
      </w:r>
      <w:r w:rsidR="00E52248">
        <w:rPr>
          <w:rFonts w:ascii="Times New Roman" w:hAnsi="Times New Roman" w:cs="Times New Roman"/>
          <w:sz w:val="24"/>
          <w:szCs w:val="24"/>
        </w:rPr>
        <w:t xml:space="preserve"> que </w:t>
      </w:r>
      <w:r w:rsidR="00E52248" w:rsidRPr="007B7FF6">
        <w:rPr>
          <w:rFonts w:ascii="Times New Roman" w:hAnsi="Times New Roman" w:cs="Times New Roman"/>
          <w:bCs/>
          <w:sz w:val="24"/>
          <w:szCs w:val="24"/>
        </w:rPr>
        <w:t>60% das crianças</w:t>
      </w:r>
      <w:r w:rsidR="00405A38">
        <w:rPr>
          <w:rFonts w:ascii="Times New Roman" w:hAnsi="Times New Roman" w:cs="Times New Roman"/>
          <w:bCs/>
          <w:sz w:val="24"/>
          <w:szCs w:val="24"/>
        </w:rPr>
        <w:t xml:space="preserve"> e adolescentes</w:t>
      </w:r>
      <w:r w:rsidR="00E52248" w:rsidRPr="007B7FF6">
        <w:rPr>
          <w:rFonts w:ascii="Times New Roman" w:hAnsi="Times New Roman" w:cs="Times New Roman"/>
          <w:bCs/>
          <w:sz w:val="24"/>
          <w:szCs w:val="24"/>
        </w:rPr>
        <w:t xml:space="preserve"> com PC </w:t>
      </w:r>
      <w:r w:rsidR="00E52248">
        <w:rPr>
          <w:rFonts w:ascii="Times New Roman" w:hAnsi="Times New Roman" w:cs="Times New Roman"/>
          <w:bCs/>
          <w:sz w:val="24"/>
          <w:szCs w:val="24"/>
        </w:rPr>
        <w:t xml:space="preserve">estavam </w:t>
      </w:r>
      <w:r w:rsidR="00E52248" w:rsidRPr="007B7FF6">
        <w:rPr>
          <w:rFonts w:ascii="Times New Roman" w:hAnsi="Times New Roman" w:cs="Times New Roman"/>
          <w:bCs/>
          <w:sz w:val="24"/>
          <w:szCs w:val="24"/>
        </w:rPr>
        <w:t>deficientes.</w:t>
      </w:r>
      <w:r w:rsidR="00E52248" w:rsidRPr="007B7FF6">
        <w:rPr>
          <w:rFonts w:ascii="Times New Roman" w:hAnsi="Times New Roman" w:cs="Times New Roman"/>
          <w:sz w:val="24"/>
          <w:szCs w:val="24"/>
        </w:rPr>
        <w:t xml:space="preserve"> As possíveis razões para esses achados foram menor </w:t>
      </w:r>
      <w:r w:rsidR="00E52248" w:rsidRPr="007B7FF6">
        <w:rPr>
          <w:rFonts w:ascii="Times New Roman" w:hAnsi="Times New Roman" w:cs="Times New Roman"/>
          <w:bCs/>
          <w:sz w:val="24"/>
          <w:szCs w:val="24"/>
        </w:rPr>
        <w:t>ingestão alimentar de cálcio, baixa exposição ao sol, imobilidade e uso de drogas antiepilépticas</w:t>
      </w:r>
      <w:r w:rsidR="00E65F86">
        <w:rPr>
          <w:rFonts w:ascii="Times New Roman" w:hAnsi="Times New Roman" w:cs="Times New Roman"/>
          <w:bCs/>
          <w:sz w:val="24"/>
          <w:szCs w:val="24"/>
        </w:rPr>
        <w:t xml:space="preserve"> </w:t>
      </w:r>
      <w:r w:rsidR="00E65F86">
        <w:rPr>
          <w:rFonts w:ascii="Times New Roman" w:hAnsi="Times New Roman" w:cs="Times New Roman"/>
          <w:bCs/>
          <w:sz w:val="24"/>
          <w:szCs w:val="24"/>
        </w:rPr>
        <w:fldChar w:fldCharType="begin" w:fldLock="1"/>
      </w:r>
      <w:r w:rsidR="00BF48E1">
        <w:rPr>
          <w:rFonts w:ascii="Times New Roman" w:hAnsi="Times New Roman" w:cs="Times New Roman"/>
          <w:bCs/>
          <w:sz w:val="24"/>
          <w:szCs w:val="24"/>
        </w:rPr>
        <w:instrText>ADDIN CSL_CITATION {"citationItems":[{"id":"ITEM-1","itemData":{"DOI":"10.1080/20469047.2016.1266116","ISSN":"20469055","abstract":"Background: Children with cerebral palsy (CP) are vulnerable to developing vitamin D deficiency. There is little information on the prevalence and severity of vitamin D deficiency in these patients. Objective: To study vitamin D status in children with CP with special reference to their intake of anti-epileptic drugs (AED) and ambulatory status. Methods: The relative effects of AED use and ambulatory status on the vitamin D status of 120 children with CP aged 2–10 years were examined in this observational study. The patients were classified into four groups (30 in each) on the basis of AED use and ambulatory status: ambulatory (CPA), ambulatory receiving AED (CPAD), non-ambulatory (CPNA) and non-ambulatory receiving AED (CPNAD). A control group of 30 age-matched healthy children was also included. Parameters assessed included dietary calcium intake, sun exposure, serum total and ionised calcium (tCa, iCa), inorganic phosphate (iP), alkaline phosphatase (ALP), parathormone (PTH), 25 hydroxy vitamin D [25(OH)D] levels and a wrist radiograph to detect rickets. Vitamin D status was defined on the basis of serum 25(OH)D levels as normal (&gt;50 nmol/L), mild deficiency (25–50 nmol/L), moderate deficiency (12.5–25 nmol/L), severe deficiency (&lt;12.5 nmol/L). Results: Median (IQR) serum 25 (OH)D levels in patients with CP were 35.6 (26.75–64) nmol/L compared with 60 (37–69.25) nmol/L in controls (p = 0.04). Sixty per cent of children with CP and 36.7% of controls were vitamin D-deficient [25(OH)D &lt; 50 nmol/L]. Children with CP had a significantly lower dietary calcium intake and sun exposure than controls (p &lt; 0.0001 each). Serum tCa and iCa levels were significantly lower (p = 0.01 and p &lt; 0.001, respectively) and PTH and ALP levels significantly higher (p = 0.04 and p = 0.001, respectively) in children with CP than in controls. Patients in the CPNAD group were the worst affected, 83.3% of them being vitamin D-deficient with median (IQR) 25(OH)D levels of 33.5 (12.5–45.25) nmol/L. Also, 53.3% of them had raised ALP and 17.2% raised PTH levels. Conclusion: Children with CP are highly vulnerable to vitamin D deficiency. In these patients, AED use and lack of sun exposure contribute towards poor vitamin D status, the effect being more pronounced when they co-exist.","author":[{"dropping-particle":"","family":"Seth","given":"Anju","non-dropping-particle":"","parse-names":false,"suffix":""},{"dropping-particle":"","family":"Aneja","given":"Satinder","non-dropping-particle":"","parse-names":false,"suffix":""},{"dropping-particle":"","family":"Singh","given":"Ritu","non-dropping-particle":"","parse-names":false,"suffix":""},{"dropping-particle":"","family":"Majumdar","given":"Ritu","non-dropping-particle":"","parse-names":false,"suffix":""},{"dropping-particle":"","family":"Sharma","given":"Neera","non-dropping-particle":"","parse-names":false,"suffix":""},{"dropping-particle":"","family":"Gopinath","given":"Muthuselvan","non-dropping-particle":"","parse-names":false,"suffix":""}],"container-title":"Paediatrics and International Child Health","id":"ITEM-1","issue":"3","issued":{"date-parts":[["2017"]]},"page":"193-198","publisher":"Taylor &amp; Francis","title":"Effect of impaired ambulation and anti-epileptic drug intake on vitamin D status of children with cerebral palsy","type":"article-journal","volume":"37"},"uris":["http://www.mendeley.com/documents/?uuid=9d757788-6268-4a5c-9872-a7ecd88a9808"]}],"mendeley":{"formattedCitation":"(SETH et al., 2017)","plainTextFormattedCitation":"(SETH et al., 2017)","previouslyFormattedCitation":"(SETH et al., 2017)"},"properties":{"noteIndex":0},"schema":"https://github.com/citation-style-language/schema/raw/master/csl-citation.json"}</w:instrText>
      </w:r>
      <w:r w:rsidR="00E65F86">
        <w:rPr>
          <w:rFonts w:ascii="Times New Roman" w:hAnsi="Times New Roman" w:cs="Times New Roman"/>
          <w:bCs/>
          <w:sz w:val="24"/>
          <w:szCs w:val="24"/>
        </w:rPr>
        <w:fldChar w:fldCharType="separate"/>
      </w:r>
      <w:r w:rsidR="00E65F86" w:rsidRPr="00E65F86">
        <w:rPr>
          <w:rFonts w:ascii="Times New Roman" w:hAnsi="Times New Roman" w:cs="Times New Roman"/>
          <w:bCs/>
          <w:noProof/>
          <w:sz w:val="24"/>
          <w:szCs w:val="24"/>
        </w:rPr>
        <w:t>(SETH et al., 2017)</w:t>
      </w:r>
      <w:r w:rsidR="00E65F86">
        <w:rPr>
          <w:rFonts w:ascii="Times New Roman" w:hAnsi="Times New Roman" w:cs="Times New Roman"/>
          <w:bCs/>
          <w:sz w:val="24"/>
          <w:szCs w:val="24"/>
        </w:rPr>
        <w:fldChar w:fldCharType="end"/>
      </w:r>
      <w:r w:rsidR="00E52248" w:rsidRPr="007B7FF6">
        <w:rPr>
          <w:rFonts w:ascii="Times New Roman" w:hAnsi="Times New Roman" w:cs="Times New Roman"/>
          <w:bCs/>
          <w:sz w:val="24"/>
          <w:szCs w:val="24"/>
        </w:rPr>
        <w:t>.</w:t>
      </w:r>
      <w:r w:rsidR="00E65F86">
        <w:rPr>
          <w:rFonts w:ascii="Times New Roman" w:hAnsi="Times New Roman" w:cs="Times New Roman"/>
          <w:bCs/>
          <w:sz w:val="24"/>
          <w:szCs w:val="24"/>
        </w:rPr>
        <w:t xml:space="preserve"> </w:t>
      </w:r>
    </w:p>
    <w:p w14:paraId="59D1BF22" w14:textId="1E8C0A6B" w:rsidR="00177504" w:rsidRDefault="006072B3" w:rsidP="004C4BCB">
      <w:pPr>
        <w:spacing w:after="0" w:line="360" w:lineRule="auto"/>
        <w:ind w:firstLine="851"/>
        <w:jc w:val="both"/>
        <w:rPr>
          <w:rFonts w:ascii="Times New Roman" w:hAnsi="Times New Roman" w:cs="Times New Roman"/>
          <w:bCs/>
          <w:sz w:val="24"/>
          <w:szCs w:val="24"/>
        </w:rPr>
      </w:pPr>
      <w:proofErr w:type="spellStart"/>
      <w:r w:rsidRPr="005238AC">
        <w:rPr>
          <w:rFonts w:ascii="Times New Roman" w:hAnsi="Times New Roman" w:cs="Times New Roman"/>
          <w:bCs/>
          <w:sz w:val="24"/>
          <w:szCs w:val="24"/>
        </w:rPr>
        <w:t>Hariprasad</w:t>
      </w:r>
      <w:proofErr w:type="spellEnd"/>
      <w:r w:rsidRPr="005238AC">
        <w:rPr>
          <w:rFonts w:ascii="Times New Roman" w:hAnsi="Times New Roman" w:cs="Times New Roman"/>
          <w:bCs/>
          <w:sz w:val="24"/>
          <w:szCs w:val="24"/>
        </w:rPr>
        <w:t xml:space="preserve"> et al. (2017), </w:t>
      </w:r>
      <w:r w:rsidR="005238AC" w:rsidRPr="005238AC">
        <w:rPr>
          <w:rFonts w:ascii="Times New Roman" w:hAnsi="Times New Roman" w:cs="Times New Roman"/>
          <w:bCs/>
          <w:sz w:val="24"/>
          <w:szCs w:val="24"/>
        </w:rPr>
        <w:t xml:space="preserve">na Índia, </w:t>
      </w:r>
      <w:r>
        <w:rPr>
          <w:rFonts w:ascii="Times New Roman" w:hAnsi="Times New Roman" w:cs="Times New Roman"/>
          <w:bCs/>
          <w:sz w:val="24"/>
          <w:szCs w:val="24"/>
        </w:rPr>
        <w:t xml:space="preserve">encontraram </w:t>
      </w:r>
      <w:r w:rsidR="005238AC" w:rsidRPr="005238AC">
        <w:rPr>
          <w:rFonts w:ascii="Times New Roman" w:hAnsi="Times New Roman" w:cs="Times New Roman"/>
          <w:bCs/>
          <w:sz w:val="24"/>
          <w:szCs w:val="24"/>
        </w:rPr>
        <w:t>deficiência de vitamina D em</w:t>
      </w:r>
      <w:r w:rsidR="00617B4F" w:rsidRPr="005238AC">
        <w:rPr>
          <w:rFonts w:ascii="Times New Roman" w:hAnsi="Times New Roman" w:cs="Times New Roman"/>
          <w:bCs/>
          <w:sz w:val="24"/>
          <w:szCs w:val="24"/>
        </w:rPr>
        <w:t xml:space="preserve"> </w:t>
      </w:r>
      <w:r w:rsidRPr="006072B3">
        <w:rPr>
          <w:rFonts w:ascii="Times New Roman" w:hAnsi="Times New Roman" w:cs="Times New Roman"/>
          <w:bCs/>
          <w:sz w:val="24"/>
          <w:szCs w:val="24"/>
        </w:rPr>
        <w:t>65,9%</w:t>
      </w:r>
      <w:r w:rsidR="00434318">
        <w:rPr>
          <w:rFonts w:ascii="Times New Roman" w:hAnsi="Times New Roman" w:cs="Times New Roman"/>
          <w:bCs/>
          <w:sz w:val="24"/>
          <w:szCs w:val="24"/>
        </w:rPr>
        <w:t xml:space="preserve"> da amostra</w:t>
      </w:r>
      <w:r w:rsidRPr="006072B3">
        <w:rPr>
          <w:rFonts w:ascii="Times New Roman" w:hAnsi="Times New Roman" w:cs="Times New Roman"/>
          <w:bCs/>
          <w:sz w:val="24"/>
          <w:szCs w:val="24"/>
        </w:rPr>
        <w:t xml:space="preserve"> e níveis insuficientes em 22%</w:t>
      </w:r>
      <w:r w:rsidR="00434318">
        <w:rPr>
          <w:rFonts w:ascii="Times New Roman" w:hAnsi="Times New Roman" w:cs="Times New Roman"/>
          <w:bCs/>
          <w:sz w:val="24"/>
          <w:szCs w:val="24"/>
        </w:rPr>
        <w:t xml:space="preserve"> das</w:t>
      </w:r>
      <w:r w:rsidR="00AC1399">
        <w:rPr>
          <w:rFonts w:ascii="Times New Roman" w:hAnsi="Times New Roman" w:cs="Times New Roman"/>
          <w:bCs/>
          <w:sz w:val="24"/>
          <w:szCs w:val="24"/>
        </w:rPr>
        <w:t xml:space="preserve"> criança</w:t>
      </w:r>
      <w:r w:rsidR="005238AC">
        <w:rPr>
          <w:rFonts w:ascii="Times New Roman" w:hAnsi="Times New Roman" w:cs="Times New Roman"/>
          <w:bCs/>
          <w:sz w:val="24"/>
          <w:szCs w:val="24"/>
        </w:rPr>
        <w:t>s</w:t>
      </w:r>
      <w:r w:rsidR="00AC1399">
        <w:rPr>
          <w:rFonts w:ascii="Times New Roman" w:hAnsi="Times New Roman" w:cs="Times New Roman"/>
          <w:bCs/>
          <w:sz w:val="24"/>
          <w:szCs w:val="24"/>
        </w:rPr>
        <w:t xml:space="preserve">. Segundo os autores, a deficiência encontrada, pode ter ocorrido devido a </w:t>
      </w:r>
      <w:r w:rsidR="00AC1399" w:rsidRPr="00AC1399">
        <w:rPr>
          <w:rFonts w:ascii="Times New Roman" w:hAnsi="Times New Roman" w:cs="Times New Roman"/>
          <w:bCs/>
          <w:sz w:val="24"/>
          <w:szCs w:val="24"/>
        </w:rPr>
        <w:t>ingestão alimentar insuficiente e dificuldades de alimentação</w:t>
      </w:r>
      <w:r w:rsidR="00AC1399">
        <w:rPr>
          <w:rFonts w:ascii="Times New Roman" w:hAnsi="Times New Roman" w:cs="Times New Roman"/>
          <w:bCs/>
          <w:sz w:val="24"/>
          <w:szCs w:val="24"/>
        </w:rPr>
        <w:t xml:space="preserve">, visto que a </w:t>
      </w:r>
      <w:r w:rsidR="00AC1399" w:rsidRPr="00AC1399">
        <w:rPr>
          <w:rFonts w:ascii="Times New Roman" w:hAnsi="Times New Roman" w:cs="Times New Roman"/>
          <w:bCs/>
          <w:sz w:val="24"/>
          <w:szCs w:val="24"/>
        </w:rPr>
        <w:t xml:space="preserve">maioria </w:t>
      </w:r>
      <w:r w:rsidR="00AC1399">
        <w:rPr>
          <w:rFonts w:ascii="Times New Roman" w:hAnsi="Times New Roman" w:cs="Times New Roman"/>
          <w:bCs/>
          <w:sz w:val="24"/>
          <w:szCs w:val="24"/>
        </w:rPr>
        <w:t>apresentava</w:t>
      </w:r>
      <w:r w:rsidR="00AC1399" w:rsidRPr="00AC1399">
        <w:rPr>
          <w:rFonts w:ascii="Times New Roman" w:hAnsi="Times New Roman" w:cs="Times New Roman"/>
          <w:bCs/>
          <w:sz w:val="24"/>
          <w:szCs w:val="24"/>
        </w:rPr>
        <w:t xml:space="preserve"> deficiências motoras </w:t>
      </w:r>
      <w:r w:rsidR="00E65F86">
        <w:rPr>
          <w:rFonts w:ascii="Times New Roman" w:hAnsi="Times New Roman" w:cs="Times New Roman"/>
          <w:bCs/>
          <w:sz w:val="24"/>
          <w:szCs w:val="24"/>
        </w:rPr>
        <w:t>graves</w:t>
      </w:r>
      <w:r w:rsidR="00AC1399" w:rsidRPr="00AC1399">
        <w:rPr>
          <w:rFonts w:ascii="Times New Roman" w:hAnsi="Times New Roman" w:cs="Times New Roman"/>
          <w:bCs/>
          <w:sz w:val="24"/>
          <w:szCs w:val="24"/>
        </w:rPr>
        <w:t xml:space="preserve"> e </w:t>
      </w:r>
      <w:r w:rsidR="00E65F86">
        <w:rPr>
          <w:rFonts w:ascii="Times New Roman" w:hAnsi="Times New Roman" w:cs="Times New Roman"/>
          <w:bCs/>
          <w:sz w:val="24"/>
          <w:szCs w:val="24"/>
        </w:rPr>
        <w:t xml:space="preserve">alterações </w:t>
      </w:r>
      <w:r w:rsidR="00AC1399" w:rsidRPr="00AC1399">
        <w:rPr>
          <w:rFonts w:ascii="Times New Roman" w:hAnsi="Times New Roman" w:cs="Times New Roman"/>
          <w:bCs/>
          <w:sz w:val="24"/>
          <w:szCs w:val="24"/>
        </w:rPr>
        <w:t>funcionais significativas</w:t>
      </w:r>
      <w:r w:rsidR="00AC1399">
        <w:rPr>
          <w:rFonts w:ascii="Times New Roman" w:hAnsi="Times New Roman" w:cs="Times New Roman"/>
          <w:bCs/>
          <w:sz w:val="24"/>
          <w:szCs w:val="24"/>
        </w:rPr>
        <w:t xml:space="preserve">. </w:t>
      </w:r>
      <w:r w:rsidR="00177504">
        <w:rPr>
          <w:rFonts w:ascii="Times New Roman" w:hAnsi="Times New Roman" w:cs="Times New Roman"/>
          <w:bCs/>
          <w:sz w:val="24"/>
          <w:szCs w:val="24"/>
        </w:rPr>
        <w:t>Os resultados de</w:t>
      </w:r>
      <w:r w:rsidR="00177504" w:rsidRPr="00F92041">
        <w:rPr>
          <w:rFonts w:ascii="Times New Roman" w:hAnsi="Times New Roman" w:cs="Times New Roman"/>
          <w:bCs/>
          <w:sz w:val="24"/>
          <w:szCs w:val="24"/>
        </w:rPr>
        <w:t xml:space="preserve"> </w:t>
      </w:r>
      <w:proofErr w:type="spellStart"/>
      <w:r w:rsidR="00177504" w:rsidRPr="005238AC">
        <w:rPr>
          <w:rFonts w:ascii="Times New Roman" w:hAnsi="Times New Roman" w:cs="Times New Roman"/>
          <w:bCs/>
          <w:sz w:val="24"/>
          <w:szCs w:val="24"/>
        </w:rPr>
        <w:t>Akpinar</w:t>
      </w:r>
      <w:proofErr w:type="spellEnd"/>
      <w:r w:rsidR="00177504" w:rsidRPr="005238AC">
        <w:rPr>
          <w:rFonts w:ascii="Times New Roman" w:hAnsi="Times New Roman" w:cs="Times New Roman"/>
          <w:bCs/>
          <w:sz w:val="24"/>
          <w:szCs w:val="24"/>
        </w:rPr>
        <w:t xml:space="preserve"> (2018), </w:t>
      </w:r>
      <w:r w:rsidR="005238AC" w:rsidRPr="005238AC">
        <w:rPr>
          <w:rFonts w:ascii="Times New Roman" w:hAnsi="Times New Roman" w:cs="Times New Roman"/>
          <w:bCs/>
          <w:sz w:val="24"/>
          <w:szCs w:val="24"/>
        </w:rPr>
        <w:t xml:space="preserve">na Turquia, </w:t>
      </w:r>
      <w:r w:rsidR="00283472">
        <w:rPr>
          <w:rFonts w:ascii="Times New Roman" w:hAnsi="Times New Roman" w:cs="Times New Roman"/>
          <w:bCs/>
          <w:sz w:val="24"/>
          <w:szCs w:val="24"/>
        </w:rPr>
        <w:t xml:space="preserve">também </w:t>
      </w:r>
      <w:r w:rsidR="00177504" w:rsidRPr="00C26213">
        <w:rPr>
          <w:rFonts w:ascii="Times New Roman" w:hAnsi="Times New Roman" w:cs="Times New Roman"/>
          <w:bCs/>
          <w:sz w:val="24"/>
          <w:szCs w:val="24"/>
        </w:rPr>
        <w:t>demonstraram que crianças</w:t>
      </w:r>
      <w:r w:rsidR="00405A38">
        <w:rPr>
          <w:rFonts w:ascii="Times New Roman" w:hAnsi="Times New Roman" w:cs="Times New Roman"/>
          <w:bCs/>
          <w:sz w:val="24"/>
          <w:szCs w:val="24"/>
        </w:rPr>
        <w:t xml:space="preserve"> e adolescentes</w:t>
      </w:r>
      <w:r w:rsidR="00177504" w:rsidRPr="00C26213">
        <w:rPr>
          <w:rFonts w:ascii="Times New Roman" w:hAnsi="Times New Roman" w:cs="Times New Roman"/>
          <w:bCs/>
          <w:sz w:val="24"/>
          <w:szCs w:val="24"/>
        </w:rPr>
        <w:t xml:space="preserve"> com PC que não deambulavam e tinham deficiências associadas, como história de epilepsia, atraso intelectual, problemas </w:t>
      </w:r>
      <w:r w:rsidR="00177504">
        <w:rPr>
          <w:rFonts w:ascii="Times New Roman" w:hAnsi="Times New Roman" w:cs="Times New Roman"/>
          <w:bCs/>
          <w:sz w:val="24"/>
          <w:szCs w:val="24"/>
        </w:rPr>
        <w:t>dentários</w:t>
      </w:r>
      <w:r w:rsidR="00177504" w:rsidRPr="00C26213">
        <w:rPr>
          <w:rFonts w:ascii="Times New Roman" w:hAnsi="Times New Roman" w:cs="Times New Roman"/>
          <w:bCs/>
          <w:sz w:val="24"/>
          <w:szCs w:val="24"/>
        </w:rPr>
        <w:t xml:space="preserve"> e retardo de crescimento</w:t>
      </w:r>
      <w:r w:rsidR="00E65F86">
        <w:rPr>
          <w:rFonts w:ascii="Times New Roman" w:hAnsi="Times New Roman" w:cs="Times New Roman"/>
          <w:bCs/>
          <w:sz w:val="24"/>
          <w:szCs w:val="24"/>
        </w:rPr>
        <w:t>,</w:t>
      </w:r>
      <w:r w:rsidR="00177504" w:rsidRPr="00C26213">
        <w:rPr>
          <w:rFonts w:ascii="Times New Roman" w:hAnsi="Times New Roman" w:cs="Times New Roman"/>
          <w:bCs/>
          <w:sz w:val="24"/>
          <w:szCs w:val="24"/>
        </w:rPr>
        <w:t xml:space="preserve"> eram propensas à deficiência de vitamina D.</w:t>
      </w:r>
      <w:r w:rsidR="00177504">
        <w:rPr>
          <w:rFonts w:ascii="Times New Roman" w:hAnsi="Times New Roman" w:cs="Times New Roman"/>
          <w:bCs/>
          <w:sz w:val="24"/>
          <w:szCs w:val="24"/>
        </w:rPr>
        <w:t xml:space="preserve"> </w:t>
      </w:r>
    </w:p>
    <w:p w14:paraId="174BA172" w14:textId="04D2F4A7" w:rsidR="00E52248" w:rsidRDefault="005238AC" w:rsidP="004C4BCB">
      <w:pPr>
        <w:spacing w:after="0" w:line="360" w:lineRule="auto"/>
        <w:ind w:firstLine="851"/>
        <w:jc w:val="both"/>
        <w:rPr>
          <w:rFonts w:ascii="Times New Roman" w:hAnsi="Times New Roman" w:cs="Times New Roman"/>
          <w:bCs/>
          <w:sz w:val="24"/>
          <w:szCs w:val="24"/>
        </w:rPr>
      </w:pPr>
      <w:r>
        <w:rPr>
          <w:rFonts w:ascii="Times New Roman" w:hAnsi="Times New Roman" w:cs="Times New Roman"/>
          <w:bCs/>
          <w:sz w:val="24"/>
          <w:szCs w:val="24"/>
        </w:rPr>
        <w:t xml:space="preserve">Na Bélgica, </w:t>
      </w:r>
      <w:r w:rsidR="00E52248" w:rsidRPr="00CD42BD">
        <w:rPr>
          <w:rFonts w:ascii="Times New Roman" w:hAnsi="Times New Roman" w:cs="Times New Roman"/>
          <w:bCs/>
          <w:sz w:val="24"/>
          <w:szCs w:val="24"/>
        </w:rPr>
        <w:t>Le Roy et al.</w:t>
      </w:r>
      <w:r w:rsidR="00E52248">
        <w:rPr>
          <w:rFonts w:ascii="Times New Roman" w:hAnsi="Times New Roman" w:cs="Times New Roman"/>
          <w:bCs/>
          <w:sz w:val="24"/>
          <w:szCs w:val="24"/>
        </w:rPr>
        <w:t xml:space="preserve"> (</w:t>
      </w:r>
      <w:r w:rsidR="00E52248" w:rsidRPr="00CD42BD">
        <w:rPr>
          <w:rFonts w:ascii="Times New Roman" w:hAnsi="Times New Roman" w:cs="Times New Roman"/>
          <w:bCs/>
          <w:sz w:val="24"/>
          <w:szCs w:val="24"/>
        </w:rPr>
        <w:t>2019</w:t>
      </w:r>
      <w:r w:rsidR="00E52248">
        <w:rPr>
          <w:rFonts w:ascii="Times New Roman" w:hAnsi="Times New Roman" w:cs="Times New Roman"/>
          <w:bCs/>
          <w:sz w:val="24"/>
          <w:szCs w:val="24"/>
        </w:rPr>
        <w:t>)</w:t>
      </w:r>
      <w:r w:rsidR="00471106">
        <w:rPr>
          <w:rFonts w:ascii="Times New Roman" w:hAnsi="Times New Roman" w:cs="Times New Roman"/>
          <w:bCs/>
          <w:sz w:val="24"/>
          <w:szCs w:val="24"/>
        </w:rPr>
        <w:t xml:space="preserve"> </w:t>
      </w:r>
      <w:r w:rsidR="00314F6F" w:rsidRPr="005238AC">
        <w:rPr>
          <w:rFonts w:ascii="Times New Roman" w:hAnsi="Times New Roman" w:cs="Times New Roman"/>
          <w:bCs/>
          <w:sz w:val="24"/>
          <w:szCs w:val="24"/>
        </w:rPr>
        <w:t>o</w:t>
      </w:r>
      <w:r w:rsidR="00E52248" w:rsidRPr="005238AC">
        <w:rPr>
          <w:rFonts w:ascii="Times New Roman" w:hAnsi="Times New Roman" w:cs="Times New Roman"/>
          <w:bCs/>
          <w:sz w:val="24"/>
          <w:szCs w:val="24"/>
        </w:rPr>
        <w:t xml:space="preserve">bservaram que </w:t>
      </w:r>
      <w:r w:rsidR="00E52248" w:rsidRPr="00E73AEA">
        <w:rPr>
          <w:rFonts w:ascii="Times New Roman" w:hAnsi="Times New Roman" w:cs="Times New Roman"/>
          <w:bCs/>
          <w:sz w:val="24"/>
          <w:szCs w:val="24"/>
        </w:rPr>
        <w:t>47,8%</w:t>
      </w:r>
      <w:r w:rsidR="00E52248">
        <w:rPr>
          <w:rFonts w:ascii="Times New Roman" w:hAnsi="Times New Roman" w:cs="Times New Roman"/>
          <w:bCs/>
          <w:sz w:val="24"/>
          <w:szCs w:val="24"/>
        </w:rPr>
        <w:t xml:space="preserve"> </w:t>
      </w:r>
      <w:r w:rsidR="00E52248" w:rsidRPr="00E73AEA">
        <w:rPr>
          <w:rFonts w:ascii="Times New Roman" w:hAnsi="Times New Roman" w:cs="Times New Roman"/>
          <w:bCs/>
          <w:sz w:val="24"/>
          <w:szCs w:val="24"/>
        </w:rPr>
        <w:t>dos pacientes apresentavam insuficiência e 30,4%</w:t>
      </w:r>
      <w:r w:rsidR="00314F6F">
        <w:rPr>
          <w:rFonts w:ascii="Times New Roman" w:hAnsi="Times New Roman" w:cs="Times New Roman"/>
          <w:bCs/>
          <w:sz w:val="24"/>
          <w:szCs w:val="24"/>
        </w:rPr>
        <w:t xml:space="preserve"> </w:t>
      </w:r>
      <w:r w:rsidR="00E52248" w:rsidRPr="00E73AEA">
        <w:rPr>
          <w:rFonts w:ascii="Times New Roman" w:hAnsi="Times New Roman" w:cs="Times New Roman"/>
          <w:bCs/>
          <w:sz w:val="24"/>
          <w:szCs w:val="24"/>
        </w:rPr>
        <w:t>deficiência.</w:t>
      </w:r>
      <w:r w:rsidR="00E52248">
        <w:rPr>
          <w:rFonts w:ascii="Times New Roman" w:hAnsi="Times New Roman" w:cs="Times New Roman"/>
          <w:bCs/>
          <w:sz w:val="24"/>
          <w:szCs w:val="24"/>
        </w:rPr>
        <w:t xml:space="preserve"> </w:t>
      </w:r>
      <w:r w:rsidR="00314F6F" w:rsidRPr="00250BC3">
        <w:rPr>
          <w:rFonts w:ascii="Times New Roman" w:hAnsi="Times New Roman" w:cs="Times New Roman"/>
          <w:bCs/>
          <w:sz w:val="24"/>
          <w:szCs w:val="24"/>
        </w:rPr>
        <w:t xml:space="preserve">Esses pesquisadores </w:t>
      </w:r>
      <w:r w:rsidR="00E52248" w:rsidRPr="00250BC3">
        <w:rPr>
          <w:rFonts w:ascii="Times New Roman" w:hAnsi="Times New Roman" w:cs="Times New Roman"/>
          <w:bCs/>
          <w:sz w:val="24"/>
          <w:szCs w:val="24"/>
        </w:rPr>
        <w:t xml:space="preserve">não </w:t>
      </w:r>
      <w:r w:rsidR="00314F6F" w:rsidRPr="00250BC3">
        <w:rPr>
          <w:rFonts w:ascii="Times New Roman" w:hAnsi="Times New Roman" w:cs="Times New Roman"/>
          <w:bCs/>
          <w:sz w:val="24"/>
          <w:szCs w:val="24"/>
        </w:rPr>
        <w:t xml:space="preserve">verificaram </w:t>
      </w:r>
      <w:r w:rsidR="00E52248" w:rsidRPr="00250BC3">
        <w:rPr>
          <w:rFonts w:ascii="Times New Roman" w:hAnsi="Times New Roman" w:cs="Times New Roman"/>
          <w:bCs/>
          <w:sz w:val="24"/>
          <w:szCs w:val="24"/>
        </w:rPr>
        <w:t xml:space="preserve">associação entre </w:t>
      </w:r>
      <w:r w:rsidR="00314F6F" w:rsidRPr="00250BC3">
        <w:rPr>
          <w:rFonts w:ascii="Times New Roman" w:hAnsi="Times New Roman" w:cs="Times New Roman"/>
          <w:bCs/>
          <w:sz w:val="24"/>
          <w:szCs w:val="24"/>
        </w:rPr>
        <w:t xml:space="preserve">a concentração de </w:t>
      </w:r>
      <w:r w:rsidR="00E52248" w:rsidRPr="00250BC3">
        <w:rPr>
          <w:rFonts w:ascii="Times New Roman" w:hAnsi="Times New Roman" w:cs="Times New Roman"/>
          <w:bCs/>
          <w:sz w:val="24"/>
          <w:szCs w:val="24"/>
        </w:rPr>
        <w:t xml:space="preserve">25(OH)D </w:t>
      </w:r>
      <w:r w:rsidR="00E52248" w:rsidRPr="00DB0C38">
        <w:rPr>
          <w:rFonts w:ascii="Times New Roman" w:hAnsi="Times New Roman" w:cs="Times New Roman"/>
          <w:bCs/>
          <w:sz w:val="24"/>
          <w:szCs w:val="24"/>
        </w:rPr>
        <w:t xml:space="preserve">e </w:t>
      </w:r>
      <w:r w:rsidR="00BF48E1">
        <w:rPr>
          <w:rFonts w:ascii="Times New Roman" w:hAnsi="Times New Roman" w:cs="Times New Roman"/>
          <w:bCs/>
          <w:sz w:val="24"/>
          <w:szCs w:val="24"/>
        </w:rPr>
        <w:t xml:space="preserve">gravidade motora pelo </w:t>
      </w:r>
      <w:r w:rsidR="00BF48E1" w:rsidRPr="00BF48E1">
        <w:rPr>
          <w:rFonts w:ascii="Times New Roman" w:hAnsi="Times New Roman" w:cs="Times New Roman"/>
          <w:bCs/>
          <w:sz w:val="24"/>
          <w:szCs w:val="24"/>
        </w:rPr>
        <w:t xml:space="preserve">Sistema de Classificação da Função Motora Grossa </w:t>
      </w:r>
      <w:r w:rsidR="00BF48E1">
        <w:rPr>
          <w:rFonts w:ascii="Times New Roman" w:hAnsi="Times New Roman" w:cs="Times New Roman"/>
          <w:bCs/>
          <w:sz w:val="24"/>
          <w:szCs w:val="24"/>
        </w:rPr>
        <w:t>(</w:t>
      </w:r>
      <w:r w:rsidR="00E52248" w:rsidRPr="00DB0C38">
        <w:rPr>
          <w:rFonts w:ascii="Times New Roman" w:hAnsi="Times New Roman" w:cs="Times New Roman"/>
          <w:bCs/>
          <w:sz w:val="24"/>
          <w:szCs w:val="24"/>
        </w:rPr>
        <w:t>GMFCS</w:t>
      </w:r>
      <w:r w:rsidR="00BF48E1">
        <w:rPr>
          <w:rFonts w:ascii="Times New Roman" w:hAnsi="Times New Roman" w:cs="Times New Roman"/>
          <w:bCs/>
          <w:sz w:val="24"/>
          <w:szCs w:val="24"/>
        </w:rPr>
        <w:t>)</w:t>
      </w:r>
      <w:r w:rsidR="00E52248" w:rsidRPr="00DB0C38">
        <w:rPr>
          <w:rFonts w:ascii="Times New Roman" w:hAnsi="Times New Roman" w:cs="Times New Roman"/>
          <w:bCs/>
          <w:sz w:val="24"/>
          <w:szCs w:val="24"/>
        </w:rPr>
        <w:t>, estado nutricional, via de alimentação, uso de drogas antiepilépticas e suplementação insuficiente de vitamina D.</w:t>
      </w:r>
    </w:p>
    <w:p w14:paraId="601D8E37" w14:textId="65961C08" w:rsidR="00E52248" w:rsidRDefault="00617B4F" w:rsidP="004C4BCB">
      <w:pPr>
        <w:spacing w:after="0" w:line="360" w:lineRule="auto"/>
        <w:ind w:firstLine="851"/>
        <w:jc w:val="both"/>
        <w:rPr>
          <w:rFonts w:ascii="Times New Roman" w:hAnsi="Times New Roman" w:cs="Times New Roman"/>
          <w:bCs/>
          <w:sz w:val="24"/>
          <w:szCs w:val="24"/>
        </w:rPr>
      </w:pPr>
      <w:r>
        <w:rPr>
          <w:rFonts w:ascii="Times New Roman" w:hAnsi="Times New Roman" w:cs="Times New Roman"/>
          <w:bCs/>
          <w:sz w:val="24"/>
          <w:szCs w:val="24"/>
        </w:rPr>
        <w:t xml:space="preserve">Ademais </w:t>
      </w:r>
      <w:r w:rsidR="00E52248">
        <w:rPr>
          <w:rFonts w:ascii="Times New Roman" w:hAnsi="Times New Roman" w:cs="Times New Roman"/>
          <w:bCs/>
          <w:sz w:val="24"/>
          <w:szCs w:val="24"/>
        </w:rPr>
        <w:t xml:space="preserve">a </w:t>
      </w:r>
      <w:r w:rsidR="00E52248" w:rsidRPr="00FA4758">
        <w:rPr>
          <w:rFonts w:ascii="Times New Roman" w:hAnsi="Times New Roman" w:cs="Times New Roman"/>
          <w:bCs/>
          <w:sz w:val="24"/>
          <w:szCs w:val="24"/>
        </w:rPr>
        <w:t>deficiência de vitamina D foi</w:t>
      </w:r>
      <w:r w:rsidR="00E52248">
        <w:rPr>
          <w:rFonts w:ascii="Times New Roman" w:hAnsi="Times New Roman" w:cs="Times New Roman"/>
          <w:bCs/>
          <w:sz w:val="24"/>
          <w:szCs w:val="24"/>
        </w:rPr>
        <w:t xml:space="preserve"> </w:t>
      </w:r>
      <w:r w:rsidR="00E52248" w:rsidRPr="00FA4758">
        <w:rPr>
          <w:rFonts w:ascii="Times New Roman" w:hAnsi="Times New Roman" w:cs="Times New Roman"/>
          <w:bCs/>
          <w:sz w:val="24"/>
          <w:szCs w:val="24"/>
        </w:rPr>
        <w:t>significativamente mais prevalente em crianças</w:t>
      </w:r>
      <w:r w:rsidR="00405A38">
        <w:rPr>
          <w:rFonts w:ascii="Times New Roman" w:hAnsi="Times New Roman" w:cs="Times New Roman"/>
          <w:bCs/>
          <w:sz w:val="24"/>
          <w:szCs w:val="24"/>
        </w:rPr>
        <w:t xml:space="preserve"> e adolescentes</w:t>
      </w:r>
      <w:r w:rsidR="00E52248" w:rsidRPr="00FA4758">
        <w:rPr>
          <w:rFonts w:ascii="Times New Roman" w:hAnsi="Times New Roman" w:cs="Times New Roman"/>
          <w:bCs/>
          <w:sz w:val="24"/>
          <w:szCs w:val="24"/>
        </w:rPr>
        <w:t xml:space="preserve"> </w:t>
      </w:r>
      <w:r w:rsidRPr="00250BC3">
        <w:rPr>
          <w:rFonts w:ascii="Times New Roman" w:hAnsi="Times New Roman" w:cs="Times New Roman"/>
          <w:bCs/>
          <w:sz w:val="24"/>
          <w:szCs w:val="24"/>
        </w:rPr>
        <w:t>chilen</w:t>
      </w:r>
      <w:r w:rsidR="00405A38">
        <w:rPr>
          <w:rFonts w:ascii="Times New Roman" w:hAnsi="Times New Roman" w:cs="Times New Roman"/>
          <w:bCs/>
          <w:sz w:val="24"/>
          <w:szCs w:val="24"/>
        </w:rPr>
        <w:t>o</w:t>
      </w:r>
      <w:r w:rsidRPr="00250BC3">
        <w:rPr>
          <w:rFonts w:ascii="Times New Roman" w:hAnsi="Times New Roman" w:cs="Times New Roman"/>
          <w:bCs/>
          <w:sz w:val="24"/>
          <w:szCs w:val="24"/>
        </w:rPr>
        <w:t>s</w:t>
      </w:r>
      <w:r>
        <w:rPr>
          <w:rFonts w:ascii="Times New Roman" w:hAnsi="Times New Roman" w:cs="Times New Roman"/>
          <w:bCs/>
          <w:sz w:val="24"/>
          <w:szCs w:val="24"/>
        </w:rPr>
        <w:t xml:space="preserve"> </w:t>
      </w:r>
      <w:r w:rsidR="00E52248">
        <w:rPr>
          <w:rFonts w:ascii="Times New Roman" w:hAnsi="Times New Roman" w:cs="Times New Roman"/>
          <w:bCs/>
          <w:sz w:val="24"/>
          <w:szCs w:val="24"/>
        </w:rPr>
        <w:t xml:space="preserve">com PC </w:t>
      </w:r>
      <w:r w:rsidR="00E52248" w:rsidRPr="00FA4758">
        <w:rPr>
          <w:rFonts w:ascii="Times New Roman" w:hAnsi="Times New Roman" w:cs="Times New Roman"/>
          <w:bCs/>
          <w:sz w:val="24"/>
          <w:szCs w:val="24"/>
        </w:rPr>
        <w:t>obes</w:t>
      </w:r>
      <w:r w:rsidR="00405A38">
        <w:rPr>
          <w:rFonts w:ascii="Times New Roman" w:hAnsi="Times New Roman" w:cs="Times New Roman"/>
          <w:bCs/>
          <w:sz w:val="24"/>
          <w:szCs w:val="24"/>
        </w:rPr>
        <w:t>o</w:t>
      </w:r>
      <w:r w:rsidR="00E52248" w:rsidRPr="00FA4758">
        <w:rPr>
          <w:rFonts w:ascii="Times New Roman" w:hAnsi="Times New Roman" w:cs="Times New Roman"/>
          <w:bCs/>
          <w:sz w:val="24"/>
          <w:szCs w:val="24"/>
        </w:rPr>
        <w:t>s</w:t>
      </w:r>
      <w:r w:rsidR="00E52248">
        <w:rPr>
          <w:rFonts w:ascii="Times New Roman" w:hAnsi="Times New Roman" w:cs="Times New Roman"/>
          <w:bCs/>
          <w:sz w:val="24"/>
          <w:szCs w:val="24"/>
        </w:rPr>
        <w:t xml:space="preserve"> em comparação </w:t>
      </w:r>
      <w:r w:rsidRPr="00250BC3">
        <w:rPr>
          <w:rFonts w:ascii="Times New Roman" w:hAnsi="Times New Roman" w:cs="Times New Roman"/>
          <w:bCs/>
          <w:sz w:val="24"/>
          <w:szCs w:val="24"/>
        </w:rPr>
        <w:t>com</w:t>
      </w:r>
      <w:r>
        <w:rPr>
          <w:rFonts w:ascii="Times New Roman" w:hAnsi="Times New Roman" w:cs="Times New Roman"/>
          <w:bCs/>
          <w:sz w:val="24"/>
          <w:szCs w:val="24"/>
        </w:rPr>
        <w:t xml:space="preserve"> </w:t>
      </w:r>
      <w:r w:rsidR="00405A38">
        <w:rPr>
          <w:rFonts w:ascii="Times New Roman" w:hAnsi="Times New Roman" w:cs="Times New Roman"/>
          <w:bCs/>
          <w:sz w:val="24"/>
          <w:szCs w:val="24"/>
        </w:rPr>
        <w:t>os</w:t>
      </w:r>
      <w:r w:rsidR="00E52248">
        <w:rPr>
          <w:rFonts w:ascii="Times New Roman" w:hAnsi="Times New Roman" w:cs="Times New Roman"/>
          <w:bCs/>
          <w:sz w:val="24"/>
          <w:szCs w:val="24"/>
        </w:rPr>
        <w:t xml:space="preserve"> desnutrid</w:t>
      </w:r>
      <w:r w:rsidR="00405A38">
        <w:rPr>
          <w:rFonts w:ascii="Times New Roman" w:hAnsi="Times New Roman" w:cs="Times New Roman"/>
          <w:bCs/>
          <w:sz w:val="24"/>
          <w:szCs w:val="24"/>
        </w:rPr>
        <w:t>o</w:t>
      </w:r>
      <w:r w:rsidR="00E52248">
        <w:rPr>
          <w:rFonts w:ascii="Times New Roman" w:hAnsi="Times New Roman" w:cs="Times New Roman"/>
          <w:bCs/>
          <w:sz w:val="24"/>
          <w:szCs w:val="24"/>
        </w:rPr>
        <w:t>s. Isso p</w:t>
      </w:r>
      <w:r w:rsidR="004179F6">
        <w:rPr>
          <w:rFonts w:ascii="Times New Roman" w:hAnsi="Times New Roman" w:cs="Times New Roman"/>
          <w:bCs/>
          <w:sz w:val="24"/>
          <w:szCs w:val="24"/>
        </w:rPr>
        <w:t>ô</w:t>
      </w:r>
      <w:r w:rsidR="00E52248">
        <w:rPr>
          <w:rFonts w:ascii="Times New Roman" w:hAnsi="Times New Roman" w:cs="Times New Roman"/>
          <w:bCs/>
          <w:sz w:val="24"/>
          <w:szCs w:val="24"/>
        </w:rPr>
        <w:t xml:space="preserve">de ser </w:t>
      </w:r>
      <w:r w:rsidR="00E52248" w:rsidRPr="00FA4758">
        <w:rPr>
          <w:rFonts w:ascii="Times New Roman" w:hAnsi="Times New Roman" w:cs="Times New Roman"/>
          <w:bCs/>
          <w:sz w:val="24"/>
          <w:szCs w:val="24"/>
        </w:rPr>
        <w:t>explica</w:t>
      </w:r>
      <w:r w:rsidR="00E52248">
        <w:rPr>
          <w:rFonts w:ascii="Times New Roman" w:hAnsi="Times New Roman" w:cs="Times New Roman"/>
          <w:bCs/>
          <w:sz w:val="24"/>
          <w:szCs w:val="24"/>
        </w:rPr>
        <w:t>do</w:t>
      </w:r>
      <w:r w:rsidR="00E52248" w:rsidRPr="00FA4758">
        <w:rPr>
          <w:rFonts w:ascii="Times New Roman" w:hAnsi="Times New Roman" w:cs="Times New Roman"/>
          <w:bCs/>
          <w:sz w:val="24"/>
          <w:szCs w:val="24"/>
        </w:rPr>
        <w:t xml:space="preserve"> </w:t>
      </w:r>
      <w:r w:rsidR="00E52248">
        <w:rPr>
          <w:rFonts w:ascii="Times New Roman" w:hAnsi="Times New Roman" w:cs="Times New Roman"/>
          <w:bCs/>
          <w:sz w:val="24"/>
          <w:szCs w:val="24"/>
        </w:rPr>
        <w:t xml:space="preserve">pelo fato de </w:t>
      </w:r>
      <w:r w:rsidR="00405A38">
        <w:rPr>
          <w:rFonts w:ascii="Times New Roman" w:hAnsi="Times New Roman" w:cs="Times New Roman"/>
          <w:bCs/>
          <w:sz w:val="24"/>
          <w:szCs w:val="24"/>
        </w:rPr>
        <w:t xml:space="preserve">aqueles </w:t>
      </w:r>
      <w:r w:rsidR="00E52248" w:rsidRPr="00FA4758">
        <w:rPr>
          <w:rFonts w:ascii="Times New Roman" w:hAnsi="Times New Roman" w:cs="Times New Roman"/>
          <w:bCs/>
          <w:sz w:val="24"/>
          <w:szCs w:val="24"/>
        </w:rPr>
        <w:t>desnutrid</w:t>
      </w:r>
      <w:r w:rsidR="00405A38">
        <w:rPr>
          <w:rFonts w:ascii="Times New Roman" w:hAnsi="Times New Roman" w:cs="Times New Roman"/>
          <w:bCs/>
          <w:sz w:val="24"/>
          <w:szCs w:val="24"/>
        </w:rPr>
        <w:t>o</w:t>
      </w:r>
      <w:r w:rsidR="00E52248" w:rsidRPr="00FA4758">
        <w:rPr>
          <w:rFonts w:ascii="Times New Roman" w:hAnsi="Times New Roman" w:cs="Times New Roman"/>
          <w:bCs/>
          <w:sz w:val="24"/>
          <w:szCs w:val="24"/>
        </w:rPr>
        <w:t>s recebe</w:t>
      </w:r>
      <w:r w:rsidR="00E52248">
        <w:rPr>
          <w:rFonts w:ascii="Times New Roman" w:hAnsi="Times New Roman" w:cs="Times New Roman"/>
          <w:bCs/>
          <w:sz w:val="24"/>
          <w:szCs w:val="24"/>
        </w:rPr>
        <w:t>rem</w:t>
      </w:r>
      <w:r w:rsidR="00E52248" w:rsidRPr="00FA4758">
        <w:rPr>
          <w:rFonts w:ascii="Times New Roman" w:hAnsi="Times New Roman" w:cs="Times New Roman"/>
          <w:bCs/>
          <w:sz w:val="24"/>
          <w:szCs w:val="24"/>
        </w:rPr>
        <w:t xml:space="preserve"> suplementos de vitamina D </w:t>
      </w:r>
      <w:r w:rsidR="004B1AFF">
        <w:rPr>
          <w:rFonts w:ascii="Times New Roman" w:hAnsi="Times New Roman" w:cs="Times New Roman"/>
          <w:bCs/>
          <w:sz w:val="24"/>
          <w:szCs w:val="24"/>
        </w:rPr>
        <w:t xml:space="preserve">com </w:t>
      </w:r>
      <w:r w:rsidR="00E52248" w:rsidRPr="00FA4758">
        <w:rPr>
          <w:rFonts w:ascii="Times New Roman" w:hAnsi="Times New Roman" w:cs="Times New Roman"/>
          <w:bCs/>
          <w:sz w:val="24"/>
          <w:szCs w:val="24"/>
        </w:rPr>
        <w:t xml:space="preserve">mais </w:t>
      </w:r>
      <w:r w:rsidR="004B1AFF">
        <w:rPr>
          <w:rFonts w:ascii="Times New Roman" w:hAnsi="Times New Roman" w:cs="Times New Roman"/>
          <w:bCs/>
          <w:sz w:val="24"/>
          <w:szCs w:val="24"/>
        </w:rPr>
        <w:t>frequência do</w:t>
      </w:r>
      <w:r w:rsidR="00BF48E1">
        <w:rPr>
          <w:rFonts w:ascii="Times New Roman" w:hAnsi="Times New Roman" w:cs="Times New Roman"/>
          <w:bCs/>
          <w:sz w:val="24"/>
          <w:szCs w:val="24"/>
        </w:rPr>
        <w:t xml:space="preserve"> </w:t>
      </w:r>
      <w:r w:rsidR="00E52248">
        <w:rPr>
          <w:rFonts w:ascii="Times New Roman" w:hAnsi="Times New Roman" w:cs="Times New Roman"/>
          <w:bCs/>
          <w:sz w:val="24"/>
          <w:szCs w:val="24"/>
        </w:rPr>
        <w:t xml:space="preserve">que </w:t>
      </w:r>
      <w:r w:rsidR="00405A38">
        <w:rPr>
          <w:rFonts w:ascii="Times New Roman" w:hAnsi="Times New Roman" w:cs="Times New Roman"/>
          <w:bCs/>
          <w:sz w:val="24"/>
          <w:szCs w:val="24"/>
        </w:rPr>
        <w:t>o</w:t>
      </w:r>
      <w:r w:rsidR="00E52248">
        <w:rPr>
          <w:rFonts w:ascii="Times New Roman" w:hAnsi="Times New Roman" w:cs="Times New Roman"/>
          <w:bCs/>
          <w:sz w:val="24"/>
          <w:szCs w:val="24"/>
        </w:rPr>
        <w:t xml:space="preserve">s </w:t>
      </w:r>
      <w:proofErr w:type="spellStart"/>
      <w:r w:rsidR="00E52248" w:rsidRPr="00250BC3">
        <w:rPr>
          <w:rFonts w:ascii="Times New Roman" w:hAnsi="Times New Roman" w:cs="Times New Roman"/>
          <w:bCs/>
          <w:sz w:val="24"/>
          <w:szCs w:val="24"/>
        </w:rPr>
        <w:t>eutrófic</w:t>
      </w:r>
      <w:r w:rsidR="00405A38">
        <w:rPr>
          <w:rFonts w:ascii="Times New Roman" w:hAnsi="Times New Roman" w:cs="Times New Roman"/>
          <w:bCs/>
          <w:sz w:val="24"/>
          <w:szCs w:val="24"/>
        </w:rPr>
        <w:t>o</w:t>
      </w:r>
      <w:r w:rsidR="00E52248" w:rsidRPr="00250BC3">
        <w:rPr>
          <w:rFonts w:ascii="Times New Roman" w:hAnsi="Times New Roman" w:cs="Times New Roman"/>
          <w:bCs/>
          <w:sz w:val="24"/>
          <w:szCs w:val="24"/>
        </w:rPr>
        <w:t>s</w:t>
      </w:r>
      <w:proofErr w:type="spellEnd"/>
      <w:r w:rsidR="00E52248" w:rsidRPr="00617B4F">
        <w:rPr>
          <w:rFonts w:ascii="Times New Roman" w:hAnsi="Times New Roman" w:cs="Times New Roman"/>
          <w:bCs/>
          <w:color w:val="FF0000"/>
          <w:sz w:val="24"/>
          <w:szCs w:val="24"/>
        </w:rPr>
        <w:t xml:space="preserve"> </w:t>
      </w:r>
      <w:r w:rsidR="00E52248">
        <w:rPr>
          <w:rFonts w:ascii="Times New Roman" w:hAnsi="Times New Roman" w:cs="Times New Roman"/>
          <w:bCs/>
          <w:sz w:val="24"/>
          <w:szCs w:val="24"/>
        </w:rPr>
        <w:t xml:space="preserve">e pela </w:t>
      </w:r>
      <w:r w:rsidR="00E52248" w:rsidRPr="00FA4758">
        <w:rPr>
          <w:rFonts w:ascii="Times New Roman" w:hAnsi="Times New Roman" w:cs="Times New Roman"/>
          <w:bCs/>
          <w:sz w:val="24"/>
          <w:szCs w:val="24"/>
        </w:rPr>
        <w:t>correlação entre obesidade e deficiência de vitamina D</w:t>
      </w:r>
      <w:r w:rsidR="00E52248">
        <w:rPr>
          <w:rFonts w:ascii="Times New Roman" w:hAnsi="Times New Roman" w:cs="Times New Roman"/>
          <w:bCs/>
          <w:sz w:val="24"/>
          <w:szCs w:val="24"/>
        </w:rPr>
        <w:t>, evidenciada em alguns estudos</w:t>
      </w:r>
      <w:r w:rsidR="00BF48E1">
        <w:rPr>
          <w:rFonts w:ascii="Times New Roman" w:hAnsi="Times New Roman" w:cs="Times New Roman"/>
          <w:bCs/>
          <w:sz w:val="24"/>
          <w:szCs w:val="24"/>
        </w:rPr>
        <w:t xml:space="preserve"> </w:t>
      </w:r>
      <w:r w:rsidR="00BF48E1">
        <w:rPr>
          <w:rFonts w:ascii="Times New Roman" w:hAnsi="Times New Roman" w:cs="Times New Roman"/>
          <w:bCs/>
          <w:sz w:val="24"/>
          <w:szCs w:val="24"/>
        </w:rPr>
        <w:fldChar w:fldCharType="begin" w:fldLock="1"/>
      </w:r>
      <w:r w:rsidR="00F562F4">
        <w:rPr>
          <w:rFonts w:ascii="Times New Roman" w:hAnsi="Times New Roman" w:cs="Times New Roman"/>
          <w:bCs/>
          <w:sz w:val="24"/>
          <w:szCs w:val="24"/>
        </w:rPr>
        <w:instrText>ADDIN CSL_CITATION {"citationItems":[{"id":"ITEM-1","itemData":{"DOI":"10.1016/j.arcped.2019.11.003","ISSN":"1769664X","PMID":"31791829","abstract":"Background and aims: Malnutrition is common in neurologically impaired (NI) children. It is, however, ill-defined and under-diagnosed. If not recognized and treated, it increases the burden of comorbidities and affects the quality of life of these children. The aim of this study was to characterize the nutritional status of a cohort of children followed up at a reference center for cerebral palsy (CP) in Brussels, Belgium, and to investigate possible links with the occurrence of comorbidities. Material and methods: We conducted a single-center retrospective study including all the children followed up at the Inter-university Reference Center for Cerebral Palsy ULB-VUB-ULg. The data were obtained by reviewing medical files. Anthropometric measurements as well as the etiology of neurological impairment, comorbidities, feeding patterns, and laboratory test results were collected. The children were assigned a nutritional diagnosis according to the World Health Organization and Waterlow definitions. Results: A total of 260 children with cerebral palsy were included, 148 males and 112 females. Their mean age was 10.9 ± 4.3 years. The gross motor function classification system (GMFCS) level was I for 79 children, II for 63 children, III for 35 children, IV for 33 children, and V for 50 children. Of the children, 54% had a normal nutritional status, 34% showed malnutrition, and 8% were obese; 38% had oropharyngeal dysphagia. The sensitivity of mean upper arm circumference of &lt; p10 to detect severe malnutrition was 95%. Specific growth charts for CP were neither sensitive nor specific for predicting the risk of comorbidities. Malnutrition was associated with an increased risk of comorbidities (relative risk of 2.4 [1.7; 3.4]). It was also associated with the occurrence of pneumonia, pressure ulcers, and pathological bone fracture. Discussion and conclusion: Children who are NI should be systematically and thoroughly screened for malnutrition, in the hope of offering early nutritional support and reduce comorbidities.","author":[{"dropping-particle":"","family":"Leonard","given":"M.","non-dropping-particle":"","parse-names":false,"suffix":""},{"dropping-particle":"","family":"Dain","given":"E.","non-dropping-particle":"","parse-names":false,"suffix":""},{"dropping-particle":"","family":"Pelc","given":"K.","non-dropping-particle":"","parse-names":false,"suffix":""},{"dropping-particle":"","family":"Dan","given":"B.","non-dropping-particle":"","parse-names":false,"suffix":""},{"dropping-particle":"","family":"Laet","given":"C.","non-dropping-particle":"De","parse-names":false,"suffix":""}],"container-title":"Archives de Pediatrie","id":"ITEM-1","issue":"2","issued":{"date-parts":[["2020"]]},"page":"95-103","publisher":"French Society of Pediatrics","title":"Nutritional status of neurologically impaired children: Impact on comorbidity","type":"article-journal","volume":"27"},"uris":["http://www.mendeley.com/documents/?uuid=805d01f2-228f-450c-b085-b9ef19b7f88f"]}],"mendeley":{"formattedCitation":"(LEONARD et al., 2020)","plainTextFormattedCitation":"(LEONARD et al., 2020)","previouslyFormattedCitation":"(LEONARD et al., 2020)"},"properties":{"noteIndex":0},"schema":"https://github.com/citation-style-language/schema/raw/master/csl-citation.json"}</w:instrText>
      </w:r>
      <w:r w:rsidR="00BF48E1">
        <w:rPr>
          <w:rFonts w:ascii="Times New Roman" w:hAnsi="Times New Roman" w:cs="Times New Roman"/>
          <w:bCs/>
          <w:sz w:val="24"/>
          <w:szCs w:val="24"/>
        </w:rPr>
        <w:fldChar w:fldCharType="separate"/>
      </w:r>
      <w:r w:rsidR="00BF48E1" w:rsidRPr="00BF48E1">
        <w:rPr>
          <w:rFonts w:ascii="Times New Roman" w:hAnsi="Times New Roman" w:cs="Times New Roman"/>
          <w:bCs/>
          <w:noProof/>
          <w:sz w:val="24"/>
          <w:szCs w:val="24"/>
        </w:rPr>
        <w:t>(LEONARD et al., 2020)</w:t>
      </w:r>
      <w:r w:rsidR="00BF48E1">
        <w:rPr>
          <w:rFonts w:ascii="Times New Roman" w:hAnsi="Times New Roman" w:cs="Times New Roman"/>
          <w:bCs/>
          <w:sz w:val="24"/>
          <w:szCs w:val="24"/>
        </w:rPr>
        <w:fldChar w:fldCharType="end"/>
      </w:r>
      <w:r w:rsidR="00E52248">
        <w:rPr>
          <w:rFonts w:ascii="Times New Roman" w:hAnsi="Times New Roman" w:cs="Times New Roman"/>
          <w:bCs/>
          <w:sz w:val="24"/>
          <w:szCs w:val="24"/>
        </w:rPr>
        <w:t>.</w:t>
      </w:r>
      <w:r w:rsidR="00E65F86">
        <w:rPr>
          <w:rFonts w:ascii="Times New Roman" w:hAnsi="Times New Roman" w:cs="Times New Roman"/>
          <w:bCs/>
          <w:sz w:val="24"/>
          <w:szCs w:val="24"/>
        </w:rPr>
        <w:t xml:space="preserve"> </w:t>
      </w:r>
    </w:p>
    <w:p w14:paraId="1C678395" w14:textId="30877D23" w:rsidR="00D12A33" w:rsidRDefault="00C36279" w:rsidP="00BF48E1">
      <w:pPr>
        <w:spacing w:after="0" w:line="360" w:lineRule="auto"/>
        <w:ind w:firstLine="851"/>
        <w:jc w:val="both"/>
        <w:rPr>
          <w:rFonts w:ascii="Times New Roman" w:hAnsi="Times New Roman" w:cs="Times New Roman"/>
          <w:bCs/>
          <w:sz w:val="24"/>
          <w:szCs w:val="24"/>
        </w:rPr>
      </w:pPr>
      <w:r w:rsidRPr="00250BC3">
        <w:rPr>
          <w:rFonts w:ascii="Times New Roman" w:hAnsi="Times New Roman" w:cs="Times New Roman"/>
          <w:bCs/>
          <w:sz w:val="24"/>
          <w:szCs w:val="24"/>
        </w:rPr>
        <w:t xml:space="preserve">No Chile, </w:t>
      </w:r>
      <w:r w:rsidR="00373FCA" w:rsidRPr="00373FCA">
        <w:rPr>
          <w:rFonts w:ascii="Times New Roman" w:hAnsi="Times New Roman" w:cs="Times New Roman"/>
          <w:bCs/>
          <w:sz w:val="24"/>
          <w:szCs w:val="24"/>
        </w:rPr>
        <w:t xml:space="preserve">Zaragoza et al. </w:t>
      </w:r>
      <w:r w:rsidR="00373FCA">
        <w:rPr>
          <w:rFonts w:ascii="Times New Roman" w:hAnsi="Times New Roman" w:cs="Times New Roman"/>
          <w:bCs/>
          <w:sz w:val="24"/>
          <w:szCs w:val="24"/>
        </w:rPr>
        <w:t>(</w:t>
      </w:r>
      <w:r w:rsidR="00373FCA" w:rsidRPr="00373FCA">
        <w:rPr>
          <w:rFonts w:ascii="Times New Roman" w:hAnsi="Times New Roman" w:cs="Times New Roman"/>
          <w:bCs/>
          <w:sz w:val="24"/>
          <w:szCs w:val="24"/>
        </w:rPr>
        <w:t>2019</w:t>
      </w:r>
      <w:r w:rsidR="00373FCA">
        <w:rPr>
          <w:rFonts w:ascii="Times New Roman" w:hAnsi="Times New Roman" w:cs="Times New Roman"/>
          <w:bCs/>
          <w:sz w:val="24"/>
          <w:szCs w:val="24"/>
        </w:rPr>
        <w:t>),</w:t>
      </w:r>
      <w:r w:rsidR="00DE48AC">
        <w:rPr>
          <w:rFonts w:ascii="Times New Roman" w:hAnsi="Times New Roman" w:cs="Times New Roman"/>
          <w:bCs/>
          <w:sz w:val="24"/>
          <w:szCs w:val="24"/>
        </w:rPr>
        <w:t xml:space="preserve"> </w:t>
      </w:r>
      <w:r w:rsidR="00DE48AC" w:rsidRPr="00250BC3">
        <w:rPr>
          <w:rFonts w:ascii="Times New Roman" w:hAnsi="Times New Roman" w:cs="Times New Roman"/>
          <w:bCs/>
          <w:sz w:val="24"/>
          <w:szCs w:val="24"/>
        </w:rPr>
        <w:t>averiguaram que</w:t>
      </w:r>
      <w:r w:rsidR="00F92041" w:rsidRPr="00250BC3">
        <w:rPr>
          <w:rFonts w:ascii="Times New Roman" w:hAnsi="Times New Roman" w:cs="Times New Roman"/>
          <w:bCs/>
          <w:sz w:val="24"/>
          <w:szCs w:val="24"/>
        </w:rPr>
        <w:t xml:space="preserve"> </w:t>
      </w:r>
      <w:r w:rsidR="00F92041">
        <w:rPr>
          <w:rFonts w:ascii="Times New Roman" w:hAnsi="Times New Roman" w:cs="Times New Roman"/>
          <w:bCs/>
          <w:sz w:val="24"/>
          <w:szCs w:val="24"/>
        </w:rPr>
        <w:t xml:space="preserve">fatores como </w:t>
      </w:r>
      <w:r w:rsidR="00BF48E1">
        <w:rPr>
          <w:rFonts w:ascii="Times New Roman" w:hAnsi="Times New Roman" w:cs="Times New Roman"/>
          <w:bCs/>
          <w:sz w:val="24"/>
          <w:szCs w:val="24"/>
        </w:rPr>
        <w:t>redução</w:t>
      </w:r>
      <w:r w:rsidR="00F92041" w:rsidRPr="00F92041">
        <w:rPr>
          <w:rFonts w:ascii="Times New Roman" w:hAnsi="Times New Roman" w:cs="Times New Roman"/>
          <w:bCs/>
          <w:sz w:val="24"/>
          <w:szCs w:val="24"/>
        </w:rPr>
        <w:t xml:space="preserve"> d</w:t>
      </w:r>
      <w:r w:rsidR="00DE48AC">
        <w:rPr>
          <w:rFonts w:ascii="Times New Roman" w:hAnsi="Times New Roman" w:cs="Times New Roman"/>
          <w:bCs/>
          <w:sz w:val="24"/>
          <w:szCs w:val="24"/>
        </w:rPr>
        <w:t>a</w:t>
      </w:r>
      <w:r w:rsidR="00BF48E1">
        <w:rPr>
          <w:rFonts w:ascii="Times New Roman" w:hAnsi="Times New Roman" w:cs="Times New Roman"/>
          <w:bCs/>
          <w:sz w:val="24"/>
          <w:szCs w:val="24"/>
        </w:rPr>
        <w:t xml:space="preserve">s </w:t>
      </w:r>
      <w:r w:rsidR="00DE48AC">
        <w:rPr>
          <w:rFonts w:ascii="Times New Roman" w:hAnsi="Times New Roman" w:cs="Times New Roman"/>
          <w:bCs/>
          <w:sz w:val="24"/>
          <w:szCs w:val="24"/>
        </w:rPr>
        <w:t>concentrações de 25(OH)</w:t>
      </w:r>
      <w:r w:rsidR="00F92041" w:rsidRPr="00F92041">
        <w:rPr>
          <w:rFonts w:ascii="Times New Roman" w:hAnsi="Times New Roman" w:cs="Times New Roman"/>
          <w:bCs/>
          <w:sz w:val="24"/>
          <w:szCs w:val="24"/>
        </w:rPr>
        <w:t>D foram associadas a baixa DMO e alterações de indicadores bioquímicos do metabolismo ósseo em pacientes pediátricos com PC quadriplégica.</w:t>
      </w:r>
      <w:r w:rsidR="00F92041">
        <w:rPr>
          <w:rFonts w:ascii="Times New Roman" w:hAnsi="Times New Roman" w:cs="Times New Roman"/>
          <w:bCs/>
          <w:sz w:val="24"/>
          <w:szCs w:val="24"/>
        </w:rPr>
        <w:t xml:space="preserve"> </w:t>
      </w:r>
      <w:r w:rsidR="00FD6AFC">
        <w:rPr>
          <w:rFonts w:ascii="Times New Roman" w:hAnsi="Times New Roman" w:cs="Times New Roman"/>
          <w:bCs/>
          <w:sz w:val="24"/>
          <w:szCs w:val="24"/>
        </w:rPr>
        <w:t>Em um</w:t>
      </w:r>
      <w:r w:rsidR="004B1AFF">
        <w:rPr>
          <w:rFonts w:ascii="Times New Roman" w:hAnsi="Times New Roman" w:cs="Times New Roman"/>
          <w:bCs/>
          <w:sz w:val="24"/>
          <w:szCs w:val="24"/>
        </w:rPr>
        <w:t>a</w:t>
      </w:r>
      <w:r w:rsidR="00FD6AFC">
        <w:rPr>
          <w:rFonts w:ascii="Times New Roman" w:hAnsi="Times New Roman" w:cs="Times New Roman"/>
          <w:bCs/>
          <w:sz w:val="24"/>
          <w:szCs w:val="24"/>
        </w:rPr>
        <w:t xml:space="preserve"> coorte, </w:t>
      </w:r>
      <w:proofErr w:type="spellStart"/>
      <w:r w:rsidR="0046365C" w:rsidRPr="00250BC3">
        <w:rPr>
          <w:rFonts w:ascii="Times New Roman" w:hAnsi="Times New Roman" w:cs="Times New Roman"/>
          <w:bCs/>
          <w:sz w:val="24"/>
          <w:szCs w:val="24"/>
        </w:rPr>
        <w:t>Tosun</w:t>
      </w:r>
      <w:proofErr w:type="spellEnd"/>
      <w:r w:rsidR="0046365C" w:rsidRPr="00250BC3">
        <w:rPr>
          <w:rFonts w:ascii="Times New Roman" w:hAnsi="Times New Roman" w:cs="Times New Roman"/>
          <w:bCs/>
          <w:sz w:val="24"/>
          <w:szCs w:val="24"/>
        </w:rPr>
        <w:t xml:space="preserve"> et al. (2017), </w:t>
      </w:r>
      <w:r w:rsidR="00BD182A">
        <w:rPr>
          <w:rFonts w:ascii="Times New Roman" w:hAnsi="Times New Roman" w:cs="Times New Roman"/>
          <w:bCs/>
          <w:sz w:val="24"/>
          <w:szCs w:val="24"/>
        </w:rPr>
        <w:t xml:space="preserve">observaram </w:t>
      </w:r>
      <w:r w:rsidR="00250BC3">
        <w:rPr>
          <w:rFonts w:ascii="Times New Roman" w:hAnsi="Times New Roman" w:cs="Times New Roman"/>
          <w:bCs/>
          <w:sz w:val="24"/>
          <w:szCs w:val="24"/>
        </w:rPr>
        <w:t xml:space="preserve">na Turquia, </w:t>
      </w:r>
      <w:r w:rsidR="00BD182A">
        <w:rPr>
          <w:rFonts w:ascii="Times New Roman" w:hAnsi="Times New Roman" w:cs="Times New Roman"/>
          <w:bCs/>
          <w:sz w:val="24"/>
          <w:szCs w:val="24"/>
        </w:rPr>
        <w:t xml:space="preserve">que </w:t>
      </w:r>
      <w:r w:rsidR="008017F9" w:rsidRPr="00250BC3">
        <w:rPr>
          <w:rFonts w:ascii="Times New Roman" w:hAnsi="Times New Roman" w:cs="Times New Roman"/>
          <w:bCs/>
          <w:sz w:val="24"/>
          <w:szCs w:val="24"/>
        </w:rPr>
        <w:t>houve</w:t>
      </w:r>
      <w:r w:rsidR="00C6673E" w:rsidRPr="00250BC3">
        <w:rPr>
          <w:rFonts w:ascii="Times New Roman" w:hAnsi="Times New Roman" w:cs="Times New Roman"/>
          <w:bCs/>
          <w:sz w:val="24"/>
          <w:szCs w:val="24"/>
        </w:rPr>
        <w:t xml:space="preserve"> menores </w:t>
      </w:r>
      <w:r w:rsidR="008017F9" w:rsidRPr="00250BC3">
        <w:rPr>
          <w:rFonts w:ascii="Times New Roman" w:hAnsi="Times New Roman" w:cs="Times New Roman"/>
          <w:bCs/>
          <w:sz w:val="24"/>
          <w:szCs w:val="24"/>
        </w:rPr>
        <w:t xml:space="preserve">valores de vitamina D </w:t>
      </w:r>
      <w:r w:rsidR="00C6673E" w:rsidRPr="00C6673E">
        <w:rPr>
          <w:rFonts w:ascii="Times New Roman" w:hAnsi="Times New Roman" w:cs="Times New Roman"/>
          <w:bCs/>
          <w:sz w:val="24"/>
          <w:szCs w:val="24"/>
        </w:rPr>
        <w:t xml:space="preserve">nos grupos </w:t>
      </w:r>
      <w:r w:rsidR="00C6673E">
        <w:rPr>
          <w:rFonts w:ascii="Times New Roman" w:hAnsi="Times New Roman" w:cs="Times New Roman"/>
          <w:bCs/>
          <w:sz w:val="24"/>
          <w:szCs w:val="24"/>
        </w:rPr>
        <w:t xml:space="preserve">de </w:t>
      </w:r>
      <w:r w:rsidR="00405A38">
        <w:rPr>
          <w:rFonts w:ascii="Times New Roman" w:hAnsi="Times New Roman" w:cs="Times New Roman"/>
          <w:bCs/>
          <w:sz w:val="24"/>
          <w:szCs w:val="24"/>
        </w:rPr>
        <w:t>pacientes</w:t>
      </w:r>
      <w:r w:rsidR="00C6673E">
        <w:rPr>
          <w:rFonts w:ascii="Times New Roman" w:hAnsi="Times New Roman" w:cs="Times New Roman"/>
          <w:bCs/>
          <w:sz w:val="24"/>
          <w:szCs w:val="24"/>
        </w:rPr>
        <w:t xml:space="preserve"> com PC</w:t>
      </w:r>
      <w:r w:rsidR="00C6673E" w:rsidRPr="00C6673E">
        <w:rPr>
          <w:rFonts w:ascii="Times New Roman" w:hAnsi="Times New Roman" w:cs="Times New Roman"/>
          <w:bCs/>
          <w:sz w:val="24"/>
          <w:szCs w:val="24"/>
        </w:rPr>
        <w:t xml:space="preserve"> e </w:t>
      </w:r>
      <w:r w:rsidR="00C6673E">
        <w:rPr>
          <w:rFonts w:ascii="Times New Roman" w:hAnsi="Times New Roman" w:cs="Times New Roman"/>
          <w:bCs/>
          <w:sz w:val="24"/>
          <w:szCs w:val="24"/>
        </w:rPr>
        <w:t>com PC e epilepsia</w:t>
      </w:r>
      <w:r w:rsidR="00C6673E" w:rsidRPr="00C6673E">
        <w:rPr>
          <w:rFonts w:ascii="Times New Roman" w:hAnsi="Times New Roman" w:cs="Times New Roman"/>
          <w:bCs/>
          <w:sz w:val="24"/>
          <w:szCs w:val="24"/>
        </w:rPr>
        <w:t xml:space="preserve"> do que nos controles</w:t>
      </w:r>
      <w:r w:rsidR="00C6673E">
        <w:rPr>
          <w:rFonts w:ascii="Times New Roman" w:hAnsi="Times New Roman" w:cs="Times New Roman"/>
          <w:bCs/>
          <w:sz w:val="24"/>
          <w:szCs w:val="24"/>
        </w:rPr>
        <w:t xml:space="preserve">. </w:t>
      </w:r>
      <w:r w:rsidR="008017F9" w:rsidRPr="00250BC3">
        <w:rPr>
          <w:rFonts w:ascii="Times New Roman" w:hAnsi="Times New Roman" w:cs="Times New Roman"/>
          <w:bCs/>
          <w:sz w:val="24"/>
          <w:szCs w:val="24"/>
        </w:rPr>
        <w:t xml:space="preserve">Além disso, neste </w:t>
      </w:r>
      <w:r w:rsidR="008017F9" w:rsidRPr="00250BC3">
        <w:rPr>
          <w:rFonts w:ascii="Times New Roman" w:hAnsi="Times New Roman" w:cs="Times New Roman"/>
          <w:bCs/>
          <w:sz w:val="24"/>
          <w:szCs w:val="24"/>
        </w:rPr>
        <w:lastRenderedPageBreak/>
        <w:t>mesmo estudo</w:t>
      </w:r>
      <w:r w:rsidR="00C6673E" w:rsidRPr="008017F9">
        <w:rPr>
          <w:rFonts w:ascii="Times New Roman" w:hAnsi="Times New Roman" w:cs="Times New Roman"/>
          <w:bCs/>
          <w:color w:val="FF0000"/>
          <w:sz w:val="24"/>
          <w:szCs w:val="24"/>
        </w:rPr>
        <w:t xml:space="preserve"> </w:t>
      </w:r>
      <w:r w:rsidR="00C6673E">
        <w:rPr>
          <w:rFonts w:ascii="Times New Roman" w:hAnsi="Times New Roman" w:cs="Times New Roman"/>
          <w:bCs/>
          <w:sz w:val="24"/>
          <w:szCs w:val="24"/>
        </w:rPr>
        <w:t>a DMO</w:t>
      </w:r>
      <w:r w:rsidR="00BD182A" w:rsidRPr="00BD182A">
        <w:rPr>
          <w:rFonts w:ascii="Times New Roman" w:hAnsi="Times New Roman" w:cs="Times New Roman"/>
          <w:bCs/>
          <w:sz w:val="24"/>
          <w:szCs w:val="24"/>
        </w:rPr>
        <w:t xml:space="preserve"> anormal esteve relacionada à gravidade da PC</w:t>
      </w:r>
      <w:r w:rsidR="00C6673E">
        <w:rPr>
          <w:rFonts w:ascii="Times New Roman" w:hAnsi="Times New Roman" w:cs="Times New Roman"/>
          <w:bCs/>
          <w:sz w:val="24"/>
          <w:szCs w:val="24"/>
        </w:rPr>
        <w:t xml:space="preserve"> (imobilidade)</w:t>
      </w:r>
      <w:r w:rsidR="00BD182A" w:rsidRPr="00BD182A">
        <w:rPr>
          <w:rFonts w:ascii="Times New Roman" w:hAnsi="Times New Roman" w:cs="Times New Roman"/>
          <w:bCs/>
          <w:sz w:val="24"/>
          <w:szCs w:val="24"/>
        </w:rPr>
        <w:t xml:space="preserve">, </w:t>
      </w:r>
      <w:r w:rsidR="00BD182A" w:rsidRPr="00250BC3">
        <w:rPr>
          <w:rFonts w:ascii="Times New Roman" w:hAnsi="Times New Roman" w:cs="Times New Roman"/>
          <w:bCs/>
          <w:sz w:val="24"/>
          <w:szCs w:val="24"/>
        </w:rPr>
        <w:t xml:space="preserve">mas não </w:t>
      </w:r>
      <w:r w:rsidR="008017F9" w:rsidRPr="00250BC3">
        <w:rPr>
          <w:rFonts w:ascii="Times New Roman" w:hAnsi="Times New Roman" w:cs="Times New Roman"/>
          <w:bCs/>
          <w:sz w:val="24"/>
          <w:szCs w:val="24"/>
        </w:rPr>
        <w:t>houve associação com</w:t>
      </w:r>
      <w:r w:rsidR="008017F9">
        <w:rPr>
          <w:rFonts w:ascii="Times New Roman" w:hAnsi="Times New Roman" w:cs="Times New Roman"/>
          <w:bCs/>
          <w:sz w:val="24"/>
          <w:szCs w:val="24"/>
        </w:rPr>
        <w:t xml:space="preserve"> a</w:t>
      </w:r>
      <w:r w:rsidR="00BD182A" w:rsidRPr="00BD182A">
        <w:rPr>
          <w:rFonts w:ascii="Times New Roman" w:hAnsi="Times New Roman" w:cs="Times New Roman"/>
          <w:bCs/>
          <w:sz w:val="24"/>
          <w:szCs w:val="24"/>
        </w:rPr>
        <w:t xml:space="preserve"> vitamina D ou tratamento com drogas antiepilépticas</w:t>
      </w:r>
      <w:r w:rsidR="00E254AA">
        <w:rPr>
          <w:rFonts w:ascii="Times New Roman" w:hAnsi="Times New Roman" w:cs="Times New Roman"/>
          <w:bCs/>
          <w:sz w:val="24"/>
          <w:szCs w:val="24"/>
        </w:rPr>
        <w:t>.</w:t>
      </w:r>
    </w:p>
    <w:p w14:paraId="20A4121C" w14:textId="5760EFD4" w:rsidR="00D12A33" w:rsidRPr="00685CEF" w:rsidRDefault="00D12A33" w:rsidP="004C4BCB">
      <w:pPr>
        <w:spacing w:after="0" w:line="360" w:lineRule="auto"/>
        <w:ind w:firstLine="851"/>
        <w:jc w:val="both"/>
        <w:rPr>
          <w:rFonts w:ascii="Times New Roman" w:hAnsi="Times New Roman" w:cs="Times New Roman"/>
          <w:color w:val="FF0000"/>
          <w:sz w:val="24"/>
          <w:szCs w:val="24"/>
        </w:rPr>
      </w:pPr>
      <w:proofErr w:type="spellStart"/>
      <w:r w:rsidRPr="00250BC3">
        <w:rPr>
          <w:rFonts w:ascii="Times New Roman" w:hAnsi="Times New Roman" w:cs="Times New Roman"/>
          <w:sz w:val="24"/>
          <w:szCs w:val="24"/>
        </w:rPr>
        <w:t>Toopchizadeh</w:t>
      </w:r>
      <w:proofErr w:type="spellEnd"/>
      <w:r w:rsidRPr="00250BC3">
        <w:rPr>
          <w:rFonts w:ascii="Times New Roman" w:hAnsi="Times New Roman" w:cs="Times New Roman"/>
          <w:sz w:val="24"/>
          <w:szCs w:val="24"/>
        </w:rPr>
        <w:t xml:space="preserve"> et al. (2018) </w:t>
      </w:r>
      <w:r w:rsidRPr="00D12A33">
        <w:rPr>
          <w:rFonts w:ascii="Times New Roman" w:hAnsi="Times New Roman" w:cs="Times New Roman"/>
          <w:sz w:val="24"/>
          <w:szCs w:val="24"/>
        </w:rPr>
        <w:t>em estudo caso-controle</w:t>
      </w:r>
      <w:r>
        <w:rPr>
          <w:rFonts w:ascii="Times New Roman" w:hAnsi="Times New Roman" w:cs="Times New Roman"/>
          <w:sz w:val="24"/>
          <w:szCs w:val="24"/>
        </w:rPr>
        <w:t xml:space="preserve"> com 65 crianças com PC</w:t>
      </w:r>
      <w:r w:rsidR="00250BC3">
        <w:rPr>
          <w:rFonts w:ascii="Times New Roman" w:hAnsi="Times New Roman" w:cs="Times New Roman"/>
          <w:sz w:val="24"/>
          <w:szCs w:val="24"/>
        </w:rPr>
        <w:t xml:space="preserve"> iranianas,</w:t>
      </w:r>
      <w:r w:rsidR="00685CEF">
        <w:rPr>
          <w:rFonts w:ascii="Times New Roman" w:hAnsi="Times New Roman" w:cs="Times New Roman"/>
          <w:sz w:val="24"/>
          <w:szCs w:val="24"/>
        </w:rPr>
        <w:t xml:space="preserve"> </w:t>
      </w:r>
      <w:r w:rsidR="00685CEF" w:rsidRPr="00250BC3">
        <w:rPr>
          <w:rFonts w:ascii="Times New Roman" w:hAnsi="Times New Roman" w:cs="Times New Roman"/>
          <w:sz w:val="24"/>
          <w:szCs w:val="24"/>
        </w:rPr>
        <w:t xml:space="preserve">encontraram </w:t>
      </w:r>
      <w:r w:rsidR="00685CEF">
        <w:rPr>
          <w:rFonts w:ascii="Times New Roman" w:hAnsi="Times New Roman" w:cs="Times New Roman"/>
          <w:sz w:val="24"/>
          <w:szCs w:val="24"/>
        </w:rPr>
        <w:t>de</w:t>
      </w:r>
      <w:r w:rsidRPr="00D12A33">
        <w:rPr>
          <w:rFonts w:ascii="Times New Roman" w:hAnsi="Times New Roman" w:cs="Times New Roman"/>
          <w:sz w:val="24"/>
          <w:szCs w:val="24"/>
        </w:rPr>
        <w:t xml:space="preserve">ficiência de 25-hidroxivitamina D em 44,6% </w:t>
      </w:r>
      <w:r w:rsidR="00685CEF" w:rsidRPr="00250BC3">
        <w:rPr>
          <w:rFonts w:ascii="Times New Roman" w:hAnsi="Times New Roman" w:cs="Times New Roman"/>
          <w:sz w:val="24"/>
          <w:szCs w:val="24"/>
        </w:rPr>
        <w:t xml:space="preserve">dos avaliados </w:t>
      </w:r>
      <w:r w:rsidR="00685CEF">
        <w:rPr>
          <w:rFonts w:ascii="Times New Roman" w:hAnsi="Times New Roman" w:cs="Times New Roman"/>
          <w:sz w:val="24"/>
          <w:szCs w:val="24"/>
        </w:rPr>
        <w:t>e c</w:t>
      </w:r>
      <w:r w:rsidRPr="00D12A33">
        <w:rPr>
          <w:rFonts w:ascii="Times New Roman" w:hAnsi="Times New Roman" w:cs="Times New Roman"/>
          <w:sz w:val="24"/>
          <w:szCs w:val="24"/>
        </w:rPr>
        <w:t>orrelação negativa significativa</w:t>
      </w:r>
      <w:r>
        <w:rPr>
          <w:rFonts w:ascii="Times New Roman" w:hAnsi="Times New Roman" w:cs="Times New Roman"/>
          <w:sz w:val="24"/>
          <w:szCs w:val="24"/>
        </w:rPr>
        <w:t xml:space="preserve"> </w:t>
      </w:r>
      <w:r w:rsidRPr="00D12A33">
        <w:rPr>
          <w:rFonts w:ascii="Times New Roman" w:hAnsi="Times New Roman" w:cs="Times New Roman"/>
          <w:sz w:val="24"/>
          <w:szCs w:val="24"/>
        </w:rPr>
        <w:t xml:space="preserve">entre idade e </w:t>
      </w:r>
      <w:r w:rsidR="00685CEF">
        <w:rPr>
          <w:rFonts w:ascii="Times New Roman" w:hAnsi="Times New Roman" w:cs="Times New Roman"/>
          <w:sz w:val="24"/>
          <w:szCs w:val="24"/>
        </w:rPr>
        <w:t xml:space="preserve">concentrações </w:t>
      </w:r>
      <w:r w:rsidRPr="00D12A33">
        <w:rPr>
          <w:rFonts w:ascii="Times New Roman" w:hAnsi="Times New Roman" w:cs="Times New Roman"/>
          <w:sz w:val="24"/>
          <w:szCs w:val="24"/>
        </w:rPr>
        <w:t>de 25-hidroxivitamina D</w:t>
      </w:r>
      <w:r w:rsidR="00685CEF" w:rsidRPr="00250BC3">
        <w:rPr>
          <w:rFonts w:ascii="Times New Roman" w:hAnsi="Times New Roman" w:cs="Times New Roman"/>
          <w:sz w:val="24"/>
          <w:szCs w:val="24"/>
        </w:rPr>
        <w:t>. Postula-se que esse</w:t>
      </w:r>
      <w:r w:rsidR="00F21CDA" w:rsidRPr="00250BC3">
        <w:rPr>
          <w:rFonts w:ascii="Times New Roman" w:hAnsi="Times New Roman" w:cs="Times New Roman"/>
          <w:sz w:val="24"/>
          <w:szCs w:val="24"/>
        </w:rPr>
        <w:t xml:space="preserve"> resultado</w:t>
      </w:r>
      <w:r w:rsidRPr="00250BC3">
        <w:rPr>
          <w:rFonts w:ascii="Times New Roman" w:hAnsi="Times New Roman" w:cs="Times New Roman"/>
          <w:sz w:val="24"/>
          <w:szCs w:val="24"/>
        </w:rPr>
        <w:t xml:space="preserve"> </w:t>
      </w:r>
      <w:r w:rsidR="00685CEF" w:rsidRPr="00250BC3">
        <w:rPr>
          <w:rFonts w:ascii="Times New Roman" w:hAnsi="Times New Roman" w:cs="Times New Roman"/>
          <w:sz w:val="24"/>
          <w:szCs w:val="24"/>
        </w:rPr>
        <w:t xml:space="preserve">seja pela </w:t>
      </w:r>
      <w:r w:rsidRPr="00250BC3">
        <w:rPr>
          <w:rFonts w:ascii="Times New Roman" w:hAnsi="Times New Roman" w:cs="Times New Roman"/>
          <w:sz w:val="24"/>
          <w:szCs w:val="24"/>
        </w:rPr>
        <w:t xml:space="preserve">redução das atividades ao ar livre e menor exposição ao sol com o </w:t>
      </w:r>
      <w:r w:rsidR="00685CEF" w:rsidRPr="00250BC3">
        <w:rPr>
          <w:rFonts w:ascii="Times New Roman" w:hAnsi="Times New Roman" w:cs="Times New Roman"/>
          <w:sz w:val="24"/>
          <w:szCs w:val="24"/>
        </w:rPr>
        <w:t xml:space="preserve">aumento da </w:t>
      </w:r>
      <w:r w:rsidRPr="00250BC3">
        <w:rPr>
          <w:rFonts w:ascii="Times New Roman" w:hAnsi="Times New Roman" w:cs="Times New Roman"/>
          <w:sz w:val="24"/>
          <w:szCs w:val="24"/>
        </w:rPr>
        <w:t>idade.</w:t>
      </w:r>
    </w:p>
    <w:p w14:paraId="6C97A1AF" w14:textId="42237A52" w:rsidR="00314F6F" w:rsidRPr="00250BC3" w:rsidRDefault="00BF48E1" w:rsidP="00314F6F">
      <w:pPr>
        <w:spacing w:after="0" w:line="360" w:lineRule="auto"/>
        <w:ind w:firstLine="851"/>
        <w:jc w:val="both"/>
        <w:rPr>
          <w:rFonts w:ascii="Times New Roman" w:hAnsi="Times New Roman" w:cs="Times New Roman"/>
          <w:bCs/>
          <w:sz w:val="24"/>
          <w:szCs w:val="24"/>
        </w:rPr>
      </w:pPr>
      <w:r w:rsidRPr="00250BC3">
        <w:rPr>
          <w:rFonts w:ascii="Times New Roman" w:hAnsi="Times New Roman" w:cs="Times New Roman"/>
          <w:sz w:val="24"/>
          <w:szCs w:val="24"/>
        </w:rPr>
        <w:t xml:space="preserve">Diante do exposto, </w:t>
      </w:r>
      <w:r w:rsidR="007F6D8C" w:rsidRPr="00250BC3">
        <w:rPr>
          <w:rFonts w:ascii="Times New Roman" w:hAnsi="Times New Roman" w:cs="Times New Roman"/>
          <w:sz w:val="24"/>
          <w:szCs w:val="24"/>
        </w:rPr>
        <w:t xml:space="preserve">confirmou-se a hipótese da inadequação dos valores de vitamina D nas crianças com PC e a importância do fator etário, contudo a associação entre a doença e a hipovitaminose ainda é controversa. </w:t>
      </w:r>
    </w:p>
    <w:p w14:paraId="6B112702" w14:textId="77777777" w:rsidR="00FD5923" w:rsidRPr="004B1AFF" w:rsidRDefault="00FD5923" w:rsidP="00D55093">
      <w:pPr>
        <w:spacing w:after="0" w:line="360" w:lineRule="auto"/>
        <w:jc w:val="both"/>
        <w:rPr>
          <w:rFonts w:ascii="Times New Roman" w:hAnsi="Times New Roman" w:cs="Times New Roman"/>
          <w:bCs/>
          <w:sz w:val="24"/>
          <w:szCs w:val="24"/>
        </w:rPr>
      </w:pPr>
    </w:p>
    <w:p w14:paraId="572F7ACD" w14:textId="69689EDE" w:rsidR="009D6A07" w:rsidRPr="004B1AFF" w:rsidRDefault="00E7394C" w:rsidP="00FF5F7A">
      <w:pPr>
        <w:spacing w:after="120" w:line="360" w:lineRule="auto"/>
        <w:jc w:val="both"/>
        <w:rPr>
          <w:rFonts w:ascii="Times New Roman" w:hAnsi="Times New Roman" w:cs="Times New Roman"/>
          <w:b/>
          <w:sz w:val="24"/>
          <w:szCs w:val="24"/>
        </w:rPr>
      </w:pPr>
      <w:r w:rsidRPr="004B1AFF">
        <w:rPr>
          <w:rFonts w:ascii="Times New Roman" w:hAnsi="Times New Roman" w:cs="Times New Roman"/>
          <w:b/>
          <w:sz w:val="24"/>
          <w:szCs w:val="24"/>
        </w:rPr>
        <w:t>4. CONCLUSÕES</w:t>
      </w:r>
    </w:p>
    <w:p w14:paraId="03D71FAC" w14:textId="2D509529" w:rsidR="00667FE5" w:rsidRDefault="006A78BF" w:rsidP="004C4BC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E</w:t>
      </w:r>
      <w:r w:rsidRPr="009A1767">
        <w:rPr>
          <w:rFonts w:ascii="Times New Roman" w:hAnsi="Times New Roman" w:cs="Times New Roman"/>
          <w:sz w:val="24"/>
          <w:szCs w:val="24"/>
        </w:rPr>
        <w:t>sta revisão encontrou deficiência de</w:t>
      </w:r>
      <w:r>
        <w:rPr>
          <w:rFonts w:ascii="Times New Roman" w:hAnsi="Times New Roman" w:cs="Times New Roman"/>
          <w:sz w:val="24"/>
          <w:szCs w:val="24"/>
        </w:rPr>
        <w:t xml:space="preserve"> </w:t>
      </w:r>
      <w:r w:rsidRPr="009A1767">
        <w:rPr>
          <w:rFonts w:ascii="Times New Roman" w:hAnsi="Times New Roman" w:cs="Times New Roman"/>
          <w:sz w:val="24"/>
          <w:szCs w:val="24"/>
        </w:rPr>
        <w:t>vitamina D altamente prevalente em crianças</w:t>
      </w:r>
      <w:r>
        <w:rPr>
          <w:rFonts w:ascii="Times New Roman" w:hAnsi="Times New Roman" w:cs="Times New Roman"/>
          <w:sz w:val="24"/>
          <w:szCs w:val="24"/>
        </w:rPr>
        <w:t xml:space="preserve"> </w:t>
      </w:r>
      <w:r w:rsidR="00405A38">
        <w:rPr>
          <w:rFonts w:ascii="Times New Roman" w:hAnsi="Times New Roman" w:cs="Times New Roman"/>
          <w:sz w:val="24"/>
          <w:szCs w:val="24"/>
        </w:rPr>
        <w:t xml:space="preserve">e adolescentes </w:t>
      </w:r>
      <w:r>
        <w:rPr>
          <w:rFonts w:ascii="Times New Roman" w:hAnsi="Times New Roman" w:cs="Times New Roman"/>
          <w:sz w:val="24"/>
          <w:szCs w:val="24"/>
        </w:rPr>
        <w:t>com</w:t>
      </w:r>
      <w:r w:rsidR="00F21CDA">
        <w:rPr>
          <w:rFonts w:ascii="Times New Roman" w:hAnsi="Times New Roman" w:cs="Times New Roman"/>
          <w:sz w:val="24"/>
          <w:szCs w:val="24"/>
        </w:rPr>
        <w:t xml:space="preserve"> </w:t>
      </w:r>
      <w:r>
        <w:rPr>
          <w:rFonts w:ascii="Times New Roman" w:hAnsi="Times New Roman" w:cs="Times New Roman"/>
          <w:sz w:val="24"/>
          <w:szCs w:val="24"/>
        </w:rPr>
        <w:t>PC.</w:t>
      </w:r>
      <w:r w:rsidR="00C861D5">
        <w:rPr>
          <w:rFonts w:ascii="Times New Roman" w:hAnsi="Times New Roman" w:cs="Times New Roman"/>
          <w:sz w:val="24"/>
          <w:szCs w:val="24"/>
        </w:rPr>
        <w:t xml:space="preserve"> </w:t>
      </w:r>
      <w:r w:rsidR="001B05DB">
        <w:rPr>
          <w:rFonts w:ascii="Times New Roman" w:hAnsi="Times New Roman" w:cs="Times New Roman"/>
          <w:sz w:val="24"/>
          <w:szCs w:val="24"/>
        </w:rPr>
        <w:t>Desse modo, m</w:t>
      </w:r>
      <w:r w:rsidR="00F21CDA" w:rsidRPr="00434009">
        <w:rPr>
          <w:rFonts w:ascii="Times New Roman" w:hAnsi="Times New Roman" w:cs="Times New Roman"/>
          <w:sz w:val="24"/>
          <w:szCs w:val="24"/>
        </w:rPr>
        <w:t>edidas preventivas como suplementação</w:t>
      </w:r>
      <w:r w:rsidR="001B05DB">
        <w:rPr>
          <w:rFonts w:ascii="Times New Roman" w:hAnsi="Times New Roman" w:cs="Times New Roman"/>
          <w:sz w:val="24"/>
          <w:szCs w:val="24"/>
        </w:rPr>
        <w:t>, exposição solar ou consumo alimentar adequado,</w:t>
      </w:r>
      <w:r w:rsidR="00F21CDA" w:rsidRPr="00434009">
        <w:rPr>
          <w:rFonts w:ascii="Times New Roman" w:hAnsi="Times New Roman" w:cs="Times New Roman"/>
          <w:sz w:val="24"/>
          <w:szCs w:val="24"/>
        </w:rPr>
        <w:t xml:space="preserve"> </w:t>
      </w:r>
      <w:r w:rsidR="001B05DB">
        <w:rPr>
          <w:rFonts w:ascii="Times New Roman" w:hAnsi="Times New Roman" w:cs="Times New Roman"/>
          <w:sz w:val="24"/>
          <w:szCs w:val="24"/>
        </w:rPr>
        <w:t xml:space="preserve">com vistas ao alcance das concentrações plasmáticas maiores ou iguais a </w:t>
      </w:r>
      <w:r w:rsidR="001B05DB" w:rsidRPr="00317647">
        <w:rPr>
          <w:rFonts w:ascii="Times New Roman" w:hAnsi="Times New Roman" w:cs="Times New Roman"/>
          <w:sz w:val="24"/>
          <w:szCs w:val="24"/>
        </w:rPr>
        <w:t xml:space="preserve">30 </w:t>
      </w:r>
      <w:proofErr w:type="spellStart"/>
      <w:r w:rsidR="001B05DB" w:rsidRPr="00317647">
        <w:rPr>
          <w:rFonts w:ascii="Times New Roman" w:hAnsi="Times New Roman" w:cs="Times New Roman"/>
          <w:sz w:val="24"/>
          <w:szCs w:val="24"/>
        </w:rPr>
        <w:t>ng</w:t>
      </w:r>
      <w:proofErr w:type="spellEnd"/>
      <w:r w:rsidR="001B05DB" w:rsidRPr="00317647">
        <w:rPr>
          <w:rFonts w:ascii="Times New Roman" w:hAnsi="Times New Roman" w:cs="Times New Roman"/>
          <w:sz w:val="24"/>
          <w:szCs w:val="24"/>
        </w:rPr>
        <w:t>/</w:t>
      </w:r>
      <w:proofErr w:type="spellStart"/>
      <w:r w:rsidR="001B05DB" w:rsidRPr="00317647">
        <w:rPr>
          <w:rFonts w:ascii="Times New Roman" w:hAnsi="Times New Roman" w:cs="Times New Roman"/>
          <w:sz w:val="24"/>
          <w:szCs w:val="24"/>
        </w:rPr>
        <w:t>mL</w:t>
      </w:r>
      <w:proofErr w:type="spellEnd"/>
      <w:r w:rsidR="00F21CDA" w:rsidRPr="00434009">
        <w:rPr>
          <w:rFonts w:ascii="Times New Roman" w:hAnsi="Times New Roman" w:cs="Times New Roman"/>
          <w:sz w:val="24"/>
          <w:szCs w:val="24"/>
        </w:rPr>
        <w:t xml:space="preserve"> </w:t>
      </w:r>
      <w:r w:rsidR="00434009" w:rsidRPr="00434009">
        <w:rPr>
          <w:rFonts w:ascii="Times New Roman" w:hAnsi="Times New Roman" w:cs="Times New Roman"/>
          <w:sz w:val="24"/>
          <w:szCs w:val="24"/>
        </w:rPr>
        <w:t>deve</w:t>
      </w:r>
      <w:r w:rsidR="00F21CDA">
        <w:rPr>
          <w:rFonts w:ascii="Times New Roman" w:hAnsi="Times New Roman" w:cs="Times New Roman"/>
          <w:sz w:val="24"/>
          <w:szCs w:val="24"/>
        </w:rPr>
        <w:t>m</w:t>
      </w:r>
      <w:r w:rsidR="00434009" w:rsidRPr="00434009">
        <w:rPr>
          <w:rFonts w:ascii="Times New Roman" w:hAnsi="Times New Roman" w:cs="Times New Roman"/>
          <w:sz w:val="24"/>
          <w:szCs w:val="24"/>
        </w:rPr>
        <w:t xml:space="preserve"> ser incluída</w:t>
      </w:r>
      <w:r w:rsidR="00F21CDA">
        <w:rPr>
          <w:rFonts w:ascii="Times New Roman" w:hAnsi="Times New Roman" w:cs="Times New Roman"/>
          <w:sz w:val="24"/>
          <w:szCs w:val="24"/>
        </w:rPr>
        <w:t>s</w:t>
      </w:r>
      <w:r w:rsidR="00434009" w:rsidRPr="00434009">
        <w:rPr>
          <w:rFonts w:ascii="Times New Roman" w:hAnsi="Times New Roman" w:cs="Times New Roman"/>
          <w:sz w:val="24"/>
          <w:szCs w:val="24"/>
        </w:rPr>
        <w:t xml:space="preserve"> no acompanhamento </w:t>
      </w:r>
      <w:r w:rsidR="00405A38">
        <w:rPr>
          <w:rFonts w:ascii="Times New Roman" w:hAnsi="Times New Roman" w:cs="Times New Roman"/>
          <w:sz w:val="24"/>
          <w:szCs w:val="24"/>
        </w:rPr>
        <w:t xml:space="preserve">infantojuvenil. </w:t>
      </w:r>
    </w:p>
    <w:p w14:paraId="5D1CB2AE" w14:textId="77777777" w:rsidR="00F128DE" w:rsidRPr="00F21CDA" w:rsidRDefault="00F128DE" w:rsidP="004C4BCB">
      <w:pPr>
        <w:spacing w:after="0" w:line="360" w:lineRule="auto"/>
        <w:jc w:val="both"/>
        <w:rPr>
          <w:rFonts w:ascii="Times New Roman" w:hAnsi="Times New Roman" w:cs="Times New Roman"/>
          <w:sz w:val="24"/>
          <w:szCs w:val="24"/>
        </w:rPr>
      </w:pPr>
    </w:p>
    <w:p w14:paraId="2A64166F" w14:textId="47200764" w:rsidR="00E7394C" w:rsidRPr="004A70F4" w:rsidRDefault="00E7394C" w:rsidP="00DC59F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6. </w:t>
      </w:r>
      <w:r w:rsidRPr="004A70F4">
        <w:rPr>
          <w:rFonts w:ascii="Times New Roman" w:hAnsi="Times New Roman" w:cs="Times New Roman"/>
          <w:b/>
          <w:sz w:val="24"/>
          <w:szCs w:val="24"/>
        </w:rPr>
        <w:t>REFERÊNCIAS</w:t>
      </w:r>
    </w:p>
    <w:p w14:paraId="27E521AE" w14:textId="16924D0E" w:rsidR="00F562F4" w:rsidRDefault="0025627D" w:rsidP="00F562F4">
      <w:pPr>
        <w:widowControl w:val="0"/>
        <w:autoSpaceDE w:val="0"/>
        <w:autoSpaceDN w:val="0"/>
        <w:adjustRightInd w:val="0"/>
        <w:spacing w:after="0" w:line="240" w:lineRule="auto"/>
        <w:rPr>
          <w:rFonts w:ascii="Times New Roman" w:hAnsi="Times New Roman" w:cs="Times New Roman"/>
          <w:noProof/>
          <w:szCs w:val="24"/>
        </w:rPr>
      </w:pPr>
      <w:r w:rsidRPr="0025627D">
        <w:rPr>
          <w:rFonts w:ascii="Times New Roman" w:hAnsi="Times New Roman" w:cs="Times New Roman"/>
        </w:rPr>
        <w:fldChar w:fldCharType="begin" w:fldLock="1"/>
      </w:r>
      <w:r w:rsidRPr="0025627D">
        <w:rPr>
          <w:rFonts w:ascii="Times New Roman" w:hAnsi="Times New Roman" w:cs="Times New Roman"/>
        </w:rPr>
        <w:instrText xml:space="preserve">ADDIN Mendeley Bibliography CSL_BIBLIOGRAPHY </w:instrText>
      </w:r>
      <w:r w:rsidRPr="0025627D">
        <w:rPr>
          <w:rFonts w:ascii="Times New Roman" w:hAnsi="Times New Roman" w:cs="Times New Roman"/>
        </w:rPr>
        <w:fldChar w:fldCharType="separate"/>
      </w:r>
      <w:r w:rsidR="00F562F4" w:rsidRPr="00F562F4">
        <w:rPr>
          <w:rFonts w:ascii="Times New Roman" w:hAnsi="Times New Roman" w:cs="Times New Roman"/>
          <w:noProof/>
          <w:szCs w:val="24"/>
        </w:rPr>
        <w:t xml:space="preserve">AKPINAR, P. Vitamin D status of children with cerebral palsy: Should vitamin D levels be checked in children with cerebral palsy? </w:t>
      </w:r>
      <w:r w:rsidR="00F562F4" w:rsidRPr="00F562F4">
        <w:rPr>
          <w:rFonts w:ascii="Times New Roman" w:hAnsi="Times New Roman" w:cs="Times New Roman"/>
          <w:b/>
          <w:bCs/>
          <w:noProof/>
          <w:szCs w:val="24"/>
        </w:rPr>
        <w:t>Northern Clinics of Istanbul</w:t>
      </w:r>
      <w:r w:rsidR="00F562F4" w:rsidRPr="00F562F4">
        <w:rPr>
          <w:rFonts w:ascii="Times New Roman" w:hAnsi="Times New Roman" w:cs="Times New Roman"/>
          <w:noProof/>
          <w:szCs w:val="24"/>
        </w:rPr>
        <w:t>, v. 5, n. 4, p. 341–347, 2018.</w:t>
      </w:r>
    </w:p>
    <w:p w14:paraId="05A2C26B" w14:textId="77777777" w:rsidR="00F562F4" w:rsidRPr="00F562F4" w:rsidRDefault="00F562F4" w:rsidP="00F562F4">
      <w:pPr>
        <w:widowControl w:val="0"/>
        <w:autoSpaceDE w:val="0"/>
        <w:autoSpaceDN w:val="0"/>
        <w:adjustRightInd w:val="0"/>
        <w:spacing w:after="0" w:line="240" w:lineRule="auto"/>
        <w:rPr>
          <w:rFonts w:ascii="Times New Roman" w:hAnsi="Times New Roman" w:cs="Times New Roman"/>
          <w:noProof/>
          <w:szCs w:val="24"/>
        </w:rPr>
      </w:pPr>
    </w:p>
    <w:p w14:paraId="1C49DBAB" w14:textId="1B5133C4" w:rsidR="00F562F4" w:rsidRDefault="00F562F4" w:rsidP="00F562F4">
      <w:pPr>
        <w:widowControl w:val="0"/>
        <w:autoSpaceDE w:val="0"/>
        <w:autoSpaceDN w:val="0"/>
        <w:adjustRightInd w:val="0"/>
        <w:spacing w:after="0" w:line="240" w:lineRule="auto"/>
        <w:rPr>
          <w:rFonts w:ascii="Times New Roman" w:hAnsi="Times New Roman" w:cs="Times New Roman"/>
          <w:noProof/>
          <w:szCs w:val="24"/>
        </w:rPr>
      </w:pPr>
      <w:r w:rsidRPr="00F562F4">
        <w:rPr>
          <w:rFonts w:ascii="Times New Roman" w:hAnsi="Times New Roman" w:cs="Times New Roman"/>
          <w:noProof/>
          <w:szCs w:val="24"/>
        </w:rPr>
        <w:t xml:space="preserve">BAX, M. et al. Proposed definition and classification of cerebral palsy, April 2005. </w:t>
      </w:r>
      <w:r w:rsidRPr="00F562F4">
        <w:rPr>
          <w:rFonts w:ascii="Times New Roman" w:hAnsi="Times New Roman" w:cs="Times New Roman"/>
          <w:b/>
          <w:bCs/>
          <w:noProof/>
          <w:szCs w:val="24"/>
        </w:rPr>
        <w:t>Developmental Medicine and Child Neurology</w:t>
      </w:r>
      <w:r w:rsidRPr="00F562F4">
        <w:rPr>
          <w:rFonts w:ascii="Times New Roman" w:hAnsi="Times New Roman" w:cs="Times New Roman"/>
          <w:noProof/>
          <w:szCs w:val="24"/>
        </w:rPr>
        <w:t>, v. 47, n. 8, p. 571–576, 2005.</w:t>
      </w:r>
    </w:p>
    <w:p w14:paraId="153BA140" w14:textId="77777777" w:rsidR="00F562F4" w:rsidRPr="00F562F4" w:rsidRDefault="00F562F4" w:rsidP="00F562F4">
      <w:pPr>
        <w:widowControl w:val="0"/>
        <w:autoSpaceDE w:val="0"/>
        <w:autoSpaceDN w:val="0"/>
        <w:adjustRightInd w:val="0"/>
        <w:spacing w:after="0" w:line="240" w:lineRule="auto"/>
        <w:rPr>
          <w:rFonts w:ascii="Times New Roman" w:hAnsi="Times New Roman" w:cs="Times New Roman"/>
          <w:noProof/>
          <w:szCs w:val="24"/>
        </w:rPr>
      </w:pPr>
    </w:p>
    <w:p w14:paraId="587CDF39" w14:textId="2BA5CCD3" w:rsidR="00F562F4" w:rsidRDefault="00F562F4" w:rsidP="00F562F4">
      <w:pPr>
        <w:widowControl w:val="0"/>
        <w:autoSpaceDE w:val="0"/>
        <w:autoSpaceDN w:val="0"/>
        <w:adjustRightInd w:val="0"/>
        <w:spacing w:after="0" w:line="240" w:lineRule="auto"/>
        <w:rPr>
          <w:rFonts w:ascii="Times New Roman" w:hAnsi="Times New Roman" w:cs="Times New Roman"/>
          <w:noProof/>
          <w:szCs w:val="24"/>
        </w:rPr>
      </w:pPr>
      <w:r w:rsidRPr="00F562F4">
        <w:rPr>
          <w:rFonts w:ascii="Times New Roman" w:hAnsi="Times New Roman" w:cs="Times New Roman"/>
          <w:noProof/>
          <w:szCs w:val="24"/>
        </w:rPr>
        <w:t xml:space="preserve">CASELLI, T. B. et al. Comparative study on gastrostomy and orally nutrition of children and adolescents with tetraparesis cerebral palsy. </w:t>
      </w:r>
      <w:r w:rsidRPr="00F562F4">
        <w:rPr>
          <w:rFonts w:ascii="Times New Roman" w:hAnsi="Times New Roman" w:cs="Times New Roman"/>
          <w:b/>
          <w:bCs/>
          <w:noProof/>
          <w:szCs w:val="24"/>
        </w:rPr>
        <w:t>Arquivos de Gastroenterologia</w:t>
      </w:r>
      <w:r w:rsidRPr="00F562F4">
        <w:rPr>
          <w:rFonts w:ascii="Times New Roman" w:hAnsi="Times New Roman" w:cs="Times New Roman"/>
          <w:noProof/>
          <w:szCs w:val="24"/>
        </w:rPr>
        <w:t>, v. 54, n. 4, p. 292–296, 2017.</w:t>
      </w:r>
    </w:p>
    <w:p w14:paraId="12AF7373" w14:textId="77777777" w:rsidR="00F562F4" w:rsidRPr="00F562F4" w:rsidRDefault="00F562F4" w:rsidP="00F562F4">
      <w:pPr>
        <w:widowControl w:val="0"/>
        <w:autoSpaceDE w:val="0"/>
        <w:autoSpaceDN w:val="0"/>
        <w:adjustRightInd w:val="0"/>
        <w:spacing w:after="0" w:line="240" w:lineRule="auto"/>
        <w:rPr>
          <w:rFonts w:ascii="Times New Roman" w:hAnsi="Times New Roman" w:cs="Times New Roman"/>
          <w:noProof/>
          <w:szCs w:val="24"/>
        </w:rPr>
      </w:pPr>
    </w:p>
    <w:p w14:paraId="498C7F13" w14:textId="6FECD07A" w:rsidR="00F562F4" w:rsidRDefault="00F562F4" w:rsidP="00F562F4">
      <w:pPr>
        <w:widowControl w:val="0"/>
        <w:autoSpaceDE w:val="0"/>
        <w:autoSpaceDN w:val="0"/>
        <w:adjustRightInd w:val="0"/>
        <w:spacing w:after="0" w:line="240" w:lineRule="auto"/>
        <w:rPr>
          <w:rFonts w:ascii="Times New Roman" w:hAnsi="Times New Roman" w:cs="Times New Roman"/>
          <w:noProof/>
          <w:szCs w:val="24"/>
        </w:rPr>
      </w:pPr>
      <w:r w:rsidRPr="00F562F4">
        <w:rPr>
          <w:rFonts w:ascii="Times New Roman" w:hAnsi="Times New Roman" w:cs="Times New Roman"/>
          <w:noProof/>
          <w:szCs w:val="24"/>
        </w:rPr>
        <w:t xml:space="preserve">HARIPRASAD, P. et al. Multiple nutritional deficiencies in cerebral palsy compounding physical and functional impairments. </w:t>
      </w:r>
      <w:r w:rsidRPr="00F562F4">
        <w:rPr>
          <w:rFonts w:ascii="Times New Roman" w:hAnsi="Times New Roman" w:cs="Times New Roman"/>
          <w:b/>
          <w:bCs/>
          <w:noProof/>
          <w:szCs w:val="24"/>
        </w:rPr>
        <w:t>Indian Journal of Palliative Care</w:t>
      </w:r>
      <w:r w:rsidRPr="00F562F4">
        <w:rPr>
          <w:rFonts w:ascii="Times New Roman" w:hAnsi="Times New Roman" w:cs="Times New Roman"/>
          <w:noProof/>
          <w:szCs w:val="24"/>
        </w:rPr>
        <w:t>, v. 23, n. 4, p. 387, 2017.</w:t>
      </w:r>
    </w:p>
    <w:p w14:paraId="6B06C005" w14:textId="77777777" w:rsidR="00F562F4" w:rsidRPr="00F562F4" w:rsidRDefault="00F562F4" w:rsidP="00F562F4">
      <w:pPr>
        <w:widowControl w:val="0"/>
        <w:autoSpaceDE w:val="0"/>
        <w:autoSpaceDN w:val="0"/>
        <w:adjustRightInd w:val="0"/>
        <w:spacing w:after="0" w:line="240" w:lineRule="auto"/>
        <w:rPr>
          <w:rFonts w:ascii="Times New Roman" w:hAnsi="Times New Roman" w:cs="Times New Roman"/>
          <w:noProof/>
          <w:szCs w:val="24"/>
        </w:rPr>
      </w:pPr>
    </w:p>
    <w:p w14:paraId="2DF3CEED" w14:textId="7D0168A3" w:rsidR="00F562F4" w:rsidRDefault="00F562F4" w:rsidP="00F562F4">
      <w:pPr>
        <w:widowControl w:val="0"/>
        <w:autoSpaceDE w:val="0"/>
        <w:autoSpaceDN w:val="0"/>
        <w:adjustRightInd w:val="0"/>
        <w:spacing w:after="0" w:line="240" w:lineRule="auto"/>
        <w:rPr>
          <w:rFonts w:ascii="Times New Roman" w:hAnsi="Times New Roman" w:cs="Times New Roman"/>
          <w:noProof/>
          <w:szCs w:val="24"/>
        </w:rPr>
      </w:pPr>
      <w:r w:rsidRPr="00F562F4">
        <w:rPr>
          <w:rFonts w:ascii="Times New Roman" w:hAnsi="Times New Roman" w:cs="Times New Roman"/>
          <w:noProof/>
          <w:szCs w:val="24"/>
        </w:rPr>
        <w:t xml:space="preserve">KILPINEN-LOISA, P. et al. High-dose vitamin D supplementation in children with cerebral palsy or neuromuscular disorder. </w:t>
      </w:r>
      <w:r w:rsidRPr="00F562F4">
        <w:rPr>
          <w:rFonts w:ascii="Times New Roman" w:hAnsi="Times New Roman" w:cs="Times New Roman"/>
          <w:b/>
          <w:bCs/>
          <w:noProof/>
          <w:szCs w:val="24"/>
        </w:rPr>
        <w:t>Neuropediatrics</w:t>
      </w:r>
      <w:r w:rsidRPr="00F562F4">
        <w:rPr>
          <w:rFonts w:ascii="Times New Roman" w:hAnsi="Times New Roman" w:cs="Times New Roman"/>
          <w:noProof/>
          <w:szCs w:val="24"/>
        </w:rPr>
        <w:t>, v. 38, n. 4, p. 167–172, 2007.</w:t>
      </w:r>
    </w:p>
    <w:p w14:paraId="3A1839EA" w14:textId="77777777" w:rsidR="00F562F4" w:rsidRPr="00F562F4" w:rsidRDefault="00F562F4" w:rsidP="00F562F4">
      <w:pPr>
        <w:widowControl w:val="0"/>
        <w:autoSpaceDE w:val="0"/>
        <w:autoSpaceDN w:val="0"/>
        <w:adjustRightInd w:val="0"/>
        <w:spacing w:after="0" w:line="240" w:lineRule="auto"/>
        <w:rPr>
          <w:rFonts w:ascii="Times New Roman" w:hAnsi="Times New Roman" w:cs="Times New Roman"/>
          <w:noProof/>
          <w:szCs w:val="24"/>
        </w:rPr>
      </w:pPr>
    </w:p>
    <w:p w14:paraId="7D561776" w14:textId="4E7293DC" w:rsidR="00F562F4" w:rsidRDefault="00F562F4" w:rsidP="00F562F4">
      <w:pPr>
        <w:widowControl w:val="0"/>
        <w:autoSpaceDE w:val="0"/>
        <w:autoSpaceDN w:val="0"/>
        <w:adjustRightInd w:val="0"/>
        <w:spacing w:after="0" w:line="240" w:lineRule="auto"/>
        <w:rPr>
          <w:rFonts w:ascii="Times New Roman" w:hAnsi="Times New Roman" w:cs="Times New Roman"/>
          <w:noProof/>
          <w:szCs w:val="24"/>
        </w:rPr>
      </w:pPr>
      <w:r w:rsidRPr="00F562F4">
        <w:rPr>
          <w:rFonts w:ascii="Times New Roman" w:hAnsi="Times New Roman" w:cs="Times New Roman"/>
          <w:noProof/>
          <w:szCs w:val="24"/>
        </w:rPr>
        <w:t xml:space="preserve">LE ROY, C. et al. Vitamin D and iron deficiencies in children and adolescents with cerebral palsy. </w:t>
      </w:r>
      <w:r w:rsidRPr="00F562F4">
        <w:rPr>
          <w:rFonts w:ascii="Times New Roman" w:hAnsi="Times New Roman" w:cs="Times New Roman"/>
          <w:b/>
          <w:bCs/>
          <w:noProof/>
          <w:szCs w:val="24"/>
        </w:rPr>
        <w:t>Neurología</w:t>
      </w:r>
      <w:r w:rsidRPr="00F562F4">
        <w:rPr>
          <w:rFonts w:ascii="Times New Roman" w:hAnsi="Times New Roman" w:cs="Times New Roman"/>
          <w:noProof/>
          <w:szCs w:val="24"/>
        </w:rPr>
        <w:t>, 2019.</w:t>
      </w:r>
    </w:p>
    <w:p w14:paraId="1C9F2E33" w14:textId="77777777" w:rsidR="00F562F4" w:rsidRPr="00F562F4" w:rsidRDefault="00F562F4" w:rsidP="00F562F4">
      <w:pPr>
        <w:widowControl w:val="0"/>
        <w:autoSpaceDE w:val="0"/>
        <w:autoSpaceDN w:val="0"/>
        <w:adjustRightInd w:val="0"/>
        <w:spacing w:after="0" w:line="240" w:lineRule="auto"/>
        <w:rPr>
          <w:rFonts w:ascii="Times New Roman" w:hAnsi="Times New Roman" w:cs="Times New Roman"/>
          <w:noProof/>
          <w:szCs w:val="24"/>
        </w:rPr>
      </w:pPr>
    </w:p>
    <w:p w14:paraId="6ACF0100" w14:textId="21BC14C0" w:rsidR="00F562F4" w:rsidRDefault="00F562F4" w:rsidP="00F562F4">
      <w:pPr>
        <w:widowControl w:val="0"/>
        <w:autoSpaceDE w:val="0"/>
        <w:autoSpaceDN w:val="0"/>
        <w:adjustRightInd w:val="0"/>
        <w:spacing w:after="0" w:line="240" w:lineRule="auto"/>
        <w:rPr>
          <w:rFonts w:ascii="Times New Roman" w:hAnsi="Times New Roman" w:cs="Times New Roman"/>
          <w:noProof/>
          <w:szCs w:val="24"/>
        </w:rPr>
      </w:pPr>
      <w:r w:rsidRPr="00F562F4">
        <w:rPr>
          <w:rFonts w:ascii="Times New Roman" w:hAnsi="Times New Roman" w:cs="Times New Roman"/>
          <w:noProof/>
          <w:szCs w:val="24"/>
        </w:rPr>
        <w:t xml:space="preserve">LEONARD, M. et al. Nutritional status of neurologically impaired children: Impact on comorbidity. </w:t>
      </w:r>
      <w:r w:rsidRPr="00F562F4">
        <w:rPr>
          <w:rFonts w:ascii="Times New Roman" w:hAnsi="Times New Roman" w:cs="Times New Roman"/>
          <w:b/>
          <w:bCs/>
          <w:noProof/>
          <w:szCs w:val="24"/>
        </w:rPr>
        <w:t>Archives de Pediatrie</w:t>
      </w:r>
      <w:r w:rsidRPr="00F562F4">
        <w:rPr>
          <w:rFonts w:ascii="Times New Roman" w:hAnsi="Times New Roman" w:cs="Times New Roman"/>
          <w:noProof/>
          <w:szCs w:val="24"/>
        </w:rPr>
        <w:t>, v. 27, n. 2, p. 95–103, 2020.</w:t>
      </w:r>
    </w:p>
    <w:p w14:paraId="4774C265" w14:textId="77777777" w:rsidR="00F562F4" w:rsidRPr="00F562F4" w:rsidRDefault="00F562F4" w:rsidP="00F562F4">
      <w:pPr>
        <w:widowControl w:val="0"/>
        <w:autoSpaceDE w:val="0"/>
        <w:autoSpaceDN w:val="0"/>
        <w:adjustRightInd w:val="0"/>
        <w:spacing w:after="0" w:line="240" w:lineRule="auto"/>
        <w:rPr>
          <w:rFonts w:ascii="Times New Roman" w:hAnsi="Times New Roman" w:cs="Times New Roman"/>
          <w:noProof/>
          <w:szCs w:val="24"/>
        </w:rPr>
      </w:pPr>
    </w:p>
    <w:p w14:paraId="22665603" w14:textId="655282D1" w:rsidR="00F562F4" w:rsidRDefault="00F562F4" w:rsidP="00F562F4">
      <w:pPr>
        <w:widowControl w:val="0"/>
        <w:autoSpaceDE w:val="0"/>
        <w:autoSpaceDN w:val="0"/>
        <w:adjustRightInd w:val="0"/>
        <w:spacing w:after="0" w:line="240" w:lineRule="auto"/>
        <w:rPr>
          <w:rFonts w:ascii="Times New Roman" w:hAnsi="Times New Roman" w:cs="Times New Roman"/>
          <w:noProof/>
          <w:szCs w:val="24"/>
        </w:rPr>
      </w:pPr>
      <w:r w:rsidRPr="00F562F4">
        <w:rPr>
          <w:rFonts w:ascii="Times New Roman" w:hAnsi="Times New Roman" w:cs="Times New Roman"/>
          <w:noProof/>
          <w:szCs w:val="24"/>
        </w:rPr>
        <w:t xml:space="preserve">MEIER, M. S. et al. Vitamina D en niños con Enfermedades Neurológicas en la Edad Pediátrica The </w:t>
      </w:r>
      <w:r w:rsidRPr="00F562F4">
        <w:rPr>
          <w:rFonts w:ascii="Times New Roman" w:hAnsi="Times New Roman" w:cs="Times New Roman"/>
          <w:noProof/>
          <w:szCs w:val="24"/>
        </w:rPr>
        <w:lastRenderedPageBreak/>
        <w:t xml:space="preserve">role of Vitamin D in neurological diseases in Children. </w:t>
      </w:r>
      <w:r w:rsidRPr="00F562F4">
        <w:rPr>
          <w:rFonts w:ascii="Times New Roman" w:hAnsi="Times New Roman" w:cs="Times New Roman"/>
          <w:b/>
          <w:bCs/>
          <w:noProof/>
          <w:szCs w:val="24"/>
        </w:rPr>
        <w:t>Revista Chilena de Psiquiatria y Neurologia de la Infancia y Adolescencia</w:t>
      </w:r>
      <w:r w:rsidRPr="00F562F4">
        <w:rPr>
          <w:rFonts w:ascii="Times New Roman" w:hAnsi="Times New Roman" w:cs="Times New Roman"/>
          <w:noProof/>
          <w:szCs w:val="24"/>
        </w:rPr>
        <w:t>, v. 23, n. 1, p. 42–49, 2012.</w:t>
      </w:r>
    </w:p>
    <w:p w14:paraId="29717BDF" w14:textId="77777777" w:rsidR="00F562F4" w:rsidRPr="00F562F4" w:rsidRDefault="00F562F4" w:rsidP="00F562F4">
      <w:pPr>
        <w:widowControl w:val="0"/>
        <w:autoSpaceDE w:val="0"/>
        <w:autoSpaceDN w:val="0"/>
        <w:adjustRightInd w:val="0"/>
        <w:spacing w:after="0" w:line="240" w:lineRule="auto"/>
        <w:rPr>
          <w:rFonts w:ascii="Times New Roman" w:hAnsi="Times New Roman" w:cs="Times New Roman"/>
          <w:noProof/>
          <w:szCs w:val="24"/>
        </w:rPr>
      </w:pPr>
    </w:p>
    <w:p w14:paraId="4AFE720D" w14:textId="01A9DBBA" w:rsidR="00F562F4" w:rsidRDefault="00F562F4" w:rsidP="00F562F4">
      <w:pPr>
        <w:widowControl w:val="0"/>
        <w:autoSpaceDE w:val="0"/>
        <w:autoSpaceDN w:val="0"/>
        <w:adjustRightInd w:val="0"/>
        <w:spacing w:after="0" w:line="240" w:lineRule="auto"/>
        <w:rPr>
          <w:rFonts w:ascii="Times New Roman" w:hAnsi="Times New Roman" w:cs="Times New Roman"/>
          <w:noProof/>
          <w:szCs w:val="24"/>
        </w:rPr>
      </w:pPr>
      <w:r w:rsidRPr="00F562F4">
        <w:rPr>
          <w:rFonts w:ascii="Times New Roman" w:hAnsi="Times New Roman" w:cs="Times New Roman"/>
          <w:noProof/>
          <w:szCs w:val="24"/>
        </w:rPr>
        <w:t xml:space="preserve">MOREIRA, C. A. et al. Reference values of 25-hydroxyvitamin D revisited: a position statement from the Brazilian Society of Endocrinology and Metabolism (SBEM) and the Brazilian Society of Clinical Pathology/Laboratory Medicine (SBPC). </w:t>
      </w:r>
      <w:r w:rsidRPr="00F562F4">
        <w:rPr>
          <w:rFonts w:ascii="Times New Roman" w:hAnsi="Times New Roman" w:cs="Times New Roman"/>
          <w:b/>
          <w:bCs/>
          <w:noProof/>
          <w:szCs w:val="24"/>
        </w:rPr>
        <w:t>Archives of Endocrinology and Metabolism</w:t>
      </w:r>
      <w:r w:rsidRPr="00F562F4">
        <w:rPr>
          <w:rFonts w:ascii="Times New Roman" w:hAnsi="Times New Roman" w:cs="Times New Roman"/>
          <w:noProof/>
          <w:szCs w:val="24"/>
        </w:rPr>
        <w:t>, 2020.</w:t>
      </w:r>
    </w:p>
    <w:p w14:paraId="6C5F2D82" w14:textId="77777777" w:rsidR="00F562F4" w:rsidRPr="00F562F4" w:rsidRDefault="00F562F4" w:rsidP="00F562F4">
      <w:pPr>
        <w:widowControl w:val="0"/>
        <w:autoSpaceDE w:val="0"/>
        <w:autoSpaceDN w:val="0"/>
        <w:adjustRightInd w:val="0"/>
        <w:spacing w:after="0" w:line="240" w:lineRule="auto"/>
        <w:rPr>
          <w:rFonts w:ascii="Times New Roman" w:hAnsi="Times New Roman" w:cs="Times New Roman"/>
          <w:noProof/>
          <w:szCs w:val="24"/>
        </w:rPr>
      </w:pPr>
    </w:p>
    <w:p w14:paraId="1E6A4912" w14:textId="1A61C440" w:rsidR="00F562F4" w:rsidRDefault="00F562F4" w:rsidP="00F562F4">
      <w:pPr>
        <w:widowControl w:val="0"/>
        <w:autoSpaceDE w:val="0"/>
        <w:autoSpaceDN w:val="0"/>
        <w:adjustRightInd w:val="0"/>
        <w:spacing w:after="0" w:line="240" w:lineRule="auto"/>
        <w:rPr>
          <w:rFonts w:ascii="Times New Roman" w:hAnsi="Times New Roman" w:cs="Times New Roman"/>
          <w:noProof/>
          <w:szCs w:val="24"/>
        </w:rPr>
      </w:pPr>
      <w:r w:rsidRPr="00F562F4">
        <w:rPr>
          <w:rFonts w:ascii="Times New Roman" w:hAnsi="Times New Roman" w:cs="Times New Roman"/>
          <w:noProof/>
          <w:szCs w:val="24"/>
        </w:rPr>
        <w:t xml:space="preserve">NAIR, S. K.; GAFOOR, D. S. A. Vitamin D level in cerebral palsy patients below 18 years. </w:t>
      </w:r>
      <w:r w:rsidRPr="00F562F4">
        <w:rPr>
          <w:rFonts w:ascii="Times New Roman" w:hAnsi="Times New Roman" w:cs="Times New Roman"/>
          <w:b/>
          <w:bCs/>
          <w:noProof/>
          <w:szCs w:val="24"/>
        </w:rPr>
        <w:t>journal of Medical Science And clinical Research</w:t>
      </w:r>
      <w:r w:rsidRPr="00F562F4">
        <w:rPr>
          <w:rFonts w:ascii="Times New Roman" w:hAnsi="Times New Roman" w:cs="Times New Roman"/>
          <w:noProof/>
          <w:szCs w:val="24"/>
        </w:rPr>
        <w:t>, v. 7, n. 3, p. 991–996, 2019.</w:t>
      </w:r>
    </w:p>
    <w:p w14:paraId="33B2792F" w14:textId="77777777" w:rsidR="00F562F4" w:rsidRPr="00F562F4" w:rsidRDefault="00F562F4" w:rsidP="00F562F4">
      <w:pPr>
        <w:widowControl w:val="0"/>
        <w:autoSpaceDE w:val="0"/>
        <w:autoSpaceDN w:val="0"/>
        <w:adjustRightInd w:val="0"/>
        <w:spacing w:after="0" w:line="240" w:lineRule="auto"/>
        <w:rPr>
          <w:rFonts w:ascii="Times New Roman" w:hAnsi="Times New Roman" w:cs="Times New Roman"/>
          <w:noProof/>
          <w:szCs w:val="24"/>
        </w:rPr>
      </w:pPr>
    </w:p>
    <w:p w14:paraId="6E82040A" w14:textId="60DFC0D0" w:rsidR="00F562F4" w:rsidRDefault="00F562F4" w:rsidP="00F562F4">
      <w:pPr>
        <w:widowControl w:val="0"/>
        <w:autoSpaceDE w:val="0"/>
        <w:autoSpaceDN w:val="0"/>
        <w:adjustRightInd w:val="0"/>
        <w:spacing w:after="0" w:line="240" w:lineRule="auto"/>
        <w:rPr>
          <w:rFonts w:ascii="Times New Roman" w:hAnsi="Times New Roman" w:cs="Times New Roman"/>
          <w:noProof/>
          <w:szCs w:val="24"/>
        </w:rPr>
      </w:pPr>
      <w:r w:rsidRPr="00F562F4">
        <w:rPr>
          <w:rFonts w:ascii="Times New Roman" w:hAnsi="Times New Roman" w:cs="Times New Roman"/>
          <w:noProof/>
          <w:szCs w:val="24"/>
        </w:rPr>
        <w:t xml:space="preserve">SETH, A. et al. Effect of impaired ambulation and anti-epileptic drug intake on vitamin D status of children with cerebral palsy. </w:t>
      </w:r>
      <w:r w:rsidRPr="00F562F4">
        <w:rPr>
          <w:rFonts w:ascii="Times New Roman" w:hAnsi="Times New Roman" w:cs="Times New Roman"/>
          <w:b/>
          <w:bCs/>
          <w:noProof/>
          <w:szCs w:val="24"/>
        </w:rPr>
        <w:t>Paediatrics and International Child Health</w:t>
      </w:r>
      <w:r w:rsidRPr="00F562F4">
        <w:rPr>
          <w:rFonts w:ascii="Times New Roman" w:hAnsi="Times New Roman" w:cs="Times New Roman"/>
          <w:noProof/>
          <w:szCs w:val="24"/>
        </w:rPr>
        <w:t>, v. 37, n. 3, p. 193–198, 2017.</w:t>
      </w:r>
    </w:p>
    <w:p w14:paraId="02F4C302" w14:textId="77777777" w:rsidR="00F562F4" w:rsidRPr="00F562F4" w:rsidRDefault="00F562F4" w:rsidP="00F562F4">
      <w:pPr>
        <w:widowControl w:val="0"/>
        <w:autoSpaceDE w:val="0"/>
        <w:autoSpaceDN w:val="0"/>
        <w:adjustRightInd w:val="0"/>
        <w:spacing w:after="0" w:line="240" w:lineRule="auto"/>
        <w:rPr>
          <w:rFonts w:ascii="Times New Roman" w:hAnsi="Times New Roman" w:cs="Times New Roman"/>
          <w:noProof/>
          <w:szCs w:val="24"/>
        </w:rPr>
      </w:pPr>
    </w:p>
    <w:p w14:paraId="0CE1DEEF" w14:textId="02E9D63B" w:rsidR="00F562F4" w:rsidRDefault="00F562F4" w:rsidP="00F562F4">
      <w:pPr>
        <w:widowControl w:val="0"/>
        <w:autoSpaceDE w:val="0"/>
        <w:autoSpaceDN w:val="0"/>
        <w:adjustRightInd w:val="0"/>
        <w:spacing w:after="0" w:line="240" w:lineRule="auto"/>
        <w:rPr>
          <w:rFonts w:ascii="Times New Roman" w:hAnsi="Times New Roman" w:cs="Times New Roman"/>
          <w:noProof/>
          <w:szCs w:val="24"/>
        </w:rPr>
      </w:pPr>
      <w:r w:rsidRPr="00F562F4">
        <w:rPr>
          <w:rFonts w:ascii="Times New Roman" w:hAnsi="Times New Roman" w:cs="Times New Roman"/>
          <w:noProof/>
          <w:szCs w:val="24"/>
        </w:rPr>
        <w:t xml:space="preserve">SILVA, T. D. B. da; SOUZA, F. I. S. de; SARNI, R. O. S. Concentrações de vitamina D em crianças e adolescentes com encefalopatia crônica não evolutiva, relação com a condição nutricional. </w:t>
      </w:r>
      <w:r w:rsidRPr="00F562F4">
        <w:rPr>
          <w:rFonts w:ascii="Times New Roman" w:hAnsi="Times New Roman" w:cs="Times New Roman"/>
          <w:b/>
          <w:bCs/>
          <w:noProof/>
          <w:szCs w:val="24"/>
        </w:rPr>
        <w:t>BRASPEN J</w:t>
      </w:r>
      <w:r w:rsidRPr="00F562F4">
        <w:rPr>
          <w:rFonts w:ascii="Times New Roman" w:hAnsi="Times New Roman" w:cs="Times New Roman"/>
          <w:noProof/>
          <w:szCs w:val="24"/>
        </w:rPr>
        <w:t>, v. 33, n. 1, p. 3–8, 2018.</w:t>
      </w:r>
    </w:p>
    <w:p w14:paraId="5FCC593F" w14:textId="77777777" w:rsidR="00F562F4" w:rsidRPr="00F562F4" w:rsidRDefault="00F562F4" w:rsidP="00F562F4">
      <w:pPr>
        <w:widowControl w:val="0"/>
        <w:autoSpaceDE w:val="0"/>
        <w:autoSpaceDN w:val="0"/>
        <w:adjustRightInd w:val="0"/>
        <w:spacing w:after="0" w:line="240" w:lineRule="auto"/>
        <w:rPr>
          <w:rFonts w:ascii="Times New Roman" w:hAnsi="Times New Roman" w:cs="Times New Roman"/>
          <w:noProof/>
          <w:szCs w:val="24"/>
        </w:rPr>
      </w:pPr>
    </w:p>
    <w:p w14:paraId="50322E7F" w14:textId="4B99C862" w:rsidR="00F562F4" w:rsidRDefault="00F562F4" w:rsidP="00F562F4">
      <w:pPr>
        <w:widowControl w:val="0"/>
        <w:autoSpaceDE w:val="0"/>
        <w:autoSpaceDN w:val="0"/>
        <w:adjustRightInd w:val="0"/>
        <w:spacing w:after="0" w:line="240" w:lineRule="auto"/>
        <w:rPr>
          <w:rFonts w:ascii="Times New Roman" w:hAnsi="Times New Roman" w:cs="Times New Roman"/>
          <w:noProof/>
          <w:szCs w:val="24"/>
        </w:rPr>
      </w:pPr>
      <w:r w:rsidRPr="00F562F4">
        <w:rPr>
          <w:rFonts w:ascii="Times New Roman" w:hAnsi="Times New Roman" w:cs="Times New Roman"/>
          <w:noProof/>
          <w:szCs w:val="24"/>
        </w:rPr>
        <w:t xml:space="preserve">TOOPCHIZADEH, V. et al. Prevalence of vitamin D deficiency and associated risk factors in Cerebral palsy, a study in north-west of Iran. </w:t>
      </w:r>
      <w:r w:rsidRPr="00F562F4">
        <w:rPr>
          <w:rFonts w:ascii="Times New Roman" w:hAnsi="Times New Roman" w:cs="Times New Roman"/>
          <w:b/>
          <w:bCs/>
          <w:noProof/>
          <w:szCs w:val="24"/>
        </w:rPr>
        <w:t>Iranian Journal of Child Neurology</w:t>
      </w:r>
      <w:r w:rsidRPr="00F562F4">
        <w:rPr>
          <w:rFonts w:ascii="Times New Roman" w:hAnsi="Times New Roman" w:cs="Times New Roman"/>
          <w:noProof/>
          <w:szCs w:val="24"/>
        </w:rPr>
        <w:t>, v. 12, n. 2, p. 25–32, 2018.</w:t>
      </w:r>
    </w:p>
    <w:p w14:paraId="65A9479E" w14:textId="77777777" w:rsidR="00F562F4" w:rsidRPr="00F562F4" w:rsidRDefault="00F562F4" w:rsidP="00F562F4">
      <w:pPr>
        <w:widowControl w:val="0"/>
        <w:autoSpaceDE w:val="0"/>
        <w:autoSpaceDN w:val="0"/>
        <w:adjustRightInd w:val="0"/>
        <w:spacing w:after="0" w:line="240" w:lineRule="auto"/>
        <w:rPr>
          <w:rFonts w:ascii="Times New Roman" w:hAnsi="Times New Roman" w:cs="Times New Roman"/>
          <w:noProof/>
          <w:szCs w:val="24"/>
        </w:rPr>
      </w:pPr>
    </w:p>
    <w:p w14:paraId="302E9667" w14:textId="2A2D6772" w:rsidR="00F562F4" w:rsidRDefault="00F562F4" w:rsidP="00F562F4">
      <w:pPr>
        <w:widowControl w:val="0"/>
        <w:autoSpaceDE w:val="0"/>
        <w:autoSpaceDN w:val="0"/>
        <w:adjustRightInd w:val="0"/>
        <w:spacing w:after="0" w:line="240" w:lineRule="auto"/>
        <w:rPr>
          <w:rFonts w:ascii="Times New Roman" w:hAnsi="Times New Roman" w:cs="Times New Roman"/>
          <w:noProof/>
          <w:szCs w:val="24"/>
        </w:rPr>
      </w:pPr>
      <w:r w:rsidRPr="00F562F4">
        <w:rPr>
          <w:rFonts w:ascii="Times New Roman" w:hAnsi="Times New Roman" w:cs="Times New Roman"/>
          <w:noProof/>
          <w:szCs w:val="24"/>
        </w:rPr>
        <w:t xml:space="preserve">TOSUN, A. et al. Bone mineral density and vitamin D status in children with epilepsy, cerebral palsy, and cerebral palsy with epilepsy. </w:t>
      </w:r>
      <w:r w:rsidRPr="00F562F4">
        <w:rPr>
          <w:rFonts w:ascii="Times New Roman" w:hAnsi="Times New Roman" w:cs="Times New Roman"/>
          <w:b/>
          <w:bCs/>
          <w:noProof/>
          <w:szCs w:val="24"/>
        </w:rPr>
        <w:t>Child’s Nervous System</w:t>
      </w:r>
      <w:r w:rsidRPr="00F562F4">
        <w:rPr>
          <w:rFonts w:ascii="Times New Roman" w:hAnsi="Times New Roman" w:cs="Times New Roman"/>
          <w:noProof/>
          <w:szCs w:val="24"/>
        </w:rPr>
        <w:t>, v. 33, n. 1, p. 153–158, 2017.</w:t>
      </w:r>
    </w:p>
    <w:p w14:paraId="2AE63B3C" w14:textId="77777777" w:rsidR="00F562F4" w:rsidRPr="00F562F4" w:rsidRDefault="00F562F4" w:rsidP="00F562F4">
      <w:pPr>
        <w:widowControl w:val="0"/>
        <w:autoSpaceDE w:val="0"/>
        <w:autoSpaceDN w:val="0"/>
        <w:adjustRightInd w:val="0"/>
        <w:spacing w:after="0" w:line="240" w:lineRule="auto"/>
        <w:rPr>
          <w:rFonts w:ascii="Times New Roman" w:hAnsi="Times New Roman" w:cs="Times New Roman"/>
          <w:noProof/>
          <w:szCs w:val="24"/>
        </w:rPr>
      </w:pPr>
    </w:p>
    <w:p w14:paraId="064CC636" w14:textId="77777777" w:rsidR="00F562F4" w:rsidRPr="00F562F4" w:rsidRDefault="00F562F4" w:rsidP="00F562F4">
      <w:pPr>
        <w:widowControl w:val="0"/>
        <w:autoSpaceDE w:val="0"/>
        <w:autoSpaceDN w:val="0"/>
        <w:adjustRightInd w:val="0"/>
        <w:spacing w:after="0" w:line="240" w:lineRule="auto"/>
        <w:rPr>
          <w:rFonts w:ascii="Times New Roman" w:hAnsi="Times New Roman" w:cs="Times New Roman"/>
          <w:noProof/>
        </w:rPr>
      </w:pPr>
      <w:r w:rsidRPr="00F562F4">
        <w:rPr>
          <w:rFonts w:ascii="Times New Roman" w:hAnsi="Times New Roman" w:cs="Times New Roman"/>
          <w:noProof/>
          <w:szCs w:val="24"/>
        </w:rPr>
        <w:t xml:space="preserve">ZARAGOZA, C. Á. et al. Bone mineral density and biochemical and hormonal indicators in children with quadriplegic cerebral palsy. </w:t>
      </w:r>
      <w:r w:rsidRPr="00F562F4">
        <w:rPr>
          <w:rFonts w:ascii="Times New Roman" w:hAnsi="Times New Roman" w:cs="Times New Roman"/>
          <w:b/>
          <w:bCs/>
          <w:noProof/>
          <w:szCs w:val="24"/>
        </w:rPr>
        <w:t>Nutrición Hospitalaria</w:t>
      </w:r>
      <w:r w:rsidRPr="00F562F4">
        <w:rPr>
          <w:rFonts w:ascii="Times New Roman" w:hAnsi="Times New Roman" w:cs="Times New Roman"/>
          <w:noProof/>
          <w:szCs w:val="24"/>
        </w:rPr>
        <w:t>, v. 36, n. 3, p. 517–525, 2019.</w:t>
      </w:r>
    </w:p>
    <w:p w14:paraId="5F8A9872" w14:textId="745A62CC" w:rsidR="00FB0D88" w:rsidRPr="00E7394C" w:rsidRDefault="0025627D" w:rsidP="00F448AC">
      <w:pPr>
        <w:spacing w:after="0" w:line="240" w:lineRule="auto"/>
      </w:pPr>
      <w:r w:rsidRPr="0025627D">
        <w:rPr>
          <w:rFonts w:ascii="Times New Roman" w:hAnsi="Times New Roman" w:cs="Times New Roman"/>
        </w:rPr>
        <w:fldChar w:fldCharType="end"/>
      </w:r>
    </w:p>
    <w:sectPr w:rsidR="00FB0D88" w:rsidRPr="00E7394C" w:rsidSect="00471106">
      <w:headerReference w:type="default" r:id="rId8"/>
      <w:footerReference w:type="default" r:id="rId9"/>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FB688F" w14:textId="77777777" w:rsidR="00560036" w:rsidRDefault="00560036" w:rsidP="00FA6FD1">
      <w:pPr>
        <w:spacing w:after="0" w:line="240" w:lineRule="auto"/>
      </w:pPr>
      <w:r>
        <w:separator/>
      </w:r>
    </w:p>
  </w:endnote>
  <w:endnote w:type="continuationSeparator" w:id="0">
    <w:p w14:paraId="6BD9C41A" w14:textId="77777777" w:rsidR="00560036" w:rsidRDefault="00560036" w:rsidP="00FA6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Eurostile LT Std">
    <w:altName w:val="Agency FB"/>
    <w:panose1 w:val="00000000000000000000"/>
    <w:charset w:val="00"/>
    <w:family w:val="swiss"/>
    <w:notTrueType/>
    <w:pitch w:val="variable"/>
    <w:sig w:usb0="800000AF" w:usb1="4000204A"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0193077"/>
      <w:docPartObj>
        <w:docPartGallery w:val="Page Numbers (Bottom of Page)"/>
        <w:docPartUnique/>
      </w:docPartObj>
    </w:sdtPr>
    <w:sdtEndPr/>
    <w:sdtContent>
      <w:p w14:paraId="75789E57" w14:textId="7837CDA3" w:rsidR="00EF1307" w:rsidRDefault="00EF1307">
        <w:pPr>
          <w:pStyle w:val="Rodap"/>
          <w:jc w:val="right"/>
        </w:pPr>
        <w:r>
          <w:fldChar w:fldCharType="begin"/>
        </w:r>
        <w:r>
          <w:instrText>PAGE   \* MERGEFORMAT</w:instrText>
        </w:r>
        <w:r>
          <w:fldChar w:fldCharType="separate"/>
        </w:r>
        <w:r w:rsidR="00317647">
          <w:rPr>
            <w:noProof/>
          </w:rPr>
          <w:t>3</w:t>
        </w:r>
        <w:r>
          <w:fldChar w:fldCharType="end"/>
        </w:r>
      </w:p>
    </w:sdtContent>
  </w:sdt>
  <w:p w14:paraId="575A3C52" w14:textId="77777777" w:rsidR="00EF1307" w:rsidRDefault="00EF130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3EDB02" w14:textId="77777777" w:rsidR="00560036" w:rsidRDefault="00560036" w:rsidP="00FA6FD1">
      <w:pPr>
        <w:spacing w:after="0" w:line="240" w:lineRule="auto"/>
      </w:pPr>
      <w:r>
        <w:separator/>
      </w:r>
    </w:p>
  </w:footnote>
  <w:footnote w:type="continuationSeparator" w:id="0">
    <w:p w14:paraId="0BD33B8D" w14:textId="77777777" w:rsidR="00560036" w:rsidRDefault="00560036" w:rsidP="00FA6F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67DD6" w14:textId="275B92B6" w:rsidR="004B24FE" w:rsidRDefault="004B24FE" w:rsidP="005207CC">
    <w:pPr>
      <w:spacing w:after="0"/>
      <w:rPr>
        <w:rFonts w:ascii="Eurostile LT Std" w:hAnsi="Eurostile LT Std"/>
      </w:rPr>
    </w:pPr>
    <w:r w:rsidRPr="00376363">
      <w:rPr>
        <w:rFonts w:ascii="Eurostile LT Std" w:hAnsi="Eurostile LT Std"/>
        <w:noProof/>
      </w:rPr>
      <w:drawing>
        <wp:anchor distT="0" distB="0" distL="114300" distR="114300" simplePos="0" relativeHeight="251666432" behindDoc="0" locked="0" layoutInCell="1" allowOverlap="1" wp14:anchorId="15E1FDD0" wp14:editId="77A5C84C">
          <wp:simplePos x="0" y="0"/>
          <wp:positionH relativeFrom="column">
            <wp:posOffset>3782060</wp:posOffset>
          </wp:positionH>
          <wp:positionV relativeFrom="paragraph">
            <wp:posOffset>125095</wp:posOffset>
          </wp:positionV>
          <wp:extent cx="1806575" cy="525145"/>
          <wp:effectExtent l="0" t="0" r="3175" b="8255"/>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innut.jpg"/>
                  <pic:cNvPicPr/>
                </pic:nvPicPr>
                <pic:blipFill rotWithShape="1">
                  <a:blip r:embed="rId1" cstate="print">
                    <a:extLst>
                      <a:ext uri="{28A0092B-C50C-407E-A947-70E740481C1C}">
                        <a14:useLocalDpi xmlns:a14="http://schemas.microsoft.com/office/drawing/2010/main" val="0"/>
                      </a:ext>
                    </a:extLst>
                  </a:blip>
                  <a:srcRect t="23091" b="47786"/>
                  <a:stretch/>
                </pic:blipFill>
                <pic:spPr bwMode="auto">
                  <a:xfrm>
                    <a:off x="0" y="0"/>
                    <a:ext cx="1806575" cy="525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Eurostile LT Std" w:hAnsi="Eurostile LT Std"/>
        <w:noProof/>
      </w:rPr>
      <mc:AlternateContent>
        <mc:Choice Requires="wps">
          <w:drawing>
            <wp:anchor distT="0" distB="0" distL="114300" distR="114300" simplePos="0" relativeHeight="251667456" behindDoc="0" locked="0" layoutInCell="1" allowOverlap="1" wp14:anchorId="41164FB8" wp14:editId="6E3A1DF5">
              <wp:simplePos x="0" y="0"/>
              <wp:positionH relativeFrom="margin">
                <wp:posOffset>-470535</wp:posOffset>
              </wp:positionH>
              <wp:positionV relativeFrom="paragraph">
                <wp:posOffset>3810</wp:posOffset>
              </wp:positionV>
              <wp:extent cx="6286500" cy="809625"/>
              <wp:effectExtent l="0" t="0" r="19050" b="28575"/>
              <wp:wrapNone/>
              <wp:docPr id="3" name="Retângulo: Biselado 3"/>
              <wp:cNvGraphicFramePr/>
              <a:graphic xmlns:a="http://schemas.openxmlformats.org/drawingml/2006/main">
                <a:graphicData uri="http://schemas.microsoft.com/office/word/2010/wordprocessingShape">
                  <wps:wsp>
                    <wps:cNvSpPr/>
                    <wps:spPr>
                      <a:xfrm>
                        <a:off x="0" y="0"/>
                        <a:ext cx="6286500" cy="809625"/>
                      </a:xfrm>
                      <a:prstGeom prst="bevel">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2448D3"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Retângulo: Biselado 3" o:spid="_x0000_s1026" type="#_x0000_t84" style="position:absolute;margin-left:-37.05pt;margin-top:.3pt;width:495pt;height:63.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YwwdwIAACkFAAAOAAAAZHJzL2Uyb0RvYy54bWysVM1OGzEQvlfqO1i+l90ESGHFBqUgqkoI&#10;IqDi7HjtxKrtcW0nm/Rx+ip9sY69m4XSnKpevDOe+eZvv/HF5dZoshE+KLA1HR2VlAjLoVF2WdOv&#10;TzcfzigJkdmGabCipjsR6OX0/buL1lViDCvQjfAEg9hQta6mqxhdVRSBr4Rh4QicsGiU4A2LqPpl&#10;0XjWYnSji3FZTooWfOM8cBEC3l53RjrN8aUUPN5LGUQkuqZYW8ynz+cincX0glVLz9xK8b4M9g9V&#10;GKYsJh1CXbPIyNqrv0IZxT0EkPGIgylASsVF7gG7GZVvunlcMSdyLzic4IYxhf8Xlt9t5p6opqbH&#10;lFhm8Bc9iPjrp12uNVTkkwpCswbIcZpU60KFgEc3970WUExtb6U36YsNkW2e7m6YrthGwvFyMj6b&#10;nJb4Ezjazsrzyfg0BS1e0M6H+FmAIUmo6UJshM5TZZvbEDvfvU/KZuFGaZ3uU2VdLVmKOy2Sg7YP&#10;QmJ3mH2cA2VeiSvtyYYhIxjnwsZJX0b2TjCJUQfg6BBQx1EP6n0TTGS+DcDyEPDPjAMiZwUbB7BR&#10;FvyhAM23IXPnv+++6zm1v4Bmhz/VQ8f24PiNwoHeshDnzCO98R/gysZ7PKSGtqbQS5SswP84dJ/8&#10;kXVopaTFdalp+L5mXlCiv1jk4/no5CTtV1ZOTj+OUfGvLYvXFrs2V4DzH+Hj4HgWk3/Ue1F6MM+4&#10;2bOUFU3McsxdUx79XrmK3Rrj28DFbJbdcKcci7f20fEUPE018eVp+8y861kVkY93sF8tVr3hVueb&#10;kBZm6whSZeK9zLWfN+5j5m7/dqSFf61nr5cXbvobAAD//wMAUEsDBBQABgAIAAAAIQBiXS213QAA&#10;AAgBAAAPAAAAZHJzL2Rvd25yZXYueG1sTI9BT4NAEIXvJv6HzZh4a3dBW1vK0qiJ3tTY2vsCUyCy&#10;s4RdCvx7x5MeJ+/Le9+k+8m24oK9bxxpiJYKBFLhyoYqDV/Hl8UGhA+GStM6Qg0zethn11epSUo3&#10;0ideDqESXEI+MRrqELpESl/UaI1fug6Js7PrrQl89pUsezNyuW1lrNRaWtMQL9Smw+cai+/DYDXk&#10;9Dp+qLvhOKvTan6X3dvTKQ5a395MjzsQAafwB8OvPqtDxk65G6j0otWweLiPGNWwBsHxNlptQeTM&#10;xZsIZJbK/w9kPwAAAP//AwBQSwECLQAUAAYACAAAACEAtoM4kv4AAADhAQAAEwAAAAAAAAAAAAAA&#10;AAAAAAAAW0NvbnRlbnRfVHlwZXNdLnhtbFBLAQItABQABgAIAAAAIQA4/SH/1gAAAJQBAAALAAAA&#10;AAAAAAAAAAAAAC8BAABfcmVscy8ucmVsc1BLAQItABQABgAIAAAAIQD3hYwwdwIAACkFAAAOAAAA&#10;AAAAAAAAAAAAAC4CAABkcnMvZTJvRG9jLnhtbFBLAQItABQABgAIAAAAIQBiXS213QAAAAgBAAAP&#10;AAAAAAAAAAAAAAAAANEEAABkcnMvZG93bnJldi54bWxQSwUGAAAAAAQABADzAAAA2wUAAAAA&#10;" filled="f" strokecolor="#f79646 [3209]" strokeweight="2pt">
              <w10:wrap anchorx="margin"/>
            </v:shape>
          </w:pict>
        </mc:Fallback>
      </mc:AlternateContent>
    </w:r>
  </w:p>
  <w:p w14:paraId="403BBDF3" w14:textId="15A66C53" w:rsidR="0018494D" w:rsidRPr="004B24FE" w:rsidRDefault="0018494D" w:rsidP="005207CC">
    <w:pPr>
      <w:spacing w:after="0"/>
      <w:rPr>
        <w:rFonts w:ascii="Arial Rounded MT Bold" w:hAnsi="Arial Rounded MT Bold"/>
      </w:rPr>
    </w:pPr>
    <w:r w:rsidRPr="004B24FE">
      <w:rPr>
        <w:rFonts w:ascii="Arial Rounded MT Bold" w:hAnsi="Arial Rounded MT Bold"/>
      </w:rPr>
      <w:t>II</w:t>
    </w:r>
    <w:r w:rsidR="0069251C" w:rsidRPr="004B24FE">
      <w:rPr>
        <w:rFonts w:ascii="Arial Rounded MT Bold" w:hAnsi="Arial Rounded MT Bold"/>
      </w:rPr>
      <w:t>I</w:t>
    </w:r>
    <w:r w:rsidRPr="004B24FE">
      <w:rPr>
        <w:rFonts w:ascii="Arial Rounded MT Bold" w:hAnsi="Arial Rounded MT Bold"/>
      </w:rPr>
      <w:t xml:space="preserve"> Congresso Internacional de Nutrição</w:t>
    </w:r>
  </w:p>
  <w:p w14:paraId="4EF2F91B" w14:textId="1442D228" w:rsidR="0018494D" w:rsidRPr="004B24FE" w:rsidRDefault="0069251C" w:rsidP="005207CC">
    <w:pPr>
      <w:pStyle w:val="Cabealho"/>
      <w:rPr>
        <w:rFonts w:ascii="Arial Rounded MT Bold" w:hAnsi="Arial Rounded MT Bold"/>
      </w:rPr>
    </w:pPr>
    <w:r w:rsidRPr="004B24FE">
      <w:rPr>
        <w:rFonts w:ascii="Arial Rounded MT Bold" w:hAnsi="Arial Rounded MT Bold"/>
      </w:rPr>
      <w:t>Online</w:t>
    </w:r>
  </w:p>
  <w:p w14:paraId="5A4B54E0" w14:textId="241AA541" w:rsidR="0018494D" w:rsidRDefault="0018494D" w:rsidP="0018494D">
    <w:pPr>
      <w:pStyle w:val="Cabealho"/>
      <w:rPr>
        <w:rFonts w:ascii="Eurostile LT Std" w:hAnsi="Eurostile LT Std"/>
      </w:rPr>
    </w:pPr>
  </w:p>
  <w:p w14:paraId="2D428276" w14:textId="77777777" w:rsidR="00EF1307" w:rsidRDefault="00EF1307" w:rsidP="0018494D">
    <w:pPr>
      <w:pStyle w:val="Cabealho"/>
      <w:rPr>
        <w:rFonts w:ascii="Eurostile LT Std" w:hAnsi="Eurostile LT St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37831"/>
    <w:multiLevelType w:val="multilevel"/>
    <w:tmpl w:val="00A4EAF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AB3BA5"/>
    <w:multiLevelType w:val="multilevel"/>
    <w:tmpl w:val="1C9A801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0C4B66"/>
    <w:multiLevelType w:val="multilevel"/>
    <w:tmpl w:val="732032C4"/>
    <w:lvl w:ilvl="0">
      <w:start w:val="1"/>
      <w:numFmt w:val="lowerLetter"/>
      <w:lvlText w:val="%1)"/>
      <w:lvlJc w:val="left"/>
      <w:pPr>
        <w:tabs>
          <w:tab w:val="num" w:pos="1068"/>
        </w:tabs>
        <w:ind w:left="1068" w:hanging="360"/>
      </w:pPr>
    </w:lvl>
    <w:lvl w:ilvl="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 w15:restartNumberingAfterBreak="0">
    <w:nsid w:val="076F673F"/>
    <w:multiLevelType w:val="hybridMultilevel"/>
    <w:tmpl w:val="5D08843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493B49"/>
    <w:multiLevelType w:val="multilevel"/>
    <w:tmpl w:val="57AA9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8F14F8"/>
    <w:multiLevelType w:val="multilevel"/>
    <w:tmpl w:val="00A4EA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AA29B1"/>
    <w:multiLevelType w:val="multilevel"/>
    <w:tmpl w:val="407C4A7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C841CB"/>
    <w:multiLevelType w:val="multilevel"/>
    <w:tmpl w:val="1C9A801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3B25DC"/>
    <w:multiLevelType w:val="multilevel"/>
    <w:tmpl w:val="407C4A7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917C05"/>
    <w:multiLevelType w:val="multilevel"/>
    <w:tmpl w:val="509E4FF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286D8D"/>
    <w:multiLevelType w:val="hybridMultilevel"/>
    <w:tmpl w:val="A9FA4C7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8813C02"/>
    <w:multiLevelType w:val="multilevel"/>
    <w:tmpl w:val="732032C4"/>
    <w:lvl w:ilvl="0">
      <w:start w:val="1"/>
      <w:numFmt w:val="lowerLetter"/>
      <w:lvlText w:val="%1)"/>
      <w:lvlJc w:val="left"/>
      <w:pPr>
        <w:tabs>
          <w:tab w:val="num" w:pos="1068"/>
        </w:tabs>
        <w:ind w:left="1068" w:hanging="360"/>
      </w:pPr>
    </w:lvl>
    <w:lvl w:ilvl="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2" w15:restartNumberingAfterBreak="0">
    <w:nsid w:val="1A0866B1"/>
    <w:multiLevelType w:val="hybridMultilevel"/>
    <w:tmpl w:val="B4F805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B315C87"/>
    <w:multiLevelType w:val="hybridMultilevel"/>
    <w:tmpl w:val="E3C0E7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3121182"/>
    <w:multiLevelType w:val="hybridMultilevel"/>
    <w:tmpl w:val="A54CDB9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4C606ED"/>
    <w:multiLevelType w:val="hybridMultilevel"/>
    <w:tmpl w:val="E3C0E7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75B7E3A"/>
    <w:multiLevelType w:val="hybridMultilevel"/>
    <w:tmpl w:val="809075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B186D32"/>
    <w:multiLevelType w:val="hybridMultilevel"/>
    <w:tmpl w:val="21B6A9F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C06232B"/>
    <w:multiLevelType w:val="multilevel"/>
    <w:tmpl w:val="1C9A801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DD69F2"/>
    <w:multiLevelType w:val="multilevel"/>
    <w:tmpl w:val="509E4FF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C777DE"/>
    <w:multiLevelType w:val="hybridMultilevel"/>
    <w:tmpl w:val="21B6A9F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FF90111"/>
    <w:multiLevelType w:val="multilevel"/>
    <w:tmpl w:val="175EDE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1A061BC"/>
    <w:multiLevelType w:val="hybridMultilevel"/>
    <w:tmpl w:val="5A0AA1A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2FC6D99"/>
    <w:multiLevelType w:val="hybridMultilevel"/>
    <w:tmpl w:val="B0F095B8"/>
    <w:lvl w:ilvl="0" w:tplc="04160013">
      <w:start w:val="1"/>
      <w:numFmt w:val="upperRoman"/>
      <w:lvlText w:val="%1."/>
      <w:lvlJc w:val="righ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46265212"/>
    <w:multiLevelType w:val="multilevel"/>
    <w:tmpl w:val="1714B6DC"/>
    <w:lvl w:ilvl="0">
      <w:start w:val="1"/>
      <w:numFmt w:val="decimal"/>
      <w:lvlText w:val="%1."/>
      <w:lvlJc w:val="left"/>
      <w:pPr>
        <w:tabs>
          <w:tab w:val="num" w:pos="1068"/>
        </w:tabs>
        <w:ind w:left="1068" w:hanging="360"/>
      </w:pPr>
      <w:rPr>
        <w:b/>
      </w:rPr>
    </w:lvl>
    <w:lvl w:ilvl="1">
      <w:start w:val="1"/>
      <w:numFmt w:val="decimal"/>
      <w:lvlText w:val="%2."/>
      <w:lvlJc w:val="left"/>
      <w:pPr>
        <w:tabs>
          <w:tab w:val="num" w:pos="1788"/>
        </w:tabs>
        <w:ind w:left="1788" w:hanging="360"/>
      </w:pPr>
    </w:lvl>
    <w:lvl w:ilvl="2">
      <w:start w:val="1"/>
      <w:numFmt w:val="lowerLetter"/>
      <w:lvlText w:val="%3)"/>
      <w:lvlJc w:val="left"/>
      <w:pPr>
        <w:ind w:left="2508" w:hanging="360"/>
      </w:pPr>
      <w:rPr>
        <w:rFonts w:hint="default"/>
      </w:r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25" w15:restartNumberingAfterBreak="0">
    <w:nsid w:val="4934078E"/>
    <w:multiLevelType w:val="multilevel"/>
    <w:tmpl w:val="509E4FF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BE96661"/>
    <w:multiLevelType w:val="multilevel"/>
    <w:tmpl w:val="1C9A801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C86925"/>
    <w:multiLevelType w:val="hybridMultilevel"/>
    <w:tmpl w:val="E19A726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2960442"/>
    <w:multiLevelType w:val="multilevel"/>
    <w:tmpl w:val="1C9A801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AB3723"/>
    <w:multiLevelType w:val="hybridMultilevel"/>
    <w:tmpl w:val="E528BA1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7C273F5"/>
    <w:multiLevelType w:val="hybridMultilevel"/>
    <w:tmpl w:val="A97691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5C50701"/>
    <w:multiLevelType w:val="multilevel"/>
    <w:tmpl w:val="C17C2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D21E43"/>
    <w:multiLevelType w:val="multilevel"/>
    <w:tmpl w:val="509E4FF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4471FF2"/>
    <w:multiLevelType w:val="multilevel"/>
    <w:tmpl w:val="1C9A801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013C8C"/>
    <w:multiLevelType w:val="hybridMultilevel"/>
    <w:tmpl w:val="062AC32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9"/>
  </w:num>
  <w:num w:numId="2">
    <w:abstractNumId w:val="12"/>
  </w:num>
  <w:num w:numId="3">
    <w:abstractNumId w:val="27"/>
  </w:num>
  <w:num w:numId="4">
    <w:abstractNumId w:val="22"/>
  </w:num>
  <w:num w:numId="5">
    <w:abstractNumId w:val="3"/>
  </w:num>
  <w:num w:numId="6">
    <w:abstractNumId w:val="10"/>
  </w:num>
  <w:num w:numId="7">
    <w:abstractNumId w:val="23"/>
  </w:num>
  <w:num w:numId="8">
    <w:abstractNumId w:val="20"/>
  </w:num>
  <w:num w:numId="9">
    <w:abstractNumId w:val="17"/>
  </w:num>
  <w:num w:numId="10">
    <w:abstractNumId w:val="31"/>
  </w:num>
  <w:num w:numId="11">
    <w:abstractNumId w:val="4"/>
  </w:num>
  <w:num w:numId="12">
    <w:abstractNumId w:val="28"/>
  </w:num>
  <w:num w:numId="13">
    <w:abstractNumId w:val="6"/>
  </w:num>
  <w:num w:numId="14">
    <w:abstractNumId w:val="8"/>
  </w:num>
  <w:num w:numId="15">
    <w:abstractNumId w:val="18"/>
  </w:num>
  <w:num w:numId="16">
    <w:abstractNumId w:val="33"/>
  </w:num>
  <w:num w:numId="17">
    <w:abstractNumId w:val="7"/>
  </w:num>
  <w:num w:numId="18">
    <w:abstractNumId w:val="26"/>
  </w:num>
  <w:num w:numId="19">
    <w:abstractNumId w:val="16"/>
  </w:num>
  <w:num w:numId="20">
    <w:abstractNumId w:val="14"/>
  </w:num>
  <w:num w:numId="21">
    <w:abstractNumId w:val="13"/>
  </w:num>
  <w:num w:numId="22">
    <w:abstractNumId w:val="30"/>
  </w:num>
  <w:num w:numId="23">
    <w:abstractNumId w:val="24"/>
  </w:num>
  <w:num w:numId="24">
    <w:abstractNumId w:val="11"/>
  </w:num>
  <w:num w:numId="25">
    <w:abstractNumId w:val="34"/>
  </w:num>
  <w:num w:numId="26">
    <w:abstractNumId w:val="2"/>
  </w:num>
  <w:num w:numId="27">
    <w:abstractNumId w:val="32"/>
  </w:num>
  <w:num w:numId="28">
    <w:abstractNumId w:val="19"/>
  </w:num>
  <w:num w:numId="29">
    <w:abstractNumId w:val="1"/>
  </w:num>
  <w:num w:numId="30">
    <w:abstractNumId w:val="15"/>
  </w:num>
  <w:num w:numId="31">
    <w:abstractNumId w:val="9"/>
  </w:num>
  <w:num w:numId="32">
    <w:abstractNumId w:val="25"/>
  </w:num>
  <w:num w:numId="33">
    <w:abstractNumId w:val="21"/>
  </w:num>
  <w:num w:numId="34">
    <w:abstractNumId w:val="5"/>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FD1"/>
    <w:rsid w:val="000026AD"/>
    <w:rsid w:val="00006E82"/>
    <w:rsid w:val="00017E47"/>
    <w:rsid w:val="00034B03"/>
    <w:rsid w:val="00035A1C"/>
    <w:rsid w:val="00040523"/>
    <w:rsid w:val="000406C5"/>
    <w:rsid w:val="000657C9"/>
    <w:rsid w:val="0006694D"/>
    <w:rsid w:val="00066F43"/>
    <w:rsid w:val="00077B4E"/>
    <w:rsid w:val="00083835"/>
    <w:rsid w:val="000938C3"/>
    <w:rsid w:val="00095D76"/>
    <w:rsid w:val="000A7C98"/>
    <w:rsid w:val="000B3B53"/>
    <w:rsid w:val="000F06E3"/>
    <w:rsid w:val="000F0C19"/>
    <w:rsid w:val="000F3865"/>
    <w:rsid w:val="000F53D7"/>
    <w:rsid w:val="0010562E"/>
    <w:rsid w:val="00105C86"/>
    <w:rsid w:val="0012249E"/>
    <w:rsid w:val="001412B2"/>
    <w:rsid w:val="001521DC"/>
    <w:rsid w:val="00177504"/>
    <w:rsid w:val="00183512"/>
    <w:rsid w:val="00183E58"/>
    <w:rsid w:val="0018494D"/>
    <w:rsid w:val="001A2E8B"/>
    <w:rsid w:val="001B05DB"/>
    <w:rsid w:val="001D5155"/>
    <w:rsid w:val="001F67D6"/>
    <w:rsid w:val="00200383"/>
    <w:rsid w:val="00213C15"/>
    <w:rsid w:val="002355E7"/>
    <w:rsid w:val="00244766"/>
    <w:rsid w:val="00245A18"/>
    <w:rsid w:val="00250BC3"/>
    <w:rsid w:val="0025627D"/>
    <w:rsid w:val="00265702"/>
    <w:rsid w:val="00271837"/>
    <w:rsid w:val="00283472"/>
    <w:rsid w:val="00291424"/>
    <w:rsid w:val="002B1E03"/>
    <w:rsid w:val="002C7801"/>
    <w:rsid w:val="002D0CC6"/>
    <w:rsid w:val="002E51AC"/>
    <w:rsid w:val="002F44A9"/>
    <w:rsid w:val="002F599A"/>
    <w:rsid w:val="00310F1C"/>
    <w:rsid w:val="00314F6F"/>
    <w:rsid w:val="00317647"/>
    <w:rsid w:val="00317A62"/>
    <w:rsid w:val="00320AEE"/>
    <w:rsid w:val="00323644"/>
    <w:rsid w:val="00331278"/>
    <w:rsid w:val="003333B4"/>
    <w:rsid w:val="003342DD"/>
    <w:rsid w:val="003479CC"/>
    <w:rsid w:val="00373FCA"/>
    <w:rsid w:val="00375EFA"/>
    <w:rsid w:val="0038249B"/>
    <w:rsid w:val="00383E90"/>
    <w:rsid w:val="003B3E05"/>
    <w:rsid w:val="003B4487"/>
    <w:rsid w:val="003B72D0"/>
    <w:rsid w:val="003C4164"/>
    <w:rsid w:val="003C5DBA"/>
    <w:rsid w:val="003C6130"/>
    <w:rsid w:val="003E6CD3"/>
    <w:rsid w:val="003F677D"/>
    <w:rsid w:val="00405A38"/>
    <w:rsid w:val="004179F6"/>
    <w:rsid w:val="00424194"/>
    <w:rsid w:val="00434009"/>
    <w:rsid w:val="00434318"/>
    <w:rsid w:val="004538A4"/>
    <w:rsid w:val="0046365C"/>
    <w:rsid w:val="00464E3A"/>
    <w:rsid w:val="00471106"/>
    <w:rsid w:val="004713DE"/>
    <w:rsid w:val="00475061"/>
    <w:rsid w:val="0048304E"/>
    <w:rsid w:val="004A351B"/>
    <w:rsid w:val="004A7BEB"/>
    <w:rsid w:val="004B1AFF"/>
    <w:rsid w:val="004B24FE"/>
    <w:rsid w:val="004C4BCB"/>
    <w:rsid w:val="004D28A3"/>
    <w:rsid w:val="004D4E95"/>
    <w:rsid w:val="004E1AC9"/>
    <w:rsid w:val="004E3C1F"/>
    <w:rsid w:val="00503CEA"/>
    <w:rsid w:val="005052F9"/>
    <w:rsid w:val="005117B3"/>
    <w:rsid w:val="005207CC"/>
    <w:rsid w:val="005238AC"/>
    <w:rsid w:val="00527298"/>
    <w:rsid w:val="00550C73"/>
    <w:rsid w:val="005541CA"/>
    <w:rsid w:val="00560036"/>
    <w:rsid w:val="00566C12"/>
    <w:rsid w:val="00572A77"/>
    <w:rsid w:val="0058713B"/>
    <w:rsid w:val="00591443"/>
    <w:rsid w:val="005B2180"/>
    <w:rsid w:val="005B30D2"/>
    <w:rsid w:val="005B4161"/>
    <w:rsid w:val="005B7675"/>
    <w:rsid w:val="005D2922"/>
    <w:rsid w:val="005E7BBB"/>
    <w:rsid w:val="005F1769"/>
    <w:rsid w:val="005F2DFF"/>
    <w:rsid w:val="005F2FF8"/>
    <w:rsid w:val="00606806"/>
    <w:rsid w:val="006072B3"/>
    <w:rsid w:val="006072F0"/>
    <w:rsid w:val="006131D6"/>
    <w:rsid w:val="00615E79"/>
    <w:rsid w:val="00617B4F"/>
    <w:rsid w:val="00617DCB"/>
    <w:rsid w:val="00625F2F"/>
    <w:rsid w:val="00644032"/>
    <w:rsid w:val="00647D82"/>
    <w:rsid w:val="00667FE5"/>
    <w:rsid w:val="00674173"/>
    <w:rsid w:val="00685CEF"/>
    <w:rsid w:val="0069251C"/>
    <w:rsid w:val="006A78BF"/>
    <w:rsid w:val="006C06E1"/>
    <w:rsid w:val="006D0FEF"/>
    <w:rsid w:val="006D47E4"/>
    <w:rsid w:val="006E4A01"/>
    <w:rsid w:val="007063B9"/>
    <w:rsid w:val="00725C05"/>
    <w:rsid w:val="0074074C"/>
    <w:rsid w:val="00752BC9"/>
    <w:rsid w:val="00762035"/>
    <w:rsid w:val="007643CB"/>
    <w:rsid w:val="0076541E"/>
    <w:rsid w:val="007817F5"/>
    <w:rsid w:val="00792493"/>
    <w:rsid w:val="00795D65"/>
    <w:rsid w:val="007A4EAB"/>
    <w:rsid w:val="007A6C92"/>
    <w:rsid w:val="007B5E72"/>
    <w:rsid w:val="007B7FF6"/>
    <w:rsid w:val="007C3120"/>
    <w:rsid w:val="007E4D75"/>
    <w:rsid w:val="007F47EE"/>
    <w:rsid w:val="007F6D8C"/>
    <w:rsid w:val="008017F9"/>
    <w:rsid w:val="0080789C"/>
    <w:rsid w:val="00832C81"/>
    <w:rsid w:val="008514A6"/>
    <w:rsid w:val="00854D34"/>
    <w:rsid w:val="00867312"/>
    <w:rsid w:val="008C57FE"/>
    <w:rsid w:val="008C58E0"/>
    <w:rsid w:val="008C7E40"/>
    <w:rsid w:val="008D15A6"/>
    <w:rsid w:val="008D56FB"/>
    <w:rsid w:val="00901104"/>
    <w:rsid w:val="009101E3"/>
    <w:rsid w:val="00923C61"/>
    <w:rsid w:val="009243C4"/>
    <w:rsid w:val="00941B6B"/>
    <w:rsid w:val="009863FA"/>
    <w:rsid w:val="009A1343"/>
    <w:rsid w:val="009A15E6"/>
    <w:rsid w:val="009A1767"/>
    <w:rsid w:val="009C5751"/>
    <w:rsid w:val="009D6A07"/>
    <w:rsid w:val="009F33D4"/>
    <w:rsid w:val="009F432C"/>
    <w:rsid w:val="00A166E1"/>
    <w:rsid w:val="00A20D3E"/>
    <w:rsid w:val="00A3131C"/>
    <w:rsid w:val="00A34B5A"/>
    <w:rsid w:val="00A4609F"/>
    <w:rsid w:val="00A560BE"/>
    <w:rsid w:val="00A71464"/>
    <w:rsid w:val="00A76941"/>
    <w:rsid w:val="00AB1E3E"/>
    <w:rsid w:val="00AB51CF"/>
    <w:rsid w:val="00AC1399"/>
    <w:rsid w:val="00AC4FB9"/>
    <w:rsid w:val="00AD21F6"/>
    <w:rsid w:val="00AE1EDC"/>
    <w:rsid w:val="00AF2759"/>
    <w:rsid w:val="00B1310D"/>
    <w:rsid w:val="00B161BD"/>
    <w:rsid w:val="00B16A06"/>
    <w:rsid w:val="00B16B4A"/>
    <w:rsid w:val="00B21BF6"/>
    <w:rsid w:val="00B32686"/>
    <w:rsid w:val="00B36EF1"/>
    <w:rsid w:val="00B46D29"/>
    <w:rsid w:val="00B53B07"/>
    <w:rsid w:val="00B573EE"/>
    <w:rsid w:val="00B620C3"/>
    <w:rsid w:val="00B65993"/>
    <w:rsid w:val="00B83D9C"/>
    <w:rsid w:val="00B87393"/>
    <w:rsid w:val="00B97A27"/>
    <w:rsid w:val="00BB4C6F"/>
    <w:rsid w:val="00BC11C4"/>
    <w:rsid w:val="00BC7DBD"/>
    <w:rsid w:val="00BD182A"/>
    <w:rsid w:val="00BD7BA4"/>
    <w:rsid w:val="00BE1BD2"/>
    <w:rsid w:val="00BF48E1"/>
    <w:rsid w:val="00BF713A"/>
    <w:rsid w:val="00C12426"/>
    <w:rsid w:val="00C26213"/>
    <w:rsid w:val="00C2683D"/>
    <w:rsid w:val="00C32EC8"/>
    <w:rsid w:val="00C35C7A"/>
    <w:rsid w:val="00C36279"/>
    <w:rsid w:val="00C41485"/>
    <w:rsid w:val="00C504ED"/>
    <w:rsid w:val="00C608C0"/>
    <w:rsid w:val="00C61CAD"/>
    <w:rsid w:val="00C652E3"/>
    <w:rsid w:val="00C65AE8"/>
    <w:rsid w:val="00C6673E"/>
    <w:rsid w:val="00C82259"/>
    <w:rsid w:val="00C835CA"/>
    <w:rsid w:val="00C861D5"/>
    <w:rsid w:val="00C90014"/>
    <w:rsid w:val="00CC0FE0"/>
    <w:rsid w:val="00CD42BD"/>
    <w:rsid w:val="00CF1EB3"/>
    <w:rsid w:val="00CF49E2"/>
    <w:rsid w:val="00CF724E"/>
    <w:rsid w:val="00D05B52"/>
    <w:rsid w:val="00D12A33"/>
    <w:rsid w:val="00D161CE"/>
    <w:rsid w:val="00D307ED"/>
    <w:rsid w:val="00D40B01"/>
    <w:rsid w:val="00D423AE"/>
    <w:rsid w:val="00D55093"/>
    <w:rsid w:val="00D57F24"/>
    <w:rsid w:val="00D81533"/>
    <w:rsid w:val="00D83AAF"/>
    <w:rsid w:val="00D846DE"/>
    <w:rsid w:val="00DA0613"/>
    <w:rsid w:val="00DA114C"/>
    <w:rsid w:val="00DA26B6"/>
    <w:rsid w:val="00DB0C38"/>
    <w:rsid w:val="00DB0D28"/>
    <w:rsid w:val="00DB782C"/>
    <w:rsid w:val="00DC4EC3"/>
    <w:rsid w:val="00DC59F2"/>
    <w:rsid w:val="00DD0911"/>
    <w:rsid w:val="00DE0DD8"/>
    <w:rsid w:val="00DE48AC"/>
    <w:rsid w:val="00DF5421"/>
    <w:rsid w:val="00E030E1"/>
    <w:rsid w:val="00E050C5"/>
    <w:rsid w:val="00E12843"/>
    <w:rsid w:val="00E254AA"/>
    <w:rsid w:val="00E47392"/>
    <w:rsid w:val="00E521EC"/>
    <w:rsid w:val="00E52248"/>
    <w:rsid w:val="00E53E15"/>
    <w:rsid w:val="00E63FE2"/>
    <w:rsid w:val="00E65F86"/>
    <w:rsid w:val="00E7394C"/>
    <w:rsid w:val="00E73AEA"/>
    <w:rsid w:val="00E77233"/>
    <w:rsid w:val="00E919C3"/>
    <w:rsid w:val="00EB6FD2"/>
    <w:rsid w:val="00EC212B"/>
    <w:rsid w:val="00EC3929"/>
    <w:rsid w:val="00EC7F10"/>
    <w:rsid w:val="00ED465F"/>
    <w:rsid w:val="00ED519C"/>
    <w:rsid w:val="00EE2C12"/>
    <w:rsid w:val="00EE5CE5"/>
    <w:rsid w:val="00EF1307"/>
    <w:rsid w:val="00F03A19"/>
    <w:rsid w:val="00F128DE"/>
    <w:rsid w:val="00F21CDA"/>
    <w:rsid w:val="00F261D0"/>
    <w:rsid w:val="00F37FD4"/>
    <w:rsid w:val="00F448AC"/>
    <w:rsid w:val="00F46A44"/>
    <w:rsid w:val="00F4729C"/>
    <w:rsid w:val="00F562F4"/>
    <w:rsid w:val="00F659E1"/>
    <w:rsid w:val="00F7123A"/>
    <w:rsid w:val="00F919BE"/>
    <w:rsid w:val="00F92041"/>
    <w:rsid w:val="00FA4758"/>
    <w:rsid w:val="00FA6FD1"/>
    <w:rsid w:val="00FB0D88"/>
    <w:rsid w:val="00FB67B1"/>
    <w:rsid w:val="00FC0810"/>
    <w:rsid w:val="00FC12EB"/>
    <w:rsid w:val="00FC5721"/>
    <w:rsid w:val="00FD5923"/>
    <w:rsid w:val="00FD6AFC"/>
    <w:rsid w:val="00FE3149"/>
    <w:rsid w:val="00FE67B9"/>
    <w:rsid w:val="00FF02C3"/>
    <w:rsid w:val="00FF5F7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C3E34"/>
  <w15:docId w15:val="{066732C5-5C06-4B32-BA93-F69FFBAF6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har"/>
    <w:uiPriority w:val="9"/>
    <w:qFormat/>
    <w:rsid w:val="004538A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har"/>
    <w:uiPriority w:val="9"/>
    <w:semiHidden/>
    <w:unhideWhenUsed/>
    <w:qFormat/>
    <w:rsid w:val="00BF48E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6">
    <w:name w:val="heading 6"/>
    <w:basedOn w:val="Normal"/>
    <w:link w:val="Ttulo6Char"/>
    <w:uiPriority w:val="9"/>
    <w:qFormat/>
    <w:rsid w:val="004538A4"/>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FA6FD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A6FD1"/>
    <w:rPr>
      <w:rFonts w:ascii="Tahoma" w:hAnsi="Tahoma" w:cs="Tahoma"/>
      <w:sz w:val="16"/>
      <w:szCs w:val="16"/>
    </w:rPr>
  </w:style>
  <w:style w:type="paragraph" w:styleId="Cabealho">
    <w:name w:val="header"/>
    <w:basedOn w:val="Normal"/>
    <w:link w:val="CabealhoChar"/>
    <w:uiPriority w:val="99"/>
    <w:unhideWhenUsed/>
    <w:rsid w:val="00FA6FD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A6FD1"/>
  </w:style>
  <w:style w:type="paragraph" w:styleId="Rodap">
    <w:name w:val="footer"/>
    <w:basedOn w:val="Normal"/>
    <w:link w:val="RodapChar"/>
    <w:uiPriority w:val="99"/>
    <w:unhideWhenUsed/>
    <w:rsid w:val="00FA6FD1"/>
    <w:pPr>
      <w:tabs>
        <w:tab w:val="center" w:pos="4252"/>
        <w:tab w:val="right" w:pos="8504"/>
      </w:tabs>
      <w:spacing w:after="0" w:line="240" w:lineRule="auto"/>
    </w:pPr>
  </w:style>
  <w:style w:type="character" w:customStyle="1" w:styleId="RodapChar">
    <w:name w:val="Rodapé Char"/>
    <w:basedOn w:val="Fontepargpadro"/>
    <w:link w:val="Rodap"/>
    <w:uiPriority w:val="99"/>
    <w:rsid w:val="00FA6FD1"/>
  </w:style>
  <w:style w:type="paragraph" w:styleId="CitaoIntensa">
    <w:name w:val="Intense Quote"/>
    <w:basedOn w:val="Normal"/>
    <w:next w:val="Normal"/>
    <w:link w:val="CitaoIntensaChar"/>
    <w:uiPriority w:val="30"/>
    <w:qFormat/>
    <w:rsid w:val="0074074C"/>
    <w:pPr>
      <w:pBdr>
        <w:bottom w:val="single" w:sz="4" w:space="4" w:color="4F81BD" w:themeColor="accent1"/>
      </w:pBdr>
      <w:spacing w:before="200" w:after="280"/>
      <w:ind w:left="936" w:right="936"/>
    </w:pPr>
    <w:rPr>
      <w:b/>
      <w:bCs/>
      <w:i/>
      <w:iCs/>
      <w:color w:val="4F81BD" w:themeColor="accent1"/>
    </w:rPr>
  </w:style>
  <w:style w:type="character" w:customStyle="1" w:styleId="CitaoIntensaChar">
    <w:name w:val="Citação Intensa Char"/>
    <w:basedOn w:val="Fontepargpadro"/>
    <w:link w:val="CitaoIntensa"/>
    <w:uiPriority w:val="30"/>
    <w:rsid w:val="0074074C"/>
    <w:rPr>
      <w:b/>
      <w:bCs/>
      <w:i/>
      <w:iCs/>
      <w:color w:val="4F81BD" w:themeColor="accent1"/>
    </w:rPr>
  </w:style>
  <w:style w:type="character" w:styleId="TtulodoLivro">
    <w:name w:val="Book Title"/>
    <w:basedOn w:val="Fontepargpadro"/>
    <w:uiPriority w:val="33"/>
    <w:qFormat/>
    <w:rsid w:val="0074074C"/>
    <w:rPr>
      <w:b/>
      <w:bCs/>
      <w:smallCaps/>
      <w:spacing w:val="5"/>
    </w:rPr>
  </w:style>
  <w:style w:type="paragraph" w:styleId="PargrafodaLista">
    <w:name w:val="List Paragraph"/>
    <w:basedOn w:val="Normal"/>
    <w:uiPriority w:val="34"/>
    <w:qFormat/>
    <w:rsid w:val="00D81533"/>
    <w:pPr>
      <w:ind w:left="720"/>
      <w:contextualSpacing/>
    </w:pPr>
  </w:style>
  <w:style w:type="character" w:styleId="Hyperlink">
    <w:name w:val="Hyperlink"/>
    <w:basedOn w:val="Fontepargpadro"/>
    <w:uiPriority w:val="99"/>
    <w:unhideWhenUsed/>
    <w:rsid w:val="00625F2F"/>
    <w:rPr>
      <w:color w:val="0000FF" w:themeColor="hyperlink"/>
      <w:u w:val="single"/>
    </w:rPr>
  </w:style>
  <w:style w:type="table" w:styleId="Tabelacomgrade">
    <w:name w:val="Table Grid"/>
    <w:basedOn w:val="Tabelanormal"/>
    <w:uiPriority w:val="59"/>
    <w:rsid w:val="00DB0D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2Char">
    <w:name w:val="Título 2 Char"/>
    <w:basedOn w:val="Fontepargpadro"/>
    <w:link w:val="Ttulo2"/>
    <w:uiPriority w:val="9"/>
    <w:rsid w:val="004538A4"/>
    <w:rPr>
      <w:rFonts w:ascii="Times New Roman" w:eastAsia="Times New Roman" w:hAnsi="Times New Roman" w:cs="Times New Roman"/>
      <w:b/>
      <w:bCs/>
      <w:sz w:val="36"/>
      <w:szCs w:val="36"/>
    </w:rPr>
  </w:style>
  <w:style w:type="character" w:customStyle="1" w:styleId="Ttulo6Char">
    <w:name w:val="Título 6 Char"/>
    <w:basedOn w:val="Fontepargpadro"/>
    <w:link w:val="Ttulo6"/>
    <w:uiPriority w:val="9"/>
    <w:rsid w:val="004538A4"/>
    <w:rPr>
      <w:rFonts w:ascii="Times New Roman" w:eastAsia="Times New Roman" w:hAnsi="Times New Roman" w:cs="Times New Roman"/>
      <w:b/>
      <w:bCs/>
      <w:sz w:val="15"/>
      <w:szCs w:val="15"/>
    </w:rPr>
  </w:style>
  <w:style w:type="character" w:customStyle="1" w:styleId="color11">
    <w:name w:val="color_11"/>
    <w:basedOn w:val="Fontepargpadro"/>
    <w:rsid w:val="004538A4"/>
  </w:style>
  <w:style w:type="paragraph" w:styleId="Textodecomentrio">
    <w:name w:val="annotation text"/>
    <w:basedOn w:val="Normal"/>
    <w:link w:val="TextodecomentrioChar"/>
    <w:uiPriority w:val="99"/>
    <w:unhideWhenUsed/>
    <w:rsid w:val="00C65AE8"/>
    <w:pPr>
      <w:spacing w:line="240" w:lineRule="auto"/>
    </w:pPr>
    <w:rPr>
      <w:rFonts w:eastAsiaTheme="minorHAnsi"/>
      <w:sz w:val="20"/>
      <w:szCs w:val="20"/>
      <w:lang w:eastAsia="en-US"/>
    </w:rPr>
  </w:style>
  <w:style w:type="character" w:customStyle="1" w:styleId="TextodecomentrioChar">
    <w:name w:val="Texto de comentário Char"/>
    <w:basedOn w:val="Fontepargpadro"/>
    <w:link w:val="Textodecomentrio"/>
    <w:uiPriority w:val="99"/>
    <w:rsid w:val="00C65AE8"/>
    <w:rPr>
      <w:rFonts w:eastAsiaTheme="minorHAnsi"/>
      <w:sz w:val="20"/>
      <w:szCs w:val="20"/>
      <w:lang w:eastAsia="en-US"/>
    </w:rPr>
  </w:style>
  <w:style w:type="paragraph" w:customStyle="1" w:styleId="Els-NoIndent">
    <w:name w:val="Els-NoIndent"/>
    <w:basedOn w:val="Normal"/>
    <w:qFormat/>
    <w:rsid w:val="00AB1E3E"/>
    <w:pPr>
      <w:spacing w:after="0" w:line="230" w:lineRule="exact"/>
      <w:jc w:val="both"/>
    </w:pPr>
    <w:rPr>
      <w:rFonts w:ascii="Times New Roman" w:eastAsia="SimSun" w:hAnsi="Times New Roman" w:cs="Times New Roman"/>
      <w:sz w:val="16"/>
      <w:szCs w:val="20"/>
      <w:lang w:val="en-US" w:eastAsia="en-US"/>
    </w:rPr>
  </w:style>
  <w:style w:type="paragraph" w:customStyle="1" w:styleId="Els-body-text">
    <w:name w:val="Els-body-text"/>
    <w:rsid w:val="005F2FF8"/>
    <w:pPr>
      <w:spacing w:after="0" w:line="230" w:lineRule="exact"/>
      <w:ind w:firstLine="238"/>
      <w:jc w:val="both"/>
    </w:pPr>
    <w:rPr>
      <w:rFonts w:ascii="Times New Roman" w:eastAsia="SimSun" w:hAnsi="Times New Roman" w:cs="Times New Roman"/>
      <w:sz w:val="16"/>
      <w:szCs w:val="20"/>
      <w:lang w:val="en-US" w:eastAsia="en-US"/>
    </w:rPr>
  </w:style>
  <w:style w:type="paragraph" w:customStyle="1" w:styleId="Els-table-caption">
    <w:name w:val="Els-table-caption"/>
    <w:rsid w:val="005F2DFF"/>
    <w:pPr>
      <w:keepLines/>
      <w:spacing w:before="230" w:after="230" w:line="200" w:lineRule="exact"/>
    </w:pPr>
    <w:rPr>
      <w:rFonts w:ascii="Times New Roman" w:eastAsia="SimSun" w:hAnsi="Times New Roman" w:cs="Times New Roman"/>
      <w:b/>
      <w:sz w:val="16"/>
      <w:szCs w:val="20"/>
      <w:lang w:val="en-US" w:eastAsia="en-US"/>
    </w:rPr>
  </w:style>
  <w:style w:type="paragraph" w:customStyle="1" w:styleId="Els-table-text">
    <w:name w:val="Els-table-text"/>
    <w:rsid w:val="005F2DFF"/>
    <w:pPr>
      <w:spacing w:after="80" w:line="200" w:lineRule="exact"/>
    </w:pPr>
    <w:rPr>
      <w:rFonts w:ascii="Times New Roman" w:eastAsia="SimSun" w:hAnsi="Times New Roman" w:cs="Times New Roman"/>
      <w:sz w:val="14"/>
      <w:szCs w:val="20"/>
      <w:lang w:val="en-US" w:eastAsia="en-US"/>
    </w:rPr>
  </w:style>
  <w:style w:type="paragraph" w:customStyle="1" w:styleId="Els-table-col-head">
    <w:name w:val="Els-table-col-head"/>
    <w:basedOn w:val="Els-table-text"/>
    <w:qFormat/>
    <w:rsid w:val="005F2DFF"/>
    <w:rPr>
      <w:b/>
      <w:sz w:val="16"/>
    </w:rPr>
  </w:style>
  <w:style w:type="character" w:customStyle="1" w:styleId="MenoPendente1">
    <w:name w:val="Menção Pendente1"/>
    <w:basedOn w:val="Fontepargpadro"/>
    <w:uiPriority w:val="99"/>
    <w:semiHidden/>
    <w:unhideWhenUsed/>
    <w:rsid w:val="003B3E05"/>
    <w:rPr>
      <w:color w:val="605E5C"/>
      <w:shd w:val="clear" w:color="auto" w:fill="E1DFDD"/>
    </w:rPr>
  </w:style>
  <w:style w:type="paragraph" w:customStyle="1" w:styleId="Default">
    <w:name w:val="Default"/>
    <w:rsid w:val="00566C12"/>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Ttulo3Char">
    <w:name w:val="Título 3 Char"/>
    <w:basedOn w:val="Fontepargpadro"/>
    <w:link w:val="Ttulo3"/>
    <w:uiPriority w:val="9"/>
    <w:semiHidden/>
    <w:rsid w:val="00BF48E1"/>
    <w:rPr>
      <w:rFonts w:asciiTheme="majorHAnsi" w:eastAsiaTheme="majorEastAsia" w:hAnsiTheme="majorHAnsi" w:cstheme="majorBidi"/>
      <w:color w:val="243F60" w:themeColor="accent1" w:themeShade="7F"/>
      <w:sz w:val="24"/>
      <w:szCs w:val="24"/>
    </w:rPr>
  </w:style>
  <w:style w:type="character" w:styleId="Refdecomentrio">
    <w:name w:val="annotation reference"/>
    <w:basedOn w:val="Fontepargpadro"/>
    <w:uiPriority w:val="99"/>
    <w:semiHidden/>
    <w:unhideWhenUsed/>
    <w:rsid w:val="00310F1C"/>
    <w:rPr>
      <w:sz w:val="16"/>
      <w:szCs w:val="16"/>
    </w:rPr>
  </w:style>
  <w:style w:type="paragraph" w:styleId="Assuntodocomentrio">
    <w:name w:val="annotation subject"/>
    <w:basedOn w:val="Textodecomentrio"/>
    <w:next w:val="Textodecomentrio"/>
    <w:link w:val="AssuntodocomentrioChar"/>
    <w:uiPriority w:val="99"/>
    <w:semiHidden/>
    <w:unhideWhenUsed/>
    <w:rsid w:val="00310F1C"/>
    <w:rPr>
      <w:rFonts w:eastAsiaTheme="minorEastAsia"/>
      <w:b/>
      <w:bCs/>
      <w:lang w:eastAsia="pt-BR"/>
    </w:rPr>
  </w:style>
  <w:style w:type="character" w:customStyle="1" w:styleId="AssuntodocomentrioChar">
    <w:name w:val="Assunto do comentário Char"/>
    <w:basedOn w:val="TextodecomentrioChar"/>
    <w:link w:val="Assuntodocomentrio"/>
    <w:uiPriority w:val="99"/>
    <w:semiHidden/>
    <w:rsid w:val="00310F1C"/>
    <w:rPr>
      <w:rFonts w:eastAsiaTheme="minorHAnsi"/>
      <w:b/>
      <w:bCs/>
      <w:sz w:val="20"/>
      <w:szCs w:val="20"/>
      <w:lang w:eastAsia="en-US"/>
    </w:rPr>
  </w:style>
  <w:style w:type="paragraph" w:styleId="Reviso">
    <w:name w:val="Revision"/>
    <w:hidden/>
    <w:uiPriority w:val="99"/>
    <w:semiHidden/>
    <w:rsid w:val="00310F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0679052">
      <w:bodyDiv w:val="1"/>
      <w:marLeft w:val="0"/>
      <w:marRight w:val="0"/>
      <w:marTop w:val="0"/>
      <w:marBottom w:val="0"/>
      <w:divBdr>
        <w:top w:val="none" w:sz="0" w:space="0" w:color="auto"/>
        <w:left w:val="none" w:sz="0" w:space="0" w:color="auto"/>
        <w:bottom w:val="none" w:sz="0" w:space="0" w:color="auto"/>
        <w:right w:val="none" w:sz="0" w:space="0" w:color="auto"/>
      </w:divBdr>
    </w:div>
    <w:div w:id="625357086">
      <w:bodyDiv w:val="1"/>
      <w:marLeft w:val="0"/>
      <w:marRight w:val="0"/>
      <w:marTop w:val="0"/>
      <w:marBottom w:val="0"/>
      <w:divBdr>
        <w:top w:val="none" w:sz="0" w:space="0" w:color="auto"/>
        <w:left w:val="none" w:sz="0" w:space="0" w:color="auto"/>
        <w:bottom w:val="none" w:sz="0" w:space="0" w:color="auto"/>
        <w:right w:val="none" w:sz="0" w:space="0" w:color="auto"/>
      </w:divBdr>
    </w:div>
    <w:div w:id="702094230">
      <w:bodyDiv w:val="1"/>
      <w:marLeft w:val="0"/>
      <w:marRight w:val="0"/>
      <w:marTop w:val="0"/>
      <w:marBottom w:val="0"/>
      <w:divBdr>
        <w:top w:val="none" w:sz="0" w:space="0" w:color="auto"/>
        <w:left w:val="none" w:sz="0" w:space="0" w:color="auto"/>
        <w:bottom w:val="none" w:sz="0" w:space="0" w:color="auto"/>
        <w:right w:val="none" w:sz="0" w:space="0" w:color="auto"/>
      </w:divBdr>
    </w:div>
    <w:div w:id="1328091055">
      <w:bodyDiv w:val="1"/>
      <w:marLeft w:val="0"/>
      <w:marRight w:val="0"/>
      <w:marTop w:val="0"/>
      <w:marBottom w:val="0"/>
      <w:divBdr>
        <w:top w:val="none" w:sz="0" w:space="0" w:color="auto"/>
        <w:left w:val="none" w:sz="0" w:space="0" w:color="auto"/>
        <w:bottom w:val="none" w:sz="0" w:space="0" w:color="auto"/>
        <w:right w:val="none" w:sz="0" w:space="0" w:color="auto"/>
      </w:divBdr>
    </w:div>
    <w:div w:id="1722942259">
      <w:bodyDiv w:val="1"/>
      <w:marLeft w:val="0"/>
      <w:marRight w:val="0"/>
      <w:marTop w:val="0"/>
      <w:marBottom w:val="0"/>
      <w:divBdr>
        <w:top w:val="none" w:sz="0" w:space="0" w:color="auto"/>
        <w:left w:val="none" w:sz="0" w:space="0" w:color="auto"/>
        <w:bottom w:val="none" w:sz="0" w:space="0" w:color="auto"/>
        <w:right w:val="none" w:sz="0" w:space="0" w:color="auto"/>
      </w:divBdr>
    </w:div>
    <w:div w:id="2076929335">
      <w:bodyDiv w:val="1"/>
      <w:marLeft w:val="0"/>
      <w:marRight w:val="0"/>
      <w:marTop w:val="0"/>
      <w:marBottom w:val="0"/>
      <w:divBdr>
        <w:top w:val="none" w:sz="0" w:space="0" w:color="auto"/>
        <w:left w:val="none" w:sz="0" w:space="0" w:color="auto"/>
        <w:bottom w:val="none" w:sz="0" w:space="0" w:color="auto"/>
        <w:right w:val="none" w:sz="0" w:space="0" w:color="auto"/>
      </w:divBdr>
    </w:div>
    <w:div w:id="2109079635">
      <w:bodyDiv w:val="1"/>
      <w:marLeft w:val="0"/>
      <w:marRight w:val="0"/>
      <w:marTop w:val="0"/>
      <w:marBottom w:val="0"/>
      <w:divBdr>
        <w:top w:val="none" w:sz="0" w:space="0" w:color="auto"/>
        <w:left w:val="none" w:sz="0" w:space="0" w:color="auto"/>
        <w:bottom w:val="none" w:sz="0" w:space="0" w:color="auto"/>
        <w:right w:val="none" w:sz="0" w:space="0" w:color="auto"/>
      </w:divBdr>
      <w:divsChild>
        <w:div w:id="1045913625">
          <w:marLeft w:val="0"/>
          <w:marRight w:val="0"/>
          <w:marTop w:val="0"/>
          <w:marBottom w:val="0"/>
          <w:divBdr>
            <w:top w:val="none" w:sz="0" w:space="0" w:color="auto"/>
            <w:left w:val="none" w:sz="0" w:space="0" w:color="auto"/>
            <w:bottom w:val="none" w:sz="0" w:space="0" w:color="auto"/>
            <w:right w:val="none" w:sz="0" w:space="0" w:color="auto"/>
          </w:divBdr>
        </w:div>
        <w:div w:id="224609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1C9BE-7701-49D7-BD71-C63594A4F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10084</Words>
  <Characters>54457</Characters>
  <Application>Microsoft Office Word</Application>
  <DocSecurity>0</DocSecurity>
  <Lines>453</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Joyce</dc:creator>
  <cp:lastModifiedBy>Érica Rosa</cp:lastModifiedBy>
  <cp:revision>5</cp:revision>
  <cp:lastPrinted>2018-08-03T23:15:00Z</cp:lastPrinted>
  <dcterms:created xsi:type="dcterms:W3CDTF">2020-10-19T18:39:00Z</dcterms:created>
  <dcterms:modified xsi:type="dcterms:W3CDTF">2020-11-03T17:31:00Z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http://www.zotero.org/styles/universidade-federal-do-espirito-santo-abnt-initials</vt:lpwstr>
  </property>
  <property fmtid="{D5CDD505-2E9C-101B-9397-08002B2CF9AE}" pid="17" name="Mendeley Recent Style Name 7_1">
    <vt:lpwstr>Universidade Federal do Espírito Santo - ABNT (autoria abreviada) (Portuguese - Brazil)</vt:lpwstr>
  </property>
  <property fmtid="{D5CDD505-2E9C-101B-9397-08002B2CF9AE}" pid="18" name="Mendeley Recent Style Id 8_1">
    <vt:lpwstr>http://www.zotero.org/styles/universidade-federal-do-espirito-santo-abnt</vt:lpwstr>
  </property>
  <property fmtid="{D5CDD505-2E9C-101B-9397-08002B2CF9AE}" pid="19" name="Mendeley Recent Style Name 8_1">
    <vt:lpwstr>Universidade Federal do Espírito Santo - ABNT (autoria completa) (Portuguese - Brazil)</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3f9e0317-d796-3d99-8930-3743c810e249</vt:lpwstr>
  </property>
  <property fmtid="{D5CDD505-2E9C-101B-9397-08002B2CF9AE}" pid="24" name="Mendeley Citation Style_1">
    <vt:lpwstr>http://www.zotero.org/styles/universidade-federal-do-espirito-santo-abnt-initials</vt:lpwstr>
  </property>
</Properties>
</file>