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6F0A6" w14:textId="77777777" w:rsidR="00A00799" w:rsidRDefault="00792F5E" w:rsidP="00F233E1">
      <w:pPr>
        <w:tabs>
          <w:tab w:val="left" w:pos="24807"/>
        </w:tabs>
        <w:spacing w:after="0" w:line="360" w:lineRule="auto"/>
        <w:ind w:left="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CORRELAÇÃO DA CALCEMIA COM PROTEÍNA C-REATIVA E DESFECHOS NEONATAIS EM GESTAÇÕES PRÉ-ECLÂMPTICAS</w:t>
      </w:r>
    </w:p>
    <w:p w14:paraId="149AE174" w14:textId="77777777" w:rsidR="00A00799" w:rsidRDefault="00A007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4C7EE1E" w14:textId="77777777" w:rsidR="00A00799" w:rsidRDefault="00792F5E" w:rsidP="00F233E1">
      <w:pPr>
        <w:spacing w:before="240" w:after="0" w:line="240" w:lineRule="auto"/>
        <w:ind w:leftChars="150" w:left="33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5506B99B" w14:textId="529830C8" w:rsidR="00A00799" w:rsidRPr="00BA1BA0" w:rsidRDefault="00BA1BA0" w:rsidP="00F233E1">
      <w:pPr>
        <w:pBdr>
          <w:top w:val="nil"/>
          <w:left w:val="nil"/>
          <w:bottom w:val="nil"/>
          <w:right w:val="nil"/>
          <w:between w:val="nil"/>
        </w:pBdr>
        <w:spacing w:after="0" w:line="240" w:lineRule="auto"/>
        <w:ind w:leftChars="150" w:left="330"/>
        <w:jc w:val="both"/>
        <w:rPr>
          <w:rFonts w:ascii="Times New Roman" w:eastAsia="Times New Roman" w:hAnsi="Times New Roman" w:cs="Times New Roman"/>
          <w:sz w:val="24"/>
          <w:szCs w:val="24"/>
        </w:rPr>
      </w:pPr>
      <w:r w:rsidRPr="00BA1BA0">
        <w:rPr>
          <w:rFonts w:ascii="Times New Roman" w:eastAsia="Times New Roman" w:hAnsi="Times New Roman" w:cs="Times New Roman"/>
          <w:sz w:val="24"/>
          <w:szCs w:val="24"/>
        </w:rPr>
        <w:t>A p</w:t>
      </w:r>
      <w:r w:rsidR="00792F5E" w:rsidRPr="00BA1BA0">
        <w:rPr>
          <w:rFonts w:ascii="Times New Roman" w:eastAsia="Times New Roman" w:hAnsi="Times New Roman" w:cs="Times New Roman"/>
          <w:sz w:val="24"/>
          <w:szCs w:val="24"/>
        </w:rPr>
        <w:t xml:space="preserve">ré-eclâmpsia (PE) consiste em uma condição multifatorial, acometendo de 2–8% das gestações, podendo direcionar a desfechos desfavoráveis ao binômio materno-fetal. </w:t>
      </w:r>
      <w:r w:rsidRPr="00BA1BA0">
        <w:rPr>
          <w:rFonts w:ascii="Times New Roman" w:eastAsia="Times New Roman" w:hAnsi="Times New Roman" w:cs="Times New Roman"/>
          <w:sz w:val="24"/>
          <w:szCs w:val="24"/>
        </w:rPr>
        <w:t>Neste contexto</w:t>
      </w:r>
      <w:r w:rsidR="00792F5E" w:rsidRPr="00BA1BA0">
        <w:rPr>
          <w:rFonts w:ascii="Times New Roman" w:eastAsia="Times New Roman" w:hAnsi="Times New Roman" w:cs="Times New Roman"/>
          <w:sz w:val="24"/>
          <w:szCs w:val="24"/>
        </w:rPr>
        <w:t xml:space="preserve">, </w:t>
      </w:r>
      <w:r w:rsidRPr="00BA1BA0">
        <w:rPr>
          <w:rFonts w:ascii="Times New Roman" w:eastAsia="Times New Roman" w:hAnsi="Times New Roman" w:cs="Times New Roman"/>
          <w:sz w:val="24"/>
          <w:szCs w:val="24"/>
        </w:rPr>
        <w:t>estudar</w:t>
      </w:r>
      <w:r w:rsidR="00792F5E" w:rsidRPr="00BA1BA0">
        <w:rPr>
          <w:rFonts w:ascii="Times New Roman" w:eastAsia="Times New Roman" w:hAnsi="Times New Roman" w:cs="Times New Roman"/>
          <w:sz w:val="24"/>
          <w:szCs w:val="24"/>
        </w:rPr>
        <w:t xml:space="preserve"> parâmetros </w:t>
      </w:r>
      <w:r w:rsidRPr="00BA1BA0">
        <w:rPr>
          <w:rFonts w:ascii="Times New Roman" w:eastAsia="Times New Roman" w:hAnsi="Times New Roman" w:cs="Times New Roman"/>
          <w:sz w:val="24"/>
          <w:szCs w:val="24"/>
        </w:rPr>
        <w:t xml:space="preserve">bioquímicos </w:t>
      </w:r>
      <w:r w:rsidR="00792F5E" w:rsidRPr="00BA1BA0">
        <w:rPr>
          <w:rFonts w:ascii="Times New Roman" w:eastAsia="Times New Roman" w:hAnsi="Times New Roman" w:cs="Times New Roman"/>
          <w:sz w:val="24"/>
          <w:szCs w:val="24"/>
        </w:rPr>
        <w:t>que possam refletir a gravidade da doença antecipadamente,</w:t>
      </w:r>
      <w:r w:rsidRPr="00BA1BA0">
        <w:rPr>
          <w:rFonts w:ascii="Times New Roman" w:eastAsia="Times New Roman" w:hAnsi="Times New Roman" w:cs="Times New Roman"/>
          <w:sz w:val="24"/>
          <w:szCs w:val="24"/>
        </w:rPr>
        <w:t xml:space="preserve"> torna-se importante,</w:t>
      </w:r>
      <w:r w:rsidR="00792F5E" w:rsidRPr="00BA1BA0">
        <w:rPr>
          <w:rFonts w:ascii="Times New Roman" w:eastAsia="Times New Roman" w:hAnsi="Times New Roman" w:cs="Times New Roman"/>
          <w:sz w:val="24"/>
          <w:szCs w:val="24"/>
        </w:rPr>
        <w:t xml:space="preserve"> como o cálcio sérico, </w:t>
      </w:r>
      <w:r w:rsidRPr="00BA1BA0">
        <w:rPr>
          <w:rFonts w:ascii="Times New Roman" w:eastAsia="Times New Roman" w:hAnsi="Times New Roman" w:cs="Times New Roman"/>
          <w:sz w:val="24"/>
          <w:szCs w:val="24"/>
        </w:rPr>
        <w:t xml:space="preserve">que </w:t>
      </w:r>
      <w:r w:rsidR="00792F5E" w:rsidRPr="00BA1BA0">
        <w:rPr>
          <w:rFonts w:ascii="Times New Roman" w:eastAsia="Times New Roman" w:hAnsi="Times New Roman" w:cs="Times New Roman"/>
          <w:sz w:val="24"/>
          <w:szCs w:val="24"/>
        </w:rPr>
        <w:t xml:space="preserve">quando </w:t>
      </w:r>
      <w:r w:rsidRPr="00BA1BA0">
        <w:rPr>
          <w:rFonts w:ascii="Times New Roman" w:eastAsia="Times New Roman" w:hAnsi="Times New Roman" w:cs="Times New Roman"/>
          <w:sz w:val="24"/>
          <w:szCs w:val="24"/>
        </w:rPr>
        <w:t>em condições</w:t>
      </w:r>
      <w:r w:rsidR="00792F5E" w:rsidRPr="00BA1BA0">
        <w:rPr>
          <w:rFonts w:ascii="Times New Roman" w:eastAsia="Times New Roman" w:hAnsi="Times New Roman" w:cs="Times New Roman"/>
          <w:sz w:val="24"/>
          <w:szCs w:val="24"/>
        </w:rPr>
        <w:t xml:space="preserve"> de hipocalcemia (</w:t>
      </w:r>
      <w:r w:rsidRPr="00BA1BA0">
        <w:rPr>
          <w:rFonts w:ascii="Times New Roman" w:eastAsia="Times New Roman" w:hAnsi="Times New Roman" w:cs="Times New Roman"/>
          <w:sz w:val="24"/>
          <w:szCs w:val="24"/>
        </w:rPr>
        <w:t>&lt;</w:t>
      </w:r>
      <w:r w:rsidR="00792F5E" w:rsidRPr="00BA1BA0">
        <w:rPr>
          <w:rFonts w:ascii="Times New Roman" w:eastAsia="Times New Roman" w:hAnsi="Times New Roman" w:cs="Times New Roman"/>
          <w:sz w:val="24"/>
          <w:szCs w:val="24"/>
        </w:rPr>
        <w:t>8,5</w:t>
      </w:r>
      <w:proofErr w:type="gramStart"/>
      <w:r w:rsidR="00792F5E" w:rsidRPr="00BA1BA0">
        <w:rPr>
          <w:rFonts w:ascii="Times New Roman" w:eastAsia="Times New Roman" w:hAnsi="Times New Roman" w:cs="Times New Roman"/>
          <w:sz w:val="24"/>
          <w:szCs w:val="24"/>
        </w:rPr>
        <w:t>mg</w:t>
      </w:r>
      <w:proofErr w:type="gramEnd"/>
      <w:r w:rsidR="00792F5E" w:rsidRPr="00BA1BA0">
        <w:rPr>
          <w:rFonts w:ascii="Times New Roman" w:eastAsia="Times New Roman" w:hAnsi="Times New Roman" w:cs="Times New Roman"/>
          <w:sz w:val="24"/>
          <w:szCs w:val="24"/>
        </w:rPr>
        <w:t>/</w:t>
      </w:r>
      <w:proofErr w:type="spellStart"/>
      <w:r w:rsidR="00792F5E" w:rsidRPr="00BA1BA0">
        <w:rPr>
          <w:rFonts w:ascii="Times New Roman" w:eastAsia="Times New Roman" w:hAnsi="Times New Roman" w:cs="Times New Roman"/>
          <w:sz w:val="24"/>
          <w:szCs w:val="24"/>
        </w:rPr>
        <w:t>dL</w:t>
      </w:r>
      <w:proofErr w:type="spellEnd"/>
      <w:r w:rsidR="00792F5E" w:rsidRPr="00BA1BA0">
        <w:rPr>
          <w:rFonts w:ascii="Times New Roman" w:eastAsia="Times New Roman" w:hAnsi="Times New Roman" w:cs="Times New Roman"/>
          <w:sz w:val="24"/>
          <w:szCs w:val="24"/>
        </w:rPr>
        <w:t>)</w:t>
      </w:r>
      <w:r w:rsidRPr="00BA1BA0">
        <w:rPr>
          <w:rFonts w:ascii="Times New Roman" w:eastAsia="Times New Roman" w:hAnsi="Times New Roman" w:cs="Times New Roman"/>
          <w:sz w:val="24"/>
          <w:szCs w:val="24"/>
        </w:rPr>
        <w:t xml:space="preserve">, parece ser um </w:t>
      </w:r>
      <w:r w:rsidRPr="00BA1BA0">
        <w:rPr>
          <w:rFonts w:ascii="Times New Roman" w:eastAsia="Times New Roman" w:hAnsi="Times New Roman" w:cs="Times New Roman"/>
          <w:sz w:val="24"/>
          <w:szCs w:val="24"/>
        </w:rPr>
        <w:t>promissor</w:t>
      </w:r>
      <w:r w:rsidRPr="00BA1BA0">
        <w:rPr>
          <w:rFonts w:ascii="Times New Roman" w:eastAsia="Times New Roman" w:hAnsi="Times New Roman" w:cs="Times New Roman"/>
          <w:sz w:val="24"/>
          <w:szCs w:val="24"/>
        </w:rPr>
        <w:t xml:space="preserve"> </w:t>
      </w:r>
      <w:proofErr w:type="spellStart"/>
      <w:r w:rsidRPr="00BA1BA0">
        <w:rPr>
          <w:rFonts w:ascii="Times New Roman" w:eastAsia="Times New Roman" w:hAnsi="Times New Roman" w:cs="Times New Roman"/>
          <w:sz w:val="24"/>
          <w:szCs w:val="24"/>
        </w:rPr>
        <w:t>preditor</w:t>
      </w:r>
      <w:proofErr w:type="spellEnd"/>
      <w:r w:rsidRPr="00BA1BA0">
        <w:rPr>
          <w:rFonts w:ascii="Times New Roman" w:eastAsia="Times New Roman" w:hAnsi="Times New Roman" w:cs="Times New Roman"/>
          <w:sz w:val="24"/>
          <w:szCs w:val="24"/>
        </w:rPr>
        <w:t xml:space="preserve"> de gravidade perinatal</w:t>
      </w:r>
      <w:r w:rsidR="00792F5E" w:rsidRPr="00BA1BA0">
        <w:rPr>
          <w:rFonts w:ascii="Times New Roman" w:eastAsia="Times New Roman" w:hAnsi="Times New Roman" w:cs="Times New Roman"/>
          <w:sz w:val="24"/>
          <w:szCs w:val="24"/>
        </w:rPr>
        <w:t xml:space="preserve">. Neste contexto, o objetivo do estudo é correlacionar os níveis séricos de cálcio das gestantes com PE, com proteína </w:t>
      </w:r>
      <w:proofErr w:type="spellStart"/>
      <w:r w:rsidR="00792F5E" w:rsidRPr="00BA1BA0">
        <w:rPr>
          <w:rFonts w:ascii="Times New Roman" w:eastAsia="Times New Roman" w:hAnsi="Times New Roman" w:cs="Times New Roman"/>
          <w:sz w:val="24"/>
          <w:szCs w:val="24"/>
        </w:rPr>
        <w:t>c-reativa</w:t>
      </w:r>
      <w:proofErr w:type="spellEnd"/>
      <w:r w:rsidR="00792F5E" w:rsidRPr="00BA1BA0">
        <w:rPr>
          <w:rFonts w:ascii="Times New Roman" w:eastAsia="Times New Roman" w:hAnsi="Times New Roman" w:cs="Times New Roman"/>
          <w:sz w:val="24"/>
          <w:szCs w:val="24"/>
        </w:rPr>
        <w:t xml:space="preserve"> (PCR) e desfechos neonatais. Trata-se de um estudo observacional, do tipo transversal, com critérios de inclusão e exclusão pré-estabelecidos. Foi aplicado protocolo de pesquisa padronizado, </w:t>
      </w:r>
      <w:r w:rsidR="00792F5E" w:rsidRPr="00BA1BA0">
        <w:rPr>
          <w:rFonts w:ascii="Times New Roman" w:eastAsia="Times New Roman" w:hAnsi="Times New Roman" w:cs="Times New Roman"/>
          <w:sz w:val="24"/>
          <w:szCs w:val="24"/>
          <w:highlight w:val="white"/>
        </w:rPr>
        <w:t>contendo variáveis maternas e neonatais.</w:t>
      </w:r>
      <w:r w:rsidR="00792F5E" w:rsidRPr="00BA1BA0">
        <w:rPr>
          <w:rFonts w:ascii="Times New Roman" w:eastAsia="Times New Roman" w:hAnsi="Times New Roman" w:cs="Times New Roman"/>
          <w:sz w:val="24"/>
          <w:szCs w:val="24"/>
        </w:rPr>
        <w:t xml:space="preserve"> Os dados foram analisados estatisticamente a partir da correlação de </w:t>
      </w:r>
      <w:proofErr w:type="spellStart"/>
      <w:r w:rsidR="00792F5E" w:rsidRPr="00BA1BA0">
        <w:rPr>
          <w:rFonts w:ascii="Times New Roman" w:eastAsia="Times New Roman" w:hAnsi="Times New Roman" w:cs="Times New Roman"/>
          <w:sz w:val="24"/>
          <w:szCs w:val="24"/>
        </w:rPr>
        <w:t>Spearman</w:t>
      </w:r>
      <w:proofErr w:type="spellEnd"/>
      <w:r w:rsidR="00792F5E" w:rsidRPr="00BA1BA0">
        <w:rPr>
          <w:rFonts w:ascii="Times New Roman" w:eastAsia="Times New Roman" w:hAnsi="Times New Roman" w:cs="Times New Roman"/>
          <w:sz w:val="24"/>
          <w:szCs w:val="24"/>
        </w:rPr>
        <w:t>, considerando significância estatística com p&lt;0,05. Foram avaliadas 267 gestantes com PE, com concentrações médias de cálcio de 5,03±0,52 mg/</w:t>
      </w:r>
      <w:proofErr w:type="spellStart"/>
      <w:r w:rsidR="00792F5E" w:rsidRPr="00BA1BA0">
        <w:rPr>
          <w:rFonts w:ascii="Times New Roman" w:eastAsia="Times New Roman" w:hAnsi="Times New Roman" w:cs="Times New Roman"/>
          <w:sz w:val="24"/>
          <w:szCs w:val="24"/>
        </w:rPr>
        <w:t>dL</w:t>
      </w:r>
      <w:proofErr w:type="spellEnd"/>
      <w:r w:rsidR="00792F5E" w:rsidRPr="00BA1BA0">
        <w:rPr>
          <w:rFonts w:ascii="Times New Roman" w:eastAsia="Times New Roman" w:hAnsi="Times New Roman" w:cs="Times New Roman"/>
          <w:sz w:val="24"/>
          <w:szCs w:val="24"/>
        </w:rPr>
        <w:t xml:space="preserve"> (abaixo da normalidade), sendo hipocalcemia identificada em 64,04% das gestações). Valores médios elevados de PCR foram identificados (51,11±52,51 mg/</w:t>
      </w:r>
      <w:proofErr w:type="spellStart"/>
      <w:r w:rsidR="00792F5E" w:rsidRPr="00BA1BA0">
        <w:rPr>
          <w:rFonts w:ascii="Times New Roman" w:eastAsia="Times New Roman" w:hAnsi="Times New Roman" w:cs="Times New Roman"/>
          <w:sz w:val="24"/>
          <w:szCs w:val="24"/>
        </w:rPr>
        <w:t>dL</w:t>
      </w:r>
      <w:proofErr w:type="spellEnd"/>
      <w:r w:rsidR="00792F5E" w:rsidRPr="00BA1BA0">
        <w:rPr>
          <w:rFonts w:ascii="Times New Roman" w:eastAsia="Times New Roman" w:hAnsi="Times New Roman" w:cs="Times New Roman"/>
          <w:sz w:val="24"/>
          <w:szCs w:val="24"/>
        </w:rPr>
        <w:t>), sendo que 59,7% das gestantes apresentavam resultados acima dos valores de referência. A idade gestacional média dos neonatos foi de 37,51±2,89 semanas, e peso ao nascer médio de 2871,4±</w:t>
      </w:r>
      <w:smartTag w:uri="urn:schemas-microsoft-com:office:smarttags" w:element="metricconverter">
        <w:smartTagPr>
          <w:attr w:name="ProductID" w:val="951,2 gramas"/>
        </w:smartTagPr>
        <w:r w:rsidR="00792F5E" w:rsidRPr="00BA1BA0">
          <w:rPr>
            <w:rFonts w:ascii="Times New Roman" w:eastAsia="Times New Roman" w:hAnsi="Times New Roman" w:cs="Times New Roman"/>
            <w:sz w:val="24"/>
            <w:szCs w:val="24"/>
          </w:rPr>
          <w:t>951,2 gramas</w:t>
        </w:r>
      </w:smartTag>
      <w:r w:rsidR="00792F5E" w:rsidRPr="00BA1BA0">
        <w:rPr>
          <w:rFonts w:ascii="Times New Roman" w:eastAsia="Times New Roman" w:hAnsi="Times New Roman" w:cs="Times New Roman"/>
          <w:sz w:val="24"/>
          <w:szCs w:val="24"/>
        </w:rPr>
        <w:t>. Foi identificada correlação negativa entre as concentra</w:t>
      </w:r>
      <w:r w:rsidRPr="00BA1BA0">
        <w:rPr>
          <w:rFonts w:ascii="Times New Roman" w:eastAsia="Times New Roman" w:hAnsi="Times New Roman" w:cs="Times New Roman"/>
          <w:sz w:val="24"/>
          <w:szCs w:val="24"/>
        </w:rPr>
        <w:t>ções séricas de cálcio e PCR (r</w:t>
      </w:r>
      <w:r w:rsidR="00792F5E" w:rsidRPr="00BA1BA0">
        <w:rPr>
          <w:rFonts w:ascii="Times New Roman" w:eastAsia="Times New Roman" w:hAnsi="Times New Roman" w:cs="Times New Roman"/>
          <w:sz w:val="24"/>
          <w:szCs w:val="24"/>
        </w:rPr>
        <w:t>=</w:t>
      </w:r>
      <w:r w:rsidRPr="00BA1BA0">
        <w:rPr>
          <w:rFonts w:ascii="Times New Roman" w:eastAsia="Times New Roman" w:hAnsi="Times New Roman" w:cs="Times New Roman"/>
          <w:sz w:val="24"/>
          <w:szCs w:val="24"/>
        </w:rPr>
        <w:t>-0,165; p=</w:t>
      </w:r>
      <w:r w:rsidR="00792F5E" w:rsidRPr="00BA1BA0">
        <w:rPr>
          <w:rFonts w:ascii="Times New Roman" w:eastAsia="Times New Roman" w:hAnsi="Times New Roman" w:cs="Times New Roman"/>
          <w:sz w:val="24"/>
          <w:szCs w:val="24"/>
        </w:rPr>
        <w:t>0,039), e correlação posi</w:t>
      </w:r>
      <w:r w:rsidRPr="00BA1BA0">
        <w:rPr>
          <w:rFonts w:ascii="Times New Roman" w:eastAsia="Times New Roman" w:hAnsi="Times New Roman" w:cs="Times New Roman"/>
          <w:sz w:val="24"/>
          <w:szCs w:val="24"/>
        </w:rPr>
        <w:t>tiva entre idade gestacional (r=0,153; p=0,048) e peso ao nascer (r=0,158; p=</w:t>
      </w:r>
      <w:r w:rsidR="00792F5E" w:rsidRPr="00BA1BA0">
        <w:rPr>
          <w:rFonts w:ascii="Times New Roman" w:eastAsia="Times New Roman" w:hAnsi="Times New Roman" w:cs="Times New Roman"/>
          <w:sz w:val="24"/>
          <w:szCs w:val="24"/>
        </w:rPr>
        <w:t>0,045). A hipocalcemia está relacionada com o aumento da PCR (marcador inflamatório) e desfechos neonatais adversos, como menor idade gestacional ao nascimento e menor peso ao nascer em gestações com PE.</w:t>
      </w:r>
    </w:p>
    <w:p w14:paraId="7E0B5ECC" w14:textId="76A2CC4D" w:rsidR="00A00799" w:rsidRPr="00BA1BA0" w:rsidRDefault="00792F5E" w:rsidP="00F233E1">
      <w:pPr>
        <w:spacing w:after="0" w:line="240" w:lineRule="auto"/>
        <w:ind w:leftChars="150" w:left="330"/>
        <w:jc w:val="both"/>
        <w:rPr>
          <w:rFonts w:ascii="Times New Roman" w:eastAsia="Times New Roman" w:hAnsi="Times New Roman" w:cs="Times New Roman"/>
          <w:sz w:val="24"/>
          <w:szCs w:val="24"/>
        </w:rPr>
      </w:pPr>
      <w:r w:rsidRPr="00BA1BA0">
        <w:rPr>
          <w:rFonts w:ascii="Times New Roman" w:eastAsia="Times New Roman" w:hAnsi="Times New Roman" w:cs="Times New Roman"/>
          <w:b/>
          <w:sz w:val="24"/>
          <w:szCs w:val="24"/>
        </w:rPr>
        <w:t>Palavras-chave:</w:t>
      </w:r>
      <w:r w:rsidRPr="00BA1BA0">
        <w:rPr>
          <w:rFonts w:ascii="Times New Roman" w:eastAsia="Times New Roman" w:hAnsi="Times New Roman" w:cs="Times New Roman"/>
          <w:sz w:val="24"/>
          <w:szCs w:val="24"/>
        </w:rPr>
        <w:t xml:space="preserve"> Hipocalcemia, </w:t>
      </w:r>
      <w:r w:rsidR="007753B7" w:rsidRPr="00BA1BA0">
        <w:rPr>
          <w:rFonts w:ascii="Times New Roman" w:eastAsia="Times New Roman" w:hAnsi="Times New Roman" w:cs="Times New Roman"/>
          <w:sz w:val="24"/>
          <w:szCs w:val="24"/>
        </w:rPr>
        <w:t>Hipertensão Gestacional</w:t>
      </w:r>
      <w:r w:rsidRPr="00BA1BA0">
        <w:rPr>
          <w:rFonts w:ascii="Times New Roman" w:eastAsia="Times New Roman" w:hAnsi="Times New Roman" w:cs="Times New Roman"/>
          <w:sz w:val="24"/>
          <w:szCs w:val="24"/>
        </w:rPr>
        <w:t xml:space="preserve">, </w:t>
      </w:r>
      <w:r w:rsidR="00353E72" w:rsidRPr="00BA1BA0">
        <w:rPr>
          <w:rFonts w:ascii="Times New Roman" w:eastAsia="Times New Roman" w:hAnsi="Times New Roman" w:cs="Times New Roman"/>
          <w:sz w:val="24"/>
          <w:szCs w:val="24"/>
        </w:rPr>
        <w:t>N</w:t>
      </w:r>
      <w:r w:rsidRPr="00BA1BA0">
        <w:rPr>
          <w:rFonts w:ascii="Times New Roman" w:eastAsia="Times New Roman" w:hAnsi="Times New Roman" w:cs="Times New Roman"/>
          <w:sz w:val="24"/>
          <w:szCs w:val="24"/>
        </w:rPr>
        <w:t>ascimento.</w:t>
      </w:r>
    </w:p>
    <w:p w14:paraId="1540C31B" w14:textId="77777777" w:rsidR="00A00799" w:rsidRDefault="00A00799" w:rsidP="00F233E1">
      <w:pPr>
        <w:spacing w:after="0" w:line="360" w:lineRule="auto"/>
        <w:ind w:leftChars="150" w:left="330"/>
        <w:jc w:val="both"/>
        <w:rPr>
          <w:rFonts w:ascii="Times New Roman" w:eastAsia="Times New Roman" w:hAnsi="Times New Roman" w:cs="Times New Roman"/>
          <w:sz w:val="24"/>
          <w:szCs w:val="24"/>
        </w:rPr>
      </w:pPr>
    </w:p>
    <w:p w14:paraId="7089942F" w14:textId="77777777" w:rsidR="00A00799" w:rsidRDefault="00792F5E" w:rsidP="00F233E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6906C3CF" w14:textId="77777777" w:rsidR="00A00799" w:rsidRPr="00F233E1" w:rsidRDefault="00792F5E" w:rsidP="00F233E1">
      <w:pPr>
        <w:spacing w:after="0" w:line="360" w:lineRule="auto"/>
        <w:ind w:leftChars="150" w:left="330" w:firstLine="709"/>
        <w:jc w:val="both"/>
        <w:rPr>
          <w:rFonts w:ascii="Times New Roman" w:eastAsia="Times New Roman" w:hAnsi="Times New Roman" w:cs="Times New Roman"/>
          <w:sz w:val="24"/>
          <w:szCs w:val="24"/>
        </w:rPr>
      </w:pPr>
      <w:r w:rsidRPr="00F233E1">
        <w:rPr>
          <w:rFonts w:ascii="Times New Roman" w:eastAsia="Times New Roman" w:hAnsi="Times New Roman" w:cs="Times New Roman"/>
          <w:sz w:val="24"/>
          <w:szCs w:val="24"/>
        </w:rPr>
        <w:t xml:space="preserve">Pré-eclâmpsia (PE), condição caracterizada pela manifestação de hipertensão arterial a partir da vigésima semana gestacional, associada ou não à proteinúria, podendo estar acompanhada de comprometimento sistêmico, disfunção de órgãos-alvo, e por comprometimento placentário, que podem comprometer a saúde materno-fetal, por esta razão, faz-se necessário o estudo de parâmetros que possam refletir a gravidade da doença antecipadamente, em virtude disso, estudos indicam o cálcio como um promissor marcador sérico (BROWN </w:t>
      </w:r>
      <w:proofErr w:type="gramStart"/>
      <w:r w:rsidRPr="00F233E1">
        <w:rPr>
          <w:rFonts w:ascii="Times New Roman" w:eastAsia="Times New Roman" w:hAnsi="Times New Roman" w:cs="Times New Roman"/>
          <w:sz w:val="24"/>
          <w:szCs w:val="24"/>
        </w:rPr>
        <w:t>et</w:t>
      </w:r>
      <w:proofErr w:type="gramEnd"/>
      <w:r w:rsidRPr="00F233E1">
        <w:rPr>
          <w:rFonts w:ascii="Times New Roman" w:eastAsia="Times New Roman" w:hAnsi="Times New Roman" w:cs="Times New Roman"/>
          <w:sz w:val="24"/>
          <w:szCs w:val="24"/>
        </w:rPr>
        <w:t xml:space="preserve"> al., 2018; JAIN et al., 2009; PRAMANIK, KHATIWADA, PRADHAN, 2014).</w:t>
      </w:r>
    </w:p>
    <w:p w14:paraId="4392DC67" w14:textId="77777777" w:rsidR="00A00799" w:rsidRPr="00F233E1" w:rsidRDefault="00792F5E" w:rsidP="00F233E1">
      <w:pPr>
        <w:spacing w:after="0" w:line="360" w:lineRule="auto"/>
        <w:ind w:leftChars="150" w:left="330" w:firstLine="709"/>
        <w:jc w:val="both"/>
        <w:rPr>
          <w:rFonts w:ascii="Times New Roman" w:eastAsia="Times New Roman" w:hAnsi="Times New Roman" w:cs="Times New Roman"/>
          <w:sz w:val="24"/>
          <w:szCs w:val="24"/>
        </w:rPr>
      </w:pPr>
      <w:r w:rsidRPr="00F233E1">
        <w:rPr>
          <w:rFonts w:ascii="Times New Roman" w:eastAsia="Times New Roman" w:hAnsi="Times New Roman" w:cs="Times New Roman"/>
          <w:sz w:val="24"/>
          <w:szCs w:val="24"/>
        </w:rPr>
        <w:t xml:space="preserve">O cálcio, um cátion bivalente essencial para o metabolismo ósseo e contração muscular, também tem sido apontado como um importante marcador na PE, </w:t>
      </w:r>
      <w:r w:rsidRPr="00F233E1">
        <w:rPr>
          <w:rFonts w:ascii="Times New Roman" w:eastAsia="Times New Roman" w:hAnsi="Times New Roman" w:cs="Times New Roman"/>
          <w:sz w:val="24"/>
          <w:szCs w:val="24"/>
        </w:rPr>
        <w:lastRenderedPageBreak/>
        <w:t xml:space="preserve">particularmente quando em concentrações séricas baixas. A contribuição da hipocalcemia em gestantes </w:t>
      </w:r>
      <w:proofErr w:type="spellStart"/>
      <w:r w:rsidRPr="00F233E1">
        <w:rPr>
          <w:rFonts w:ascii="Times New Roman" w:eastAsia="Times New Roman" w:hAnsi="Times New Roman" w:cs="Times New Roman"/>
          <w:sz w:val="24"/>
          <w:szCs w:val="24"/>
        </w:rPr>
        <w:t>pré</w:t>
      </w:r>
      <w:proofErr w:type="spellEnd"/>
      <w:r w:rsidRPr="00F233E1">
        <w:rPr>
          <w:rFonts w:ascii="Times New Roman" w:eastAsia="Times New Roman" w:hAnsi="Times New Roman" w:cs="Times New Roman"/>
          <w:sz w:val="24"/>
          <w:szCs w:val="24"/>
        </w:rPr>
        <w:t xml:space="preserve">-eclâmpticas têm sido sugerida por exercer influência na gravidade desta condição, principalmente por suscitar o aumento da secreção do hormônio </w:t>
      </w:r>
      <w:proofErr w:type="spellStart"/>
      <w:r w:rsidRPr="00F233E1">
        <w:rPr>
          <w:rFonts w:ascii="Times New Roman" w:eastAsia="Times New Roman" w:hAnsi="Times New Roman" w:cs="Times New Roman"/>
          <w:sz w:val="24"/>
          <w:szCs w:val="24"/>
        </w:rPr>
        <w:t>paratireoidiano</w:t>
      </w:r>
      <w:proofErr w:type="spellEnd"/>
      <w:r w:rsidRPr="00F233E1">
        <w:rPr>
          <w:rFonts w:ascii="Times New Roman" w:eastAsia="Times New Roman" w:hAnsi="Times New Roman" w:cs="Times New Roman"/>
          <w:sz w:val="24"/>
          <w:szCs w:val="24"/>
        </w:rPr>
        <w:t>, elevando a reatividade muscular com contração da musculatura lisa vascular, acarretando na vasoconstrição e, consequentemente, no aumento da pressão arterial (</w:t>
      </w:r>
      <w:r w:rsidRPr="00F233E1">
        <w:rPr>
          <w:rFonts w:ascii="Times New Roman" w:eastAsia="Times New Roman" w:hAnsi="Times New Roman" w:cs="Times New Roman"/>
          <w:sz w:val="24"/>
          <w:szCs w:val="24"/>
          <w:highlight w:val="white"/>
        </w:rPr>
        <w:t xml:space="preserve">BUZINARO, ALMEIDA, MAZETO, 2006; </w:t>
      </w:r>
      <w:r w:rsidRPr="00F233E1">
        <w:rPr>
          <w:rFonts w:ascii="Times New Roman" w:eastAsia="Times New Roman" w:hAnsi="Times New Roman" w:cs="Times New Roman"/>
          <w:sz w:val="24"/>
          <w:szCs w:val="24"/>
        </w:rPr>
        <w:t>KUMAR, SINGH, 2019).</w:t>
      </w:r>
    </w:p>
    <w:p w14:paraId="741E2D16" w14:textId="77777777" w:rsidR="00A00799" w:rsidRPr="00F233E1" w:rsidRDefault="00792F5E" w:rsidP="00F233E1">
      <w:pPr>
        <w:spacing w:after="0" w:line="360" w:lineRule="auto"/>
        <w:ind w:leftChars="150" w:left="330" w:firstLine="709"/>
        <w:jc w:val="both"/>
        <w:rPr>
          <w:rFonts w:ascii="Times New Roman" w:hAnsi="Times New Roman" w:cs="Times New Roman"/>
          <w:sz w:val="24"/>
          <w:szCs w:val="24"/>
        </w:rPr>
      </w:pPr>
      <w:r w:rsidRPr="00F233E1">
        <w:rPr>
          <w:rFonts w:ascii="Times New Roman" w:eastAsia="Times New Roman" w:hAnsi="Times New Roman" w:cs="Times New Roman"/>
          <w:color w:val="000000"/>
          <w:sz w:val="24"/>
          <w:szCs w:val="24"/>
        </w:rPr>
        <w:t xml:space="preserve">Esta possível associação merece atenção urgente, visto que podem antecipar possíveis desfechos desfavoráveis e contribuir com a atenuação morbimortalidade na </w:t>
      </w:r>
      <w:proofErr w:type="spellStart"/>
      <w:r w:rsidRPr="00F233E1">
        <w:rPr>
          <w:rFonts w:ascii="Times New Roman" w:eastAsia="Times New Roman" w:hAnsi="Times New Roman" w:cs="Times New Roman"/>
          <w:color w:val="000000"/>
          <w:sz w:val="24"/>
          <w:szCs w:val="24"/>
        </w:rPr>
        <w:t>perinatologia</w:t>
      </w:r>
      <w:proofErr w:type="spellEnd"/>
      <w:r w:rsidRPr="00F233E1">
        <w:rPr>
          <w:rFonts w:ascii="Times New Roman" w:eastAsia="Times New Roman" w:hAnsi="Times New Roman" w:cs="Times New Roman"/>
          <w:color w:val="000000"/>
          <w:sz w:val="24"/>
          <w:szCs w:val="24"/>
        </w:rPr>
        <w:t xml:space="preserve">, por isto, o objetivo deste estudo é correlacionar a </w:t>
      </w:r>
      <w:proofErr w:type="spellStart"/>
      <w:r w:rsidRPr="00F233E1">
        <w:rPr>
          <w:rFonts w:ascii="Times New Roman" w:eastAsia="Times New Roman" w:hAnsi="Times New Roman" w:cs="Times New Roman"/>
          <w:color w:val="000000"/>
          <w:sz w:val="24"/>
          <w:szCs w:val="24"/>
        </w:rPr>
        <w:t>calcemia</w:t>
      </w:r>
      <w:proofErr w:type="spellEnd"/>
      <w:r w:rsidRPr="00F233E1">
        <w:rPr>
          <w:rFonts w:ascii="Times New Roman" w:eastAsia="Times New Roman" w:hAnsi="Times New Roman" w:cs="Times New Roman"/>
          <w:color w:val="000000"/>
          <w:sz w:val="24"/>
          <w:szCs w:val="24"/>
        </w:rPr>
        <w:t xml:space="preserve"> com a </w:t>
      </w:r>
      <w:r w:rsidRPr="00F233E1">
        <w:rPr>
          <w:rFonts w:ascii="Times New Roman" w:eastAsia="Times New Roman" w:hAnsi="Times New Roman" w:cs="Times New Roman"/>
          <w:sz w:val="24"/>
          <w:szCs w:val="24"/>
        </w:rPr>
        <w:t xml:space="preserve">proteína </w:t>
      </w:r>
      <w:proofErr w:type="spellStart"/>
      <w:r w:rsidRPr="00F233E1">
        <w:rPr>
          <w:rFonts w:ascii="Times New Roman" w:eastAsia="Times New Roman" w:hAnsi="Times New Roman" w:cs="Times New Roman"/>
          <w:sz w:val="24"/>
          <w:szCs w:val="24"/>
        </w:rPr>
        <w:t>c-reativa</w:t>
      </w:r>
      <w:proofErr w:type="spellEnd"/>
      <w:r w:rsidRPr="00F233E1">
        <w:rPr>
          <w:rFonts w:ascii="Times New Roman" w:eastAsia="Times New Roman" w:hAnsi="Times New Roman" w:cs="Times New Roman"/>
          <w:sz w:val="24"/>
          <w:szCs w:val="24"/>
        </w:rPr>
        <w:t xml:space="preserve"> e desfechos neonatais em gestações </w:t>
      </w:r>
      <w:proofErr w:type="spellStart"/>
      <w:r w:rsidRPr="00F233E1">
        <w:rPr>
          <w:rFonts w:ascii="Times New Roman" w:eastAsia="Times New Roman" w:hAnsi="Times New Roman" w:cs="Times New Roman"/>
          <w:sz w:val="24"/>
          <w:szCs w:val="24"/>
        </w:rPr>
        <w:t>pré</w:t>
      </w:r>
      <w:proofErr w:type="spellEnd"/>
      <w:r w:rsidRPr="00F233E1">
        <w:rPr>
          <w:rFonts w:ascii="Times New Roman" w:eastAsia="Times New Roman" w:hAnsi="Times New Roman" w:cs="Times New Roman"/>
          <w:sz w:val="24"/>
          <w:szCs w:val="24"/>
        </w:rPr>
        <w:t>-eclâmpticas</w:t>
      </w:r>
      <w:r w:rsidRPr="00F233E1">
        <w:rPr>
          <w:rFonts w:ascii="Times New Roman" w:eastAsia="Times New Roman" w:hAnsi="Times New Roman" w:cs="Times New Roman"/>
          <w:color w:val="000000"/>
          <w:sz w:val="24"/>
          <w:szCs w:val="24"/>
        </w:rPr>
        <w:t xml:space="preserve">. </w:t>
      </w:r>
    </w:p>
    <w:p w14:paraId="44B4A4BF" w14:textId="77777777" w:rsidR="00A00799" w:rsidRDefault="00A00799" w:rsidP="00BA1BA0">
      <w:pPr>
        <w:spacing w:after="0" w:line="360" w:lineRule="auto"/>
        <w:ind w:left="851"/>
        <w:jc w:val="both"/>
        <w:rPr>
          <w:rFonts w:ascii="Times New Roman" w:eastAsia="Times New Roman" w:hAnsi="Times New Roman" w:cs="Times New Roman"/>
          <w:b/>
          <w:sz w:val="24"/>
          <w:szCs w:val="24"/>
        </w:rPr>
      </w:pPr>
    </w:p>
    <w:p w14:paraId="612101AF" w14:textId="77777777" w:rsidR="00A00799" w:rsidRDefault="00792F5E" w:rsidP="00F233E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MATERIAIS E MÉTODOS</w:t>
      </w:r>
    </w:p>
    <w:p w14:paraId="4A4A8FA8" w14:textId="77777777" w:rsidR="00A00799" w:rsidRDefault="00792F5E" w:rsidP="00F233E1">
      <w:pPr>
        <w:spacing w:after="0" w:line="360" w:lineRule="auto"/>
        <w:ind w:leftChars="150" w:left="33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um estudo observacional, do tipo transversal, realizado em uma maternidade de alto risco, em </w:t>
      </w:r>
      <w:proofErr w:type="spellStart"/>
      <w:r>
        <w:rPr>
          <w:rFonts w:ascii="Times New Roman" w:eastAsia="Times New Roman" w:hAnsi="Times New Roman" w:cs="Times New Roman"/>
          <w:sz w:val="24"/>
          <w:szCs w:val="24"/>
        </w:rPr>
        <w:t>Maceió-AL</w:t>
      </w:r>
      <w:proofErr w:type="spellEnd"/>
      <w:r>
        <w:rPr>
          <w:rFonts w:ascii="Times New Roman" w:eastAsia="Times New Roman" w:hAnsi="Times New Roman" w:cs="Times New Roman"/>
          <w:sz w:val="24"/>
          <w:szCs w:val="24"/>
        </w:rPr>
        <w:t>, no ano de 2017, aprovado pelo Comitê de Ética (processo n° 35743614.1.0000.5013). Estudo parte de uma pesquisa maior para o Sistema Único de Saúde (SUS), financiada pela Chamada PPSUS/02/2016/FAPEAL.</w:t>
      </w:r>
    </w:p>
    <w:p w14:paraId="29760E41" w14:textId="4C768A95" w:rsidR="00A00799" w:rsidRPr="007753B7" w:rsidRDefault="00792F5E" w:rsidP="00F233E1">
      <w:pPr>
        <w:pBdr>
          <w:top w:val="nil"/>
          <w:left w:val="nil"/>
          <w:bottom w:val="nil"/>
          <w:right w:val="nil"/>
          <w:between w:val="nil"/>
        </w:pBdr>
        <w:spacing w:after="0" w:line="360" w:lineRule="auto"/>
        <w:ind w:leftChars="150" w:left="330" w:firstLine="709"/>
        <w:jc w:val="both"/>
        <w:rPr>
          <w:rFonts w:ascii="Times New Roman" w:eastAsia="Times New Roman" w:hAnsi="Times New Roman" w:cs="Times New Roman"/>
          <w:color w:val="000000"/>
          <w:sz w:val="24"/>
          <w:szCs w:val="24"/>
        </w:rPr>
      </w:pPr>
      <w:r w:rsidRPr="007753B7">
        <w:rPr>
          <w:rFonts w:ascii="Times New Roman" w:eastAsia="Gungsuh" w:hAnsi="Times New Roman" w:cs="Times New Roman"/>
          <w:color w:val="000000"/>
          <w:sz w:val="24"/>
          <w:szCs w:val="24"/>
        </w:rPr>
        <w:t xml:space="preserve">Foram avaliadas gestantes com Pré-eclâmpsia (PE) segundo os seguintes critérios de inclusão: idade gestacional superior a 20 semanas, pressão arterial sistólica (PAS) maior ou igual a 140 mmHg ou pressão arterial diastólica (PAD) maior ou igual a 90 mmHg, acompanhada de proteína urinária em 24 horas maior que 300mg ou </w:t>
      </w:r>
      <w:proofErr w:type="spellStart"/>
      <w:r w:rsidRPr="007753B7">
        <w:rPr>
          <w:rFonts w:ascii="Times New Roman" w:eastAsia="Gungsuh" w:hAnsi="Times New Roman" w:cs="Times New Roman"/>
          <w:color w:val="000000"/>
          <w:sz w:val="24"/>
          <w:szCs w:val="24"/>
        </w:rPr>
        <w:t>labstix</w:t>
      </w:r>
      <w:proofErr w:type="spellEnd"/>
      <w:r w:rsidRPr="007753B7">
        <w:rPr>
          <w:rFonts w:ascii="Times New Roman" w:eastAsia="Gungsuh" w:hAnsi="Times New Roman" w:cs="Times New Roman"/>
          <w:color w:val="000000"/>
          <w:sz w:val="24"/>
          <w:szCs w:val="24"/>
        </w:rPr>
        <w:t xml:space="preserve"> positivo para proteína (≥+/4+) (WHO, 2011), na ausência de </w:t>
      </w:r>
      <w:r w:rsidR="00353E72" w:rsidRPr="007753B7">
        <w:rPr>
          <w:rFonts w:ascii="Times New Roman" w:eastAsia="Gungsuh" w:hAnsi="Times New Roman" w:cs="Times New Roman"/>
          <w:color w:val="000000"/>
          <w:sz w:val="24"/>
          <w:szCs w:val="24"/>
        </w:rPr>
        <w:t>proteinúria</w:t>
      </w:r>
      <w:r w:rsidRPr="007753B7">
        <w:rPr>
          <w:rFonts w:ascii="Times New Roman" w:eastAsia="Gungsuh" w:hAnsi="Times New Roman" w:cs="Times New Roman"/>
          <w:color w:val="000000"/>
          <w:sz w:val="24"/>
          <w:szCs w:val="24"/>
        </w:rPr>
        <w:t xml:space="preserve"> a mesma era feita pela equipe da pesquisa através de fita reativa (tira urinária) (BRASIL, 2012). </w:t>
      </w:r>
    </w:p>
    <w:p w14:paraId="310D8E82" w14:textId="77777777" w:rsidR="00A00799" w:rsidRPr="007753B7" w:rsidRDefault="00792F5E" w:rsidP="00F233E1">
      <w:pPr>
        <w:spacing w:after="0" w:line="360" w:lineRule="auto"/>
        <w:ind w:leftChars="150" w:left="330" w:firstLine="709"/>
        <w:jc w:val="both"/>
        <w:rPr>
          <w:rFonts w:ascii="Times New Roman" w:eastAsia="Times New Roman" w:hAnsi="Times New Roman" w:cs="Times New Roman"/>
          <w:sz w:val="24"/>
          <w:szCs w:val="24"/>
          <w:vertAlign w:val="superscript"/>
        </w:rPr>
      </w:pPr>
      <w:r w:rsidRPr="007753B7">
        <w:rPr>
          <w:rFonts w:ascii="Times New Roman" w:eastAsia="Gungsuh" w:hAnsi="Times New Roman" w:cs="Times New Roman"/>
          <w:sz w:val="24"/>
          <w:szCs w:val="24"/>
        </w:rPr>
        <w:t>Após a realização da triagem foram aplicados questionários padronizados, incluindo dados maternos e neonatais. Ainda, foi verificado através de exames bioquímicos (em jejum médio de 8 horas), os níveis séricos de cálcio (8,5 – 10,5 mg/</w:t>
      </w:r>
      <w:proofErr w:type="spellStart"/>
      <w:r w:rsidRPr="007753B7">
        <w:rPr>
          <w:rFonts w:ascii="Times New Roman" w:eastAsia="Gungsuh" w:hAnsi="Times New Roman" w:cs="Times New Roman"/>
          <w:sz w:val="24"/>
          <w:szCs w:val="24"/>
        </w:rPr>
        <w:t>dL</w:t>
      </w:r>
      <w:proofErr w:type="spellEnd"/>
      <w:r w:rsidRPr="007753B7">
        <w:rPr>
          <w:rFonts w:ascii="Times New Roman" w:eastAsia="Gungsuh" w:hAnsi="Times New Roman" w:cs="Times New Roman"/>
          <w:sz w:val="24"/>
          <w:szCs w:val="24"/>
        </w:rPr>
        <w:t xml:space="preserve">) e Proteína </w:t>
      </w:r>
      <w:proofErr w:type="spellStart"/>
      <w:r w:rsidRPr="007753B7">
        <w:rPr>
          <w:rFonts w:ascii="Times New Roman" w:eastAsia="Gungsuh" w:hAnsi="Times New Roman" w:cs="Times New Roman"/>
          <w:sz w:val="24"/>
          <w:szCs w:val="24"/>
        </w:rPr>
        <w:t>c-reativa</w:t>
      </w:r>
      <w:proofErr w:type="spellEnd"/>
      <w:r w:rsidRPr="007753B7">
        <w:rPr>
          <w:rFonts w:ascii="Times New Roman" w:eastAsia="Gungsuh" w:hAnsi="Times New Roman" w:cs="Times New Roman"/>
          <w:sz w:val="24"/>
          <w:szCs w:val="24"/>
        </w:rPr>
        <w:t xml:space="preserve"> (PCR) (≤ 6mg/</w:t>
      </w:r>
      <w:proofErr w:type="spellStart"/>
      <w:r w:rsidRPr="007753B7">
        <w:rPr>
          <w:rFonts w:ascii="Times New Roman" w:eastAsia="Gungsuh" w:hAnsi="Times New Roman" w:cs="Times New Roman"/>
          <w:sz w:val="24"/>
          <w:szCs w:val="24"/>
        </w:rPr>
        <w:t>dL</w:t>
      </w:r>
      <w:proofErr w:type="spellEnd"/>
      <w:r w:rsidRPr="007753B7">
        <w:rPr>
          <w:rFonts w:ascii="Times New Roman" w:eastAsia="Gungsuh" w:hAnsi="Times New Roman" w:cs="Times New Roman"/>
          <w:sz w:val="24"/>
          <w:szCs w:val="24"/>
        </w:rPr>
        <w:t xml:space="preserve">). Quanto os desfechos neonatais de interesse, foram avaliados: a Idade gestacional e peso ao nascer, a partir dos critérios propostos por </w:t>
      </w:r>
      <w:r w:rsidRPr="007753B7">
        <w:rPr>
          <w:rFonts w:ascii="Times New Roman" w:eastAsia="Times New Roman" w:hAnsi="Times New Roman" w:cs="Times New Roman"/>
          <w:sz w:val="24"/>
          <w:szCs w:val="24"/>
          <w:highlight w:val="white"/>
        </w:rPr>
        <w:t>Battaglia e </w:t>
      </w:r>
      <w:proofErr w:type="spellStart"/>
      <w:r w:rsidRPr="007753B7">
        <w:rPr>
          <w:rFonts w:ascii="Times New Roman" w:eastAsia="Times New Roman" w:hAnsi="Times New Roman" w:cs="Times New Roman"/>
          <w:sz w:val="24"/>
          <w:szCs w:val="24"/>
          <w:highlight w:val="white"/>
        </w:rPr>
        <w:t>Lubchenco</w:t>
      </w:r>
      <w:proofErr w:type="spellEnd"/>
      <w:r w:rsidRPr="007753B7">
        <w:rPr>
          <w:rFonts w:ascii="Times New Roman" w:eastAsia="Times New Roman" w:hAnsi="Times New Roman" w:cs="Times New Roman"/>
          <w:sz w:val="24"/>
          <w:szCs w:val="24"/>
          <w:highlight w:val="white"/>
          <w:vertAlign w:val="superscript"/>
        </w:rPr>
        <w:t xml:space="preserve"> </w:t>
      </w:r>
      <w:r w:rsidRPr="007753B7">
        <w:rPr>
          <w:rFonts w:ascii="Times New Roman" w:eastAsia="Times New Roman" w:hAnsi="Times New Roman" w:cs="Times New Roman"/>
          <w:sz w:val="24"/>
          <w:szCs w:val="24"/>
          <w:highlight w:val="white"/>
        </w:rPr>
        <w:t>(1967).</w:t>
      </w:r>
      <w:r w:rsidRPr="007753B7">
        <w:rPr>
          <w:rFonts w:ascii="Times New Roman" w:eastAsia="Times New Roman" w:hAnsi="Times New Roman" w:cs="Times New Roman"/>
          <w:sz w:val="24"/>
          <w:szCs w:val="24"/>
        </w:rPr>
        <w:t xml:space="preserve"> </w:t>
      </w:r>
    </w:p>
    <w:p w14:paraId="7020E239" w14:textId="77777777" w:rsidR="00A00799" w:rsidRPr="007753B7" w:rsidRDefault="00792F5E" w:rsidP="00F233E1">
      <w:pPr>
        <w:spacing w:after="0" w:line="360" w:lineRule="auto"/>
        <w:ind w:leftChars="150" w:left="330" w:firstLine="709"/>
        <w:jc w:val="both"/>
        <w:rPr>
          <w:rFonts w:ascii="Times New Roman" w:eastAsia="Times New Roman" w:hAnsi="Times New Roman" w:cs="Times New Roman"/>
          <w:sz w:val="24"/>
          <w:szCs w:val="24"/>
        </w:rPr>
      </w:pPr>
      <w:r w:rsidRPr="007753B7">
        <w:rPr>
          <w:rFonts w:ascii="Times New Roman" w:eastAsia="Gungsuh" w:hAnsi="Times New Roman" w:cs="Times New Roman"/>
          <w:sz w:val="24"/>
          <w:szCs w:val="24"/>
        </w:rPr>
        <w:t xml:space="preserve">Os dados foram submetidos à análise estatística de correlação de </w:t>
      </w:r>
      <w:proofErr w:type="spellStart"/>
      <w:r w:rsidRPr="007753B7">
        <w:rPr>
          <w:rFonts w:ascii="Times New Roman" w:eastAsia="Gungsuh" w:hAnsi="Times New Roman" w:cs="Times New Roman"/>
          <w:sz w:val="24"/>
          <w:szCs w:val="24"/>
        </w:rPr>
        <w:t>Spearman</w:t>
      </w:r>
      <w:proofErr w:type="spellEnd"/>
      <w:r w:rsidRPr="007753B7">
        <w:rPr>
          <w:rFonts w:ascii="Times New Roman" w:eastAsia="Gungsuh" w:hAnsi="Times New Roman" w:cs="Times New Roman"/>
          <w:sz w:val="24"/>
          <w:szCs w:val="24"/>
        </w:rPr>
        <w:t xml:space="preserve">, com coeficiente de correlação (r) classificado como fraco (0,0 ≥ r ≤ 0,39), moderado (0,40 ≥ r ≤ 0,69) ou forte (0,70 ≥ r ≤ 1,0), com auxílio do programa estatístico </w:t>
      </w:r>
      <w:r w:rsidRPr="007753B7">
        <w:rPr>
          <w:rFonts w:ascii="Times New Roman" w:eastAsia="Times New Roman" w:hAnsi="Times New Roman" w:cs="Times New Roman"/>
          <w:i/>
          <w:sz w:val="24"/>
          <w:szCs w:val="24"/>
          <w:highlight w:val="white"/>
        </w:rPr>
        <w:t>SPSS</w:t>
      </w:r>
      <w:r w:rsidRPr="007753B7">
        <w:rPr>
          <w:rFonts w:ascii="Times New Roman" w:eastAsia="Times New Roman" w:hAnsi="Times New Roman" w:cs="Times New Roman"/>
          <w:i/>
          <w:sz w:val="24"/>
          <w:szCs w:val="24"/>
          <w:highlight w:val="white"/>
          <w:vertAlign w:val="superscript"/>
        </w:rPr>
        <w:t>®</w:t>
      </w:r>
      <w:r w:rsidRPr="007753B7">
        <w:rPr>
          <w:rFonts w:ascii="Times New Roman" w:eastAsia="Times New Roman" w:hAnsi="Times New Roman" w:cs="Times New Roman"/>
          <w:sz w:val="24"/>
          <w:szCs w:val="24"/>
          <w:highlight w:val="white"/>
        </w:rPr>
        <w:t> </w:t>
      </w:r>
      <w:r w:rsidRPr="007753B7">
        <w:rPr>
          <w:rFonts w:ascii="Times New Roman" w:eastAsia="Times New Roman" w:hAnsi="Times New Roman" w:cs="Times New Roman"/>
          <w:sz w:val="24"/>
          <w:szCs w:val="24"/>
        </w:rPr>
        <w:t>(</w:t>
      </w:r>
      <w:proofErr w:type="spellStart"/>
      <w:r w:rsidRPr="007753B7">
        <w:rPr>
          <w:rFonts w:ascii="Times New Roman" w:eastAsia="Times New Roman" w:hAnsi="Times New Roman" w:cs="Times New Roman"/>
          <w:i/>
          <w:sz w:val="24"/>
          <w:szCs w:val="24"/>
        </w:rPr>
        <w:t>Statistical</w:t>
      </w:r>
      <w:proofErr w:type="spellEnd"/>
      <w:r w:rsidRPr="007753B7">
        <w:rPr>
          <w:rFonts w:ascii="Times New Roman" w:eastAsia="Times New Roman" w:hAnsi="Times New Roman" w:cs="Times New Roman"/>
          <w:i/>
          <w:sz w:val="24"/>
          <w:szCs w:val="24"/>
        </w:rPr>
        <w:t xml:space="preserve"> </w:t>
      </w:r>
      <w:proofErr w:type="spellStart"/>
      <w:r w:rsidRPr="007753B7">
        <w:rPr>
          <w:rFonts w:ascii="Times New Roman" w:eastAsia="Times New Roman" w:hAnsi="Times New Roman" w:cs="Times New Roman"/>
          <w:i/>
          <w:sz w:val="24"/>
          <w:szCs w:val="24"/>
        </w:rPr>
        <w:lastRenderedPageBreak/>
        <w:t>Package</w:t>
      </w:r>
      <w:proofErr w:type="spellEnd"/>
      <w:r w:rsidRPr="007753B7">
        <w:rPr>
          <w:rFonts w:ascii="Times New Roman" w:eastAsia="Times New Roman" w:hAnsi="Times New Roman" w:cs="Times New Roman"/>
          <w:i/>
          <w:sz w:val="24"/>
          <w:szCs w:val="24"/>
        </w:rPr>
        <w:t xml:space="preserve"> for Social Science</w:t>
      </w:r>
      <w:r w:rsidRPr="007753B7">
        <w:rPr>
          <w:rFonts w:ascii="Times New Roman" w:eastAsia="Times New Roman" w:hAnsi="Times New Roman" w:cs="Times New Roman"/>
          <w:sz w:val="24"/>
          <w:szCs w:val="24"/>
        </w:rPr>
        <w:t xml:space="preserve">) </w:t>
      </w:r>
      <w:proofErr w:type="spellStart"/>
      <w:r w:rsidRPr="007753B7">
        <w:rPr>
          <w:rFonts w:ascii="Times New Roman" w:eastAsia="Times New Roman" w:hAnsi="Times New Roman" w:cs="Times New Roman"/>
          <w:sz w:val="24"/>
          <w:szCs w:val="24"/>
        </w:rPr>
        <w:t>version</w:t>
      </w:r>
      <w:proofErr w:type="spellEnd"/>
      <w:r w:rsidRPr="007753B7">
        <w:rPr>
          <w:rFonts w:ascii="Times New Roman" w:eastAsia="Times New Roman" w:hAnsi="Times New Roman" w:cs="Times New Roman"/>
          <w:sz w:val="24"/>
          <w:szCs w:val="24"/>
        </w:rPr>
        <w:t xml:space="preserve"> 23.0, considerando significância estatística com p &lt; 0,05.</w:t>
      </w:r>
    </w:p>
    <w:p w14:paraId="38938C1C" w14:textId="77777777" w:rsidR="00A00799" w:rsidRDefault="00792F5E" w:rsidP="00F233E1">
      <w:pPr>
        <w:spacing w:before="28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E DISCUSSÃO</w:t>
      </w:r>
    </w:p>
    <w:p w14:paraId="0F72DB20" w14:textId="77777777" w:rsidR="00A00799" w:rsidRDefault="00792F5E" w:rsidP="00F233E1">
      <w:pPr>
        <w:pBdr>
          <w:top w:val="nil"/>
          <w:left w:val="nil"/>
          <w:bottom w:val="nil"/>
          <w:right w:val="nil"/>
          <w:between w:val="nil"/>
        </w:pBdr>
        <w:spacing w:after="0" w:line="360" w:lineRule="auto"/>
        <w:ind w:leftChars="150" w:left="33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Foram avaliadas 267 gestantes com PE, possuindo média de idade de 25,60 ± 7,02 anos, sendo 13,5% adolescentes e 23,2% em idade avançada (&gt; 35 anos). Destas, 45,6% residiam no interior; 13,0% se autodeclararam negras; 34,9% afirmaram possuir ensino fundamental incompleto; 22,6% eram solteiras; 28,0% apresentavam renda familiar mensal menor que um salário mínimo e 20,5% referiram trabalhar fora do lar. </w:t>
      </w:r>
    </w:p>
    <w:p w14:paraId="444D2301" w14:textId="77777777" w:rsidR="00A00799" w:rsidRDefault="00792F5E" w:rsidP="00F233E1">
      <w:pPr>
        <w:pBdr>
          <w:top w:val="nil"/>
          <w:left w:val="nil"/>
          <w:bottom w:val="nil"/>
          <w:right w:val="nil"/>
          <w:between w:val="nil"/>
        </w:pBdr>
        <w:spacing w:after="0" w:line="360" w:lineRule="auto"/>
        <w:ind w:leftChars="150" w:left="33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Quanto os níveis séricos de cálcio, foi constatado média de 5,03±0,52 mg/</w:t>
      </w:r>
      <w:proofErr w:type="spellStart"/>
      <w:r>
        <w:rPr>
          <w:rFonts w:ascii="Times New Roman" w:eastAsia="Times New Roman" w:hAnsi="Times New Roman" w:cs="Times New Roman"/>
          <w:color w:val="000000"/>
          <w:sz w:val="24"/>
          <w:szCs w:val="24"/>
        </w:rPr>
        <w:t>dL</w:t>
      </w:r>
      <w:proofErr w:type="spellEnd"/>
      <w:r>
        <w:rPr>
          <w:rFonts w:ascii="Times New Roman" w:eastAsia="Times New Roman" w:hAnsi="Times New Roman" w:cs="Times New Roman"/>
          <w:color w:val="000000"/>
          <w:sz w:val="24"/>
          <w:szCs w:val="24"/>
        </w:rPr>
        <w:t xml:space="preserve"> (abaixo do referencial de normalidade, refletindo hipocalcemia em 64,04% das gestações). Em relação a PCR, foi identificada média 51,11±52,51 mg/</w:t>
      </w:r>
      <w:proofErr w:type="spellStart"/>
      <w:r>
        <w:rPr>
          <w:rFonts w:ascii="Times New Roman" w:eastAsia="Times New Roman" w:hAnsi="Times New Roman" w:cs="Times New Roman"/>
          <w:color w:val="000000"/>
          <w:sz w:val="24"/>
          <w:szCs w:val="24"/>
        </w:rPr>
        <w:t>dL</w:t>
      </w:r>
      <w:proofErr w:type="spellEnd"/>
      <w:r>
        <w:rPr>
          <w:rFonts w:ascii="Times New Roman" w:eastAsia="Times New Roman" w:hAnsi="Times New Roman" w:cs="Times New Roman"/>
          <w:color w:val="000000"/>
          <w:sz w:val="24"/>
          <w:szCs w:val="24"/>
        </w:rPr>
        <w:t xml:space="preserve"> (acima do referencial de normalidade), destas 59,7% das progenitoras apresentaram quantificações elevadas. Sobre os neonatos, foi observada idade gestacional média de 37,51±2,89 semanas e peso ao nascer médio de 2871,4±951,2 gramas.</w:t>
      </w:r>
    </w:p>
    <w:p w14:paraId="5E44C909" w14:textId="77777777" w:rsidR="00A00799" w:rsidRDefault="00792F5E" w:rsidP="00F233E1">
      <w:pPr>
        <w:pBdr>
          <w:top w:val="nil"/>
          <w:left w:val="nil"/>
          <w:bottom w:val="nil"/>
          <w:right w:val="nil"/>
          <w:between w:val="nil"/>
        </w:pBdr>
        <w:spacing w:after="0" w:line="360" w:lineRule="auto"/>
        <w:ind w:leftChars="150" w:left="33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Foi identificada correlação negativa entre as concentrações séricas de cálcio e PCR (r=-0,165; p=0,039), ou seja, quanto menores os níveis de cálcio, maiores de PCR, e correlação positiva entre idade gestacional (r =0,153; p=0,048) e peso ao nascer (r=0,158; p=0,045), isto é, quanto menores os níveis séricos de cálcio entre as gestantes com PE, menor a idade gestacional e o peso ao nascimento de seus pares neonatos. </w:t>
      </w:r>
    </w:p>
    <w:p w14:paraId="0FE138C9" w14:textId="77777777" w:rsidR="00A00799" w:rsidRDefault="00792F5E" w:rsidP="00F233E1">
      <w:pPr>
        <w:pBdr>
          <w:top w:val="nil"/>
          <w:left w:val="nil"/>
          <w:bottom w:val="nil"/>
          <w:right w:val="nil"/>
          <w:between w:val="nil"/>
        </w:pBdr>
        <w:spacing w:after="0" w:line="360" w:lineRule="auto"/>
        <w:ind w:leftChars="150" w:left="33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Durante o período gestacional, pode haver uma diminuição nas concentrações séricas de cálcio no soro materno, possivelmente devido adaptações fisiológicas normais da gestação, como por exemplo, através da transferência vertical da progenitora para o feto, </w:t>
      </w:r>
      <w:proofErr w:type="spellStart"/>
      <w:r>
        <w:rPr>
          <w:rFonts w:ascii="Times New Roman" w:eastAsia="Times New Roman" w:hAnsi="Times New Roman" w:cs="Times New Roman"/>
          <w:color w:val="000000"/>
          <w:sz w:val="24"/>
          <w:szCs w:val="24"/>
        </w:rPr>
        <w:t>hemodiluição</w:t>
      </w:r>
      <w:proofErr w:type="spellEnd"/>
      <w:r>
        <w:rPr>
          <w:rFonts w:ascii="Times New Roman" w:eastAsia="Times New Roman" w:hAnsi="Times New Roman" w:cs="Times New Roman"/>
          <w:color w:val="000000"/>
          <w:sz w:val="24"/>
          <w:szCs w:val="24"/>
        </w:rPr>
        <w:t xml:space="preserve">, aumento da excreção urinária, ou até mesmo por condições socioeconômicas desfavoráveis, que reflete na baixa ingestão de alimentos fontes de cálcio (JAIN et al., 2009). Entretanto, a hipocalcemia pode contribuir com a incidência e/ou agravamento da PE, devido sua influência em processos que podem direcionar ao aumento da secreção do hormônio da paratireoide (PTH), ou na síntese reduzida de óxido nítrico (ON) e </w:t>
      </w:r>
      <w:proofErr w:type="spellStart"/>
      <w:r>
        <w:rPr>
          <w:rFonts w:ascii="Times New Roman" w:eastAsia="Times New Roman" w:hAnsi="Times New Roman" w:cs="Times New Roman"/>
          <w:color w:val="000000"/>
          <w:sz w:val="24"/>
          <w:szCs w:val="24"/>
        </w:rPr>
        <w:t>prostaciclinas</w:t>
      </w:r>
      <w:proofErr w:type="spellEnd"/>
      <w:r>
        <w:rPr>
          <w:rFonts w:ascii="Times New Roman" w:eastAsia="Times New Roman" w:hAnsi="Times New Roman" w:cs="Times New Roman"/>
          <w:color w:val="000000"/>
          <w:sz w:val="24"/>
          <w:szCs w:val="24"/>
        </w:rPr>
        <w:t xml:space="preserve">, pelo endotélio vascular, conduzindo a vasoconstrição, e consequentemente a hipertensão arterial subjacente (FRISHMAN et al., 2006; ADAMOVA, OZKAN, KHALIL, 2009; SILVA </w:t>
      </w:r>
      <w:r>
        <w:rPr>
          <w:rFonts w:ascii="Times New Roman" w:eastAsia="Times New Roman" w:hAnsi="Times New Roman" w:cs="Times New Roman"/>
          <w:i/>
          <w:color w:val="000000"/>
          <w:sz w:val="24"/>
          <w:szCs w:val="24"/>
        </w:rPr>
        <w:t>et</w:t>
      </w:r>
      <w:r>
        <w:rPr>
          <w:rFonts w:ascii="Times New Roman" w:eastAsia="Times New Roman" w:hAnsi="Times New Roman" w:cs="Times New Roman"/>
          <w:color w:val="000000"/>
          <w:sz w:val="24"/>
          <w:szCs w:val="24"/>
        </w:rPr>
        <w:t xml:space="preserve"> al., 2011). </w:t>
      </w:r>
    </w:p>
    <w:p w14:paraId="4E4C3AAE" w14:textId="77777777" w:rsidR="00A00799" w:rsidRDefault="00792F5E" w:rsidP="00F233E1">
      <w:pPr>
        <w:pBdr>
          <w:top w:val="nil"/>
          <w:left w:val="nil"/>
          <w:bottom w:val="nil"/>
          <w:right w:val="nil"/>
          <w:between w:val="nil"/>
        </w:pBdr>
        <w:spacing w:after="0" w:line="360" w:lineRule="auto"/>
        <w:ind w:leftChars="150" w:left="33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Entretanto, há escassez da literatura científica sobre a relação da hipocalcemia com biomarcadores inflamatórios, como a PCR, que clinicamente, quando em concentrações </w:t>
      </w:r>
      <w:r>
        <w:rPr>
          <w:rFonts w:ascii="Times New Roman" w:eastAsia="Times New Roman" w:hAnsi="Times New Roman" w:cs="Times New Roman"/>
          <w:color w:val="000000"/>
          <w:sz w:val="24"/>
          <w:szCs w:val="24"/>
        </w:rPr>
        <w:lastRenderedPageBreak/>
        <w:t>elevadas pode indicar inflamação subjacente, por ser uma proteína de fase aguda positiva, contudo, estudos apontam que a PE pode aumentar as concentrações de fatores inflamatórios e de estresse oxidativo gradativamente, a depender de sua gravidade (AKIIBINU et al., 2013; SAMINI et al., 2016), em razão a isto, pode-se considerar que o resultado do presente estudo, parece apontar que a hipocalcemia está associada a gravidade da PE, dado que a gravidade pode repercutir no aumento de processos inflamatórios, como aumento da PCR, através de mecanismos diretos ou indiretos.</w:t>
      </w:r>
    </w:p>
    <w:p w14:paraId="5D73FFDF" w14:textId="77777777" w:rsidR="00A00799" w:rsidRPr="007753B7" w:rsidRDefault="00792F5E" w:rsidP="00F233E1">
      <w:pPr>
        <w:pBdr>
          <w:top w:val="nil"/>
          <w:left w:val="nil"/>
          <w:bottom w:val="nil"/>
          <w:right w:val="nil"/>
          <w:between w:val="nil"/>
        </w:pBdr>
        <w:spacing w:after="0" w:line="360" w:lineRule="auto"/>
        <w:ind w:leftChars="150" w:left="330" w:firstLine="709"/>
        <w:jc w:val="both"/>
        <w:rPr>
          <w:rFonts w:ascii="Times New Roman" w:eastAsia="Times New Roman" w:hAnsi="Times New Roman" w:cs="Times New Roman"/>
          <w:sz w:val="24"/>
          <w:szCs w:val="24"/>
        </w:rPr>
      </w:pPr>
      <w:r w:rsidRPr="007753B7">
        <w:rPr>
          <w:rFonts w:ascii="Times New Roman" w:eastAsia="Times New Roman" w:hAnsi="Times New Roman" w:cs="Times New Roman"/>
          <w:sz w:val="24"/>
          <w:szCs w:val="24"/>
        </w:rPr>
        <w:t>Além das condições intrínsecas à gravidade da doença, a hipocalcemia também foi associada a menor idade gestacional e menor peso ao nascer, fato que pode ser justificado por um dos mecanismos fisiopatológicos que relaciona a hipocalcemia à PE. A influência da hipocalcemia na liberação de PTH, que aumenta a contratilidade da musculatura lisa vascular, pode levar ao aumento das contrações uterinas, com potencial atuação no trabalho de parto precoce, que consequentemente direciona ao nascimento antecipado de neonatos com organismos imaturos, manifestando repercussão no peso e idade ao nascer (SILVA et al., 2011).</w:t>
      </w:r>
    </w:p>
    <w:p w14:paraId="462C05F9" w14:textId="6EE4449B" w:rsidR="00A00799" w:rsidRDefault="00792F5E" w:rsidP="00F233E1">
      <w:pPr>
        <w:spacing w:after="0" w:line="360" w:lineRule="auto"/>
        <w:ind w:leftChars="150" w:left="330"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Por este motivo, que a suplementação de cálcio já faz parte do manejo de recomendação para gestantes com PE, a partir da vigésima semana, com doses de 1,5–2,0 g por dia, principalmente para comunidades com baixa ingestão de alimentos fontes de cálcio (BROW et al., 2018). Contudo, mais estudos são necessário</w:t>
      </w:r>
      <w:r w:rsidR="007753B7">
        <w:rPr>
          <w:rFonts w:ascii="Times New Roman" w:eastAsia="Times New Roman" w:hAnsi="Times New Roman" w:cs="Times New Roman"/>
          <w:color w:val="000000"/>
          <w:sz w:val="24"/>
          <w:szCs w:val="24"/>
          <w:highlight w:val="white"/>
        </w:rPr>
        <w:t>s</w:t>
      </w:r>
      <w:r>
        <w:rPr>
          <w:rFonts w:ascii="Times New Roman" w:eastAsia="Times New Roman" w:hAnsi="Times New Roman" w:cs="Times New Roman"/>
          <w:color w:val="000000"/>
          <w:sz w:val="24"/>
          <w:szCs w:val="24"/>
          <w:highlight w:val="white"/>
        </w:rPr>
        <w:t xml:space="preserve">, uma vez que se trata de um distúrbio </w:t>
      </w:r>
      <w:proofErr w:type="spellStart"/>
      <w:r>
        <w:rPr>
          <w:rFonts w:ascii="Times New Roman" w:eastAsia="Times New Roman" w:hAnsi="Times New Roman" w:cs="Times New Roman"/>
          <w:color w:val="000000"/>
          <w:sz w:val="24"/>
          <w:szCs w:val="24"/>
          <w:highlight w:val="white"/>
        </w:rPr>
        <w:t>multissistêmico</w:t>
      </w:r>
      <w:proofErr w:type="spellEnd"/>
      <w:r>
        <w:rPr>
          <w:rFonts w:ascii="Times New Roman" w:eastAsia="Times New Roman" w:hAnsi="Times New Roman" w:cs="Times New Roman"/>
          <w:color w:val="000000"/>
          <w:sz w:val="24"/>
          <w:szCs w:val="24"/>
          <w:highlight w:val="white"/>
        </w:rPr>
        <w:t xml:space="preserve">, de </w:t>
      </w:r>
      <w:proofErr w:type="spellStart"/>
      <w:r>
        <w:rPr>
          <w:rFonts w:ascii="Times New Roman" w:eastAsia="Times New Roman" w:hAnsi="Times New Roman" w:cs="Times New Roman"/>
          <w:color w:val="000000"/>
          <w:sz w:val="24"/>
          <w:szCs w:val="24"/>
          <w:highlight w:val="white"/>
        </w:rPr>
        <w:t>etiopatogenia</w:t>
      </w:r>
      <w:proofErr w:type="spellEnd"/>
      <w:r>
        <w:rPr>
          <w:rFonts w:ascii="Times New Roman" w:eastAsia="Times New Roman" w:hAnsi="Times New Roman" w:cs="Times New Roman"/>
          <w:color w:val="000000"/>
          <w:sz w:val="24"/>
          <w:szCs w:val="24"/>
          <w:highlight w:val="white"/>
        </w:rPr>
        <w:t xml:space="preserve"> desconhecida, além de que poucos estudos associam os níveis séricos de cálcio com outros biomarcadores e variáveis em gestações com PE. </w:t>
      </w:r>
      <w:r>
        <w:rPr>
          <w:rFonts w:ascii="Times New Roman" w:eastAsia="Times New Roman" w:hAnsi="Times New Roman" w:cs="Times New Roman"/>
          <w:sz w:val="24"/>
          <w:szCs w:val="24"/>
        </w:rPr>
        <w:t xml:space="preserve">As limitações deste estudo são as comuns em pesquisas científicas e incluem a necessidade de estudos longitudinais, para analisar no soro materno as alterações nos níveis séricos de cálcio durante o seguimento da gestação, a fim de identificar em qual período houve alteração considerável da </w:t>
      </w:r>
      <w:proofErr w:type="spellStart"/>
      <w:r>
        <w:rPr>
          <w:rFonts w:ascii="Times New Roman" w:eastAsia="Times New Roman" w:hAnsi="Times New Roman" w:cs="Times New Roman"/>
          <w:sz w:val="24"/>
          <w:szCs w:val="24"/>
        </w:rPr>
        <w:t>calcemia</w:t>
      </w:r>
      <w:proofErr w:type="spellEnd"/>
      <w:r>
        <w:rPr>
          <w:rFonts w:ascii="Times New Roman" w:eastAsia="Times New Roman" w:hAnsi="Times New Roman" w:cs="Times New Roman"/>
          <w:sz w:val="24"/>
          <w:szCs w:val="24"/>
        </w:rPr>
        <w:t xml:space="preserve">, e sua possível relação com a gravidade da doença e os desfechos neonatais futuros.  </w:t>
      </w:r>
    </w:p>
    <w:p w14:paraId="21EDF3E1" w14:textId="77777777" w:rsidR="00A00799" w:rsidRDefault="00A0079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highlight w:val="white"/>
        </w:rPr>
      </w:pPr>
    </w:p>
    <w:p w14:paraId="40B1D116" w14:textId="77777777" w:rsidR="00A00799" w:rsidRDefault="00A0079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highlight w:val="white"/>
        </w:rPr>
      </w:pPr>
    </w:p>
    <w:tbl>
      <w:tblPr>
        <w:tblStyle w:val="a"/>
        <w:tblW w:w="1121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556"/>
        <w:gridCol w:w="5656"/>
      </w:tblGrid>
      <w:tr w:rsidR="00A00799" w14:paraId="3306C237" w14:textId="77777777">
        <w:trPr>
          <w:jc w:val="center"/>
        </w:trPr>
        <w:tc>
          <w:tcPr>
            <w:tcW w:w="5556" w:type="dxa"/>
          </w:tcPr>
          <w:p w14:paraId="00AF0460" w14:textId="77777777" w:rsidR="00A00799" w:rsidRDefault="00792F5E">
            <w:r>
              <w:rPr>
                <w:noProof/>
              </w:rPr>
              <w:lastRenderedPageBreak/>
              <w:drawing>
                <wp:inline distT="0" distB="0" distL="0" distR="0" wp14:anchorId="0D63CFB1" wp14:editId="49237A43">
                  <wp:extent cx="3430604" cy="2506731"/>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430604" cy="250673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11648AF" wp14:editId="7EEF5470">
                      <wp:simplePos x="0" y="0"/>
                      <wp:positionH relativeFrom="column">
                        <wp:posOffset>1955800</wp:posOffset>
                      </wp:positionH>
                      <wp:positionV relativeFrom="paragraph">
                        <wp:posOffset>127000</wp:posOffset>
                      </wp:positionV>
                      <wp:extent cx="1296908" cy="421508"/>
                      <wp:effectExtent l="0" t="0" r="0" b="0"/>
                      <wp:wrapNone/>
                      <wp:docPr id="3" name="Retângulo 3"/>
                      <wp:cNvGraphicFramePr/>
                      <a:graphic xmlns:a="http://schemas.openxmlformats.org/drawingml/2006/main">
                        <a:graphicData uri="http://schemas.microsoft.com/office/word/2010/wordprocessingShape">
                          <wps:wsp>
                            <wps:cNvSpPr/>
                            <wps:spPr>
                              <a:xfrm>
                                <a:off x="4702309" y="3574009"/>
                                <a:ext cx="1287383" cy="411983"/>
                              </a:xfrm>
                              <a:prstGeom prst="rect">
                                <a:avLst/>
                              </a:prstGeom>
                              <a:noFill/>
                              <a:ln>
                                <a:noFill/>
                              </a:ln>
                            </wps:spPr>
                            <wps:txbx>
                              <w:txbxContent>
                                <w:p w14:paraId="0146F00B" w14:textId="77777777" w:rsidR="00A00799" w:rsidRDefault="00792F5E">
                                  <w:pPr>
                                    <w:spacing w:line="275" w:lineRule="auto"/>
                                    <w:textDirection w:val="btLr"/>
                                  </w:pPr>
                                  <w:r>
                                    <w:rPr>
                                      <w:rFonts w:ascii="Times New Roman" w:eastAsia="Times New Roman" w:hAnsi="Times New Roman" w:cs="Times New Roman"/>
                                      <w:color w:val="000000"/>
                                      <w:sz w:val="20"/>
                                    </w:rPr>
                                    <w:t>r = - 0,165; p = 0,039</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1648AF" id="Retângulo 3" o:spid="_x0000_s1026" style="position:absolute;margin-left:154pt;margin-top:10pt;width:102.1pt;height:3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" filled="f" stroked="f">
                      <v:textbox inset="2.53958mm,1.2694mm,2.53958mm,1.2694mm">
                        <w:txbxContent>
                          <w:p w14:paraId="0146F00B" w14:textId="77777777" w:rsidR="00A00799" w:rsidRDefault="00792F5E">
                            <w:pPr>
                              <w:spacing w:line="275" w:lineRule="auto"/>
                              <w:textDirection w:val="btLr"/>
                            </w:pPr>
                            <w:r>
                              <w:rPr>
                                <w:rFonts w:ascii="Times New Roman" w:eastAsia="Times New Roman" w:hAnsi="Times New Roman" w:cs="Times New Roman"/>
                                <w:color w:val="000000"/>
                                <w:sz w:val="20"/>
                              </w:rPr>
                              <w:t>r = - 0,165; p = 0,039</w:t>
                            </w:r>
                          </w:p>
                        </w:txbxContent>
                      </v:textbox>
                    </v:rect>
                  </w:pict>
                </mc:Fallback>
              </mc:AlternateContent>
            </w:r>
          </w:p>
        </w:tc>
        <w:tc>
          <w:tcPr>
            <w:tcW w:w="5656" w:type="dxa"/>
          </w:tcPr>
          <w:p w14:paraId="55478002" w14:textId="77777777" w:rsidR="00A00799" w:rsidRDefault="00792F5E">
            <w:r>
              <w:rPr>
                <w:noProof/>
              </w:rPr>
              <w:drawing>
                <wp:inline distT="0" distB="0" distL="0" distR="0" wp14:anchorId="3E87380F" wp14:editId="647E7C87">
                  <wp:extent cx="3367479" cy="2460609"/>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367479" cy="2460609"/>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637C2227" wp14:editId="2C372D94">
                      <wp:simplePos x="0" y="0"/>
                      <wp:positionH relativeFrom="column">
                        <wp:posOffset>1930400</wp:posOffset>
                      </wp:positionH>
                      <wp:positionV relativeFrom="paragraph">
                        <wp:posOffset>127000</wp:posOffset>
                      </wp:positionV>
                      <wp:extent cx="1296670" cy="256728"/>
                      <wp:effectExtent l="0" t="0" r="0" b="0"/>
                      <wp:wrapNone/>
                      <wp:docPr id="1" name="Retângulo 1"/>
                      <wp:cNvGraphicFramePr/>
                      <a:graphic xmlns:a="http://schemas.openxmlformats.org/drawingml/2006/main">
                        <a:graphicData uri="http://schemas.microsoft.com/office/word/2010/wordprocessingShape">
                          <wps:wsp>
                            <wps:cNvSpPr/>
                            <wps:spPr>
                              <a:xfrm>
                                <a:off x="4702428" y="3656399"/>
                                <a:ext cx="1287145" cy="247203"/>
                              </a:xfrm>
                              <a:prstGeom prst="rect">
                                <a:avLst/>
                              </a:prstGeom>
                              <a:noFill/>
                              <a:ln>
                                <a:noFill/>
                              </a:ln>
                            </wps:spPr>
                            <wps:txbx>
                              <w:txbxContent>
                                <w:p w14:paraId="7ECFCB40" w14:textId="77777777" w:rsidR="00A00799" w:rsidRDefault="00792F5E">
                                  <w:pPr>
                                    <w:spacing w:line="275" w:lineRule="auto"/>
                                    <w:textDirection w:val="btLr"/>
                                  </w:pPr>
                                  <w:r>
                                    <w:rPr>
                                      <w:rFonts w:ascii="Times New Roman" w:eastAsia="Times New Roman" w:hAnsi="Times New Roman" w:cs="Times New Roman"/>
                                      <w:color w:val="000000"/>
                                      <w:sz w:val="20"/>
                                    </w:rPr>
                                    <w:t>r = 0,153; p = 0,048</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7C2227" id="Retângulo 1" o:spid="_x0000_s1027" style="position:absolute;margin-left:152pt;margin-top:10pt;width:102.1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" filled="f" stroked="f">
                      <v:textbox inset="2.53958mm,1.2694mm,2.53958mm,1.2694mm">
                        <w:txbxContent>
                          <w:p w14:paraId="7ECFCB40" w14:textId="77777777" w:rsidR="00A00799" w:rsidRDefault="00792F5E">
                            <w:pPr>
                              <w:spacing w:line="275" w:lineRule="auto"/>
                              <w:textDirection w:val="btLr"/>
                            </w:pPr>
                            <w:r>
                              <w:rPr>
                                <w:rFonts w:ascii="Times New Roman" w:eastAsia="Times New Roman" w:hAnsi="Times New Roman" w:cs="Times New Roman"/>
                                <w:color w:val="000000"/>
                                <w:sz w:val="20"/>
                              </w:rPr>
                              <w:t>r = 0,153; p = 0,048</w:t>
                            </w:r>
                          </w:p>
                        </w:txbxContent>
                      </v:textbox>
                    </v:rect>
                  </w:pict>
                </mc:Fallback>
              </mc:AlternateContent>
            </w:r>
          </w:p>
        </w:tc>
      </w:tr>
      <w:tr w:rsidR="00A00799" w14:paraId="4607A886" w14:textId="77777777">
        <w:trPr>
          <w:jc w:val="center"/>
        </w:trPr>
        <w:tc>
          <w:tcPr>
            <w:tcW w:w="11212" w:type="dxa"/>
            <w:gridSpan w:val="2"/>
            <w:vAlign w:val="center"/>
          </w:tcPr>
          <w:p w14:paraId="25559618" w14:textId="14603031" w:rsidR="00A00799" w:rsidRDefault="00A00799">
            <w:pPr>
              <w:jc w:val="center"/>
            </w:pPr>
          </w:p>
          <w:p w14:paraId="5F6BCF96" w14:textId="77777777" w:rsidR="00A00799" w:rsidRDefault="00792F5E">
            <w:pPr>
              <w:jc w:val="center"/>
            </w:pPr>
            <w:r>
              <w:rPr>
                <w:noProof/>
              </w:rPr>
              <w:drawing>
                <wp:inline distT="0" distB="0" distL="0" distR="0" wp14:anchorId="77D4627A" wp14:editId="29D2CFA4">
                  <wp:extent cx="3468278" cy="2534262"/>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68278" cy="2534262"/>
                          </a:xfrm>
                          <a:prstGeom prst="rect">
                            <a:avLst/>
                          </a:prstGeom>
                          <a:ln/>
                        </pic:spPr>
                      </pic:pic>
                    </a:graphicData>
                  </a:graphic>
                </wp:inline>
              </w:drawing>
            </w:r>
            <w:r>
              <w:rPr>
                <w:noProof/>
              </w:rPr>
              <mc:AlternateContent>
                <mc:Choice Requires="wps">
                  <w:drawing>
                    <wp:anchor distT="0" distB="0" distL="114300" distR="114300" simplePos="0" relativeHeight="251661312" behindDoc="0" locked="0" layoutInCell="1" hidden="0" allowOverlap="1" wp14:anchorId="1774A105" wp14:editId="7051F981">
                      <wp:simplePos x="0" y="0"/>
                      <wp:positionH relativeFrom="column">
                        <wp:posOffset>3962400</wp:posOffset>
                      </wp:positionH>
                      <wp:positionV relativeFrom="paragraph">
                        <wp:posOffset>139700</wp:posOffset>
                      </wp:positionV>
                      <wp:extent cx="1296670" cy="320675"/>
                      <wp:effectExtent l="0" t="0" r="0" b="0"/>
                      <wp:wrapNone/>
                      <wp:docPr id="4" name="Retângulo 4"/>
                      <wp:cNvGraphicFramePr/>
                      <a:graphic xmlns:a="http://schemas.openxmlformats.org/drawingml/2006/main">
                        <a:graphicData uri="http://schemas.microsoft.com/office/word/2010/wordprocessingShape">
                          <wps:wsp>
                            <wps:cNvSpPr/>
                            <wps:spPr>
                              <a:xfrm>
                                <a:off x="4702428" y="3624425"/>
                                <a:ext cx="1287145" cy="311150"/>
                              </a:xfrm>
                              <a:prstGeom prst="rect">
                                <a:avLst/>
                              </a:prstGeom>
                              <a:noFill/>
                              <a:ln>
                                <a:noFill/>
                              </a:ln>
                            </wps:spPr>
                            <wps:txbx>
                              <w:txbxContent>
                                <w:p w14:paraId="15AB2976" w14:textId="77777777" w:rsidR="00A00799" w:rsidRDefault="00792F5E">
                                  <w:pPr>
                                    <w:spacing w:line="275" w:lineRule="auto"/>
                                    <w:textDirection w:val="btLr"/>
                                  </w:pPr>
                                  <w:r>
                                    <w:rPr>
                                      <w:rFonts w:ascii="Times New Roman" w:eastAsia="Times New Roman" w:hAnsi="Times New Roman" w:cs="Times New Roman"/>
                                      <w:color w:val="000000"/>
                                      <w:sz w:val="20"/>
                                    </w:rPr>
                                    <w:t>r = 0,158; p = 0,045</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74A105" id="Retângulo 4" o:spid="_x0000_s1029" style="position:absolute;left:0;text-align:left;margin-left:312pt;margin-top:11pt;width:102.1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" filled="f" stroked="f">
                      <v:textbox inset="2.53958mm,1.2694mm,2.53958mm,1.2694mm">
                        <w:txbxContent>
                          <w:p w14:paraId="15AB2976" w14:textId="77777777" w:rsidR="00A00799" w:rsidRDefault="00792F5E">
                            <w:pPr>
                              <w:spacing w:line="275" w:lineRule="auto"/>
                              <w:textDirection w:val="btLr"/>
                            </w:pPr>
                            <w:r>
                              <w:rPr>
                                <w:rFonts w:ascii="Times New Roman" w:eastAsia="Times New Roman" w:hAnsi="Times New Roman" w:cs="Times New Roman"/>
                                <w:color w:val="000000"/>
                                <w:sz w:val="20"/>
                              </w:rPr>
                              <w:t>r = 0,158; p = 0,045</w:t>
                            </w:r>
                          </w:p>
                        </w:txbxContent>
                      </v:textbox>
                    </v:rect>
                  </w:pict>
                </mc:Fallback>
              </mc:AlternateContent>
            </w:r>
          </w:p>
        </w:tc>
      </w:tr>
    </w:tbl>
    <w:p w14:paraId="2ED90043" w14:textId="49258E62" w:rsidR="00A00799" w:rsidRDefault="00792F5E">
      <w:pPr>
        <w:ind w:left="-851" w:right="-851"/>
        <w:rPr>
          <w:rFonts w:ascii="Times New Roman" w:eastAsia="Times New Roman" w:hAnsi="Times New Roman" w:cs="Times New Roman"/>
        </w:rPr>
      </w:pPr>
      <w:r>
        <w:rPr>
          <w:rFonts w:ascii="Times New Roman" w:eastAsia="Times New Roman" w:hAnsi="Times New Roman" w:cs="Times New Roman"/>
          <w:b/>
        </w:rPr>
        <w:t>Figura 1.</w:t>
      </w:r>
      <w:r>
        <w:rPr>
          <w:rFonts w:ascii="Times New Roman" w:eastAsia="Times New Roman" w:hAnsi="Times New Roman" w:cs="Times New Roman"/>
        </w:rPr>
        <w:t xml:space="preserve"> Correlação do cálcio sério em gestações </w:t>
      </w:r>
      <w:proofErr w:type="spellStart"/>
      <w:r>
        <w:rPr>
          <w:rFonts w:ascii="Times New Roman" w:eastAsia="Times New Roman" w:hAnsi="Times New Roman" w:cs="Times New Roman"/>
        </w:rPr>
        <w:t>pré</w:t>
      </w:r>
      <w:proofErr w:type="spellEnd"/>
      <w:r>
        <w:rPr>
          <w:rFonts w:ascii="Times New Roman" w:eastAsia="Times New Roman" w:hAnsi="Times New Roman" w:cs="Times New Roman"/>
        </w:rPr>
        <w:t xml:space="preserve">-eclâmpticas com proteína </w:t>
      </w:r>
      <w:proofErr w:type="spellStart"/>
      <w:r>
        <w:rPr>
          <w:rFonts w:ascii="Times New Roman" w:eastAsia="Times New Roman" w:hAnsi="Times New Roman" w:cs="Times New Roman"/>
        </w:rPr>
        <w:t>c-reativa</w:t>
      </w:r>
      <w:proofErr w:type="spellEnd"/>
      <w:r>
        <w:rPr>
          <w:rFonts w:ascii="Times New Roman" w:eastAsia="Times New Roman" w:hAnsi="Times New Roman" w:cs="Times New Roman"/>
        </w:rPr>
        <w:t xml:space="preserve"> e desfechos neonatais. </w:t>
      </w:r>
    </w:p>
    <w:p w14:paraId="55EBCD2D" w14:textId="77777777" w:rsidR="00A00799" w:rsidRDefault="00A0079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522B1216" w14:textId="77777777" w:rsidR="00A00799" w:rsidRDefault="00792F5E" w:rsidP="00F233E1">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CONCLUSÕES</w:t>
      </w:r>
    </w:p>
    <w:p w14:paraId="5961AE8E" w14:textId="77777777" w:rsidR="00A00799" w:rsidRDefault="00792F5E" w:rsidP="00F233E1">
      <w:pPr>
        <w:pBdr>
          <w:top w:val="nil"/>
          <w:left w:val="nil"/>
          <w:bottom w:val="nil"/>
          <w:right w:val="nil"/>
          <w:between w:val="nil"/>
        </w:pBdr>
        <w:spacing w:after="0" w:line="360" w:lineRule="auto"/>
        <w:ind w:leftChars="150" w:left="33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resultados do presente estudo revelam correlação negativa entre os níveis séricos de cálcio e PCR, e positiva entre cálcio e idade gestacional e peso ao nascer. Estes resultados evidenciam que os níveis séricos de cálcio, particularmente quando abaixo do padrão de referência, podem refletir inflamação subjacente (gravidade da doença) e piores desfechos neonatais (menor peso ao nascer e idade gestacional ao nascimento). Entretanto, para que estratégias de prevenção para gravidade da PE sejam eficazes, torna-se necessário o conhecimento integral da etiopatogenia e dos fatores que podem exacerbar o curso da PE. Além disto, estes dados indicam que a saúde do binômio materno-infantil merece </w:t>
      </w:r>
      <w:r>
        <w:rPr>
          <w:rFonts w:ascii="Times New Roman" w:eastAsia="Times New Roman" w:hAnsi="Times New Roman" w:cs="Times New Roman"/>
          <w:color w:val="000000"/>
          <w:sz w:val="24"/>
          <w:szCs w:val="24"/>
        </w:rPr>
        <w:lastRenderedPageBreak/>
        <w:t xml:space="preserve">destaque, visto que pode ser uma possível estratégia para antecipar os desfechos desfavoráveis na </w:t>
      </w:r>
      <w:proofErr w:type="spellStart"/>
      <w:r>
        <w:rPr>
          <w:rFonts w:ascii="Times New Roman" w:eastAsia="Times New Roman" w:hAnsi="Times New Roman" w:cs="Times New Roman"/>
          <w:color w:val="000000"/>
          <w:sz w:val="24"/>
          <w:szCs w:val="24"/>
        </w:rPr>
        <w:t>perinatologia</w:t>
      </w:r>
      <w:proofErr w:type="spellEnd"/>
      <w:r>
        <w:rPr>
          <w:rFonts w:ascii="Times New Roman" w:eastAsia="Times New Roman" w:hAnsi="Times New Roman" w:cs="Times New Roman"/>
          <w:color w:val="000000"/>
          <w:sz w:val="24"/>
          <w:szCs w:val="24"/>
        </w:rPr>
        <w:t>.</w:t>
      </w:r>
    </w:p>
    <w:p w14:paraId="13727241" w14:textId="77777777" w:rsidR="00A00799" w:rsidRDefault="00A007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2895D3F9" w14:textId="77777777" w:rsidR="00A00799" w:rsidRDefault="00A007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16F1BF51" w14:textId="77777777" w:rsidR="00A00799" w:rsidRDefault="00792F5E">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REFERÊNCIAS</w:t>
      </w:r>
    </w:p>
    <w:p w14:paraId="53454152" w14:textId="77777777" w:rsidR="00A00799" w:rsidRPr="00F233E1" w:rsidRDefault="00792F5E" w:rsidP="00F233E1">
      <w:pPr>
        <w:pBdr>
          <w:top w:val="nil"/>
          <w:left w:val="nil"/>
          <w:bottom w:val="nil"/>
          <w:right w:val="nil"/>
          <w:between w:val="nil"/>
        </w:pBdr>
        <w:spacing w:line="240" w:lineRule="auto"/>
        <w:ind w:leftChars="150" w:left="330"/>
        <w:rPr>
          <w:rFonts w:ascii="Times New Roman" w:eastAsia="Times New Roman" w:hAnsi="Times New Roman" w:cs="Times New Roman"/>
          <w:color w:val="000000"/>
        </w:rPr>
      </w:pPr>
      <w:r w:rsidRPr="00F233E1">
        <w:rPr>
          <w:rFonts w:ascii="Times New Roman" w:eastAsia="Times New Roman" w:hAnsi="Times New Roman" w:cs="Times New Roman"/>
          <w:color w:val="000000"/>
        </w:rPr>
        <w:t>ADAMOVA, Z</w:t>
      </w:r>
      <w:proofErr w:type="gramStart"/>
      <w:r w:rsidRPr="00F233E1">
        <w:rPr>
          <w:rFonts w:ascii="Times New Roman" w:eastAsia="Times New Roman" w:hAnsi="Times New Roman" w:cs="Times New Roman"/>
          <w:color w:val="000000"/>
        </w:rPr>
        <w:t>.;</w:t>
      </w:r>
      <w:proofErr w:type="gramEnd"/>
      <w:r w:rsidRPr="00F233E1">
        <w:rPr>
          <w:rFonts w:ascii="Times New Roman" w:eastAsia="Times New Roman" w:hAnsi="Times New Roman" w:cs="Times New Roman"/>
          <w:color w:val="000000"/>
        </w:rPr>
        <w:t xml:space="preserve"> OZKAN, S.; KHALIL, R.A. Vascular </w:t>
      </w:r>
      <w:proofErr w:type="spellStart"/>
      <w:r w:rsidRPr="00F233E1">
        <w:rPr>
          <w:rFonts w:ascii="Times New Roman" w:eastAsia="Times New Roman" w:hAnsi="Times New Roman" w:cs="Times New Roman"/>
          <w:color w:val="000000"/>
        </w:rPr>
        <w:t>and</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cellular</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calcium</w:t>
      </w:r>
      <w:proofErr w:type="spellEnd"/>
      <w:r w:rsidRPr="00F233E1">
        <w:rPr>
          <w:rFonts w:ascii="Times New Roman" w:eastAsia="Times New Roman" w:hAnsi="Times New Roman" w:cs="Times New Roman"/>
          <w:color w:val="000000"/>
        </w:rPr>
        <w:t xml:space="preserve"> in normal </w:t>
      </w:r>
      <w:proofErr w:type="spellStart"/>
      <w:r w:rsidRPr="00F233E1">
        <w:rPr>
          <w:rFonts w:ascii="Times New Roman" w:eastAsia="Times New Roman" w:hAnsi="Times New Roman" w:cs="Times New Roman"/>
          <w:color w:val="000000"/>
        </w:rPr>
        <w:t>and</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hypertensive</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pregnancy</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b/>
          <w:color w:val="000000"/>
        </w:rPr>
        <w:t>Curr</w:t>
      </w:r>
      <w:proofErr w:type="spellEnd"/>
      <w:r w:rsidRPr="00F233E1">
        <w:rPr>
          <w:rFonts w:ascii="Times New Roman" w:eastAsia="Times New Roman" w:hAnsi="Times New Roman" w:cs="Times New Roman"/>
          <w:b/>
          <w:color w:val="000000"/>
        </w:rPr>
        <w:t xml:space="preserve"> </w:t>
      </w:r>
      <w:proofErr w:type="spellStart"/>
      <w:r w:rsidRPr="00F233E1">
        <w:rPr>
          <w:rFonts w:ascii="Times New Roman" w:eastAsia="Times New Roman" w:hAnsi="Times New Roman" w:cs="Times New Roman"/>
          <w:b/>
          <w:color w:val="000000"/>
        </w:rPr>
        <w:t>Clin</w:t>
      </w:r>
      <w:proofErr w:type="spellEnd"/>
      <w:r w:rsidRPr="00F233E1">
        <w:rPr>
          <w:rFonts w:ascii="Times New Roman" w:eastAsia="Times New Roman" w:hAnsi="Times New Roman" w:cs="Times New Roman"/>
          <w:b/>
          <w:color w:val="000000"/>
        </w:rPr>
        <w:t xml:space="preserve"> </w:t>
      </w:r>
      <w:proofErr w:type="spellStart"/>
      <w:r w:rsidRPr="00F233E1">
        <w:rPr>
          <w:rFonts w:ascii="Times New Roman" w:eastAsia="Times New Roman" w:hAnsi="Times New Roman" w:cs="Times New Roman"/>
          <w:b/>
          <w:color w:val="000000"/>
        </w:rPr>
        <w:t>Pharmacol</w:t>
      </w:r>
      <w:proofErr w:type="spellEnd"/>
      <w:r w:rsidRPr="00F233E1">
        <w:rPr>
          <w:rFonts w:ascii="Times New Roman" w:eastAsia="Times New Roman" w:hAnsi="Times New Roman" w:cs="Times New Roman"/>
          <w:color w:val="000000"/>
        </w:rPr>
        <w:t>, v. 4, n. 3, p. 172-90, 2009.</w:t>
      </w:r>
    </w:p>
    <w:p w14:paraId="22E7B7CA" w14:textId="1169F70B" w:rsidR="00A00799" w:rsidRPr="00F233E1" w:rsidRDefault="00792F5E" w:rsidP="00F233E1">
      <w:pPr>
        <w:pBdr>
          <w:top w:val="nil"/>
          <w:left w:val="nil"/>
          <w:bottom w:val="nil"/>
          <w:right w:val="nil"/>
          <w:between w:val="nil"/>
        </w:pBdr>
        <w:spacing w:line="240" w:lineRule="auto"/>
        <w:ind w:leftChars="150" w:left="330"/>
        <w:rPr>
          <w:rFonts w:ascii="Times New Roman" w:eastAsia="Times New Roman" w:hAnsi="Times New Roman" w:cs="Times New Roman"/>
          <w:color w:val="000000"/>
        </w:rPr>
      </w:pPr>
      <w:r w:rsidRPr="00F233E1">
        <w:rPr>
          <w:rFonts w:ascii="Times New Roman" w:eastAsia="Times New Roman" w:hAnsi="Times New Roman" w:cs="Times New Roman"/>
          <w:color w:val="000000"/>
          <w:highlight w:val="white"/>
        </w:rPr>
        <w:t xml:space="preserve">AKIIBINU MO, KOLAWOLE TO, EKUN OA, AKIIBINU SO. </w:t>
      </w:r>
      <w:proofErr w:type="spellStart"/>
      <w:r w:rsidRPr="00F233E1">
        <w:rPr>
          <w:rFonts w:ascii="Times New Roman" w:eastAsia="Times New Roman" w:hAnsi="Times New Roman" w:cs="Times New Roman"/>
          <w:color w:val="000000"/>
          <w:highlight w:val="white"/>
        </w:rPr>
        <w:t>Metabolic</w:t>
      </w:r>
      <w:proofErr w:type="spellEnd"/>
      <w:r w:rsidRPr="00F233E1">
        <w:rPr>
          <w:rFonts w:ascii="Times New Roman" w:eastAsia="Times New Roman" w:hAnsi="Times New Roman" w:cs="Times New Roman"/>
          <w:color w:val="000000"/>
          <w:highlight w:val="white"/>
        </w:rPr>
        <w:t xml:space="preserve"> </w:t>
      </w:r>
      <w:proofErr w:type="spellStart"/>
      <w:r w:rsidRPr="00F233E1">
        <w:rPr>
          <w:rFonts w:ascii="Times New Roman" w:eastAsia="Times New Roman" w:hAnsi="Times New Roman" w:cs="Times New Roman"/>
          <w:color w:val="000000"/>
          <w:highlight w:val="white"/>
        </w:rPr>
        <w:t>dysfunctions</w:t>
      </w:r>
      <w:proofErr w:type="spellEnd"/>
      <w:r w:rsidRPr="00F233E1">
        <w:rPr>
          <w:rFonts w:ascii="Times New Roman" w:eastAsia="Times New Roman" w:hAnsi="Times New Roman" w:cs="Times New Roman"/>
          <w:color w:val="000000"/>
          <w:highlight w:val="white"/>
        </w:rPr>
        <w:t xml:space="preserve"> in </w:t>
      </w:r>
      <w:proofErr w:type="spellStart"/>
      <w:r w:rsidRPr="00F233E1">
        <w:rPr>
          <w:rFonts w:ascii="Times New Roman" w:eastAsia="Times New Roman" w:hAnsi="Times New Roman" w:cs="Times New Roman"/>
          <w:color w:val="000000"/>
          <w:highlight w:val="white"/>
        </w:rPr>
        <w:t>Nigerian</w:t>
      </w:r>
      <w:proofErr w:type="spellEnd"/>
      <w:r w:rsidRPr="00F233E1">
        <w:rPr>
          <w:rFonts w:ascii="Times New Roman" w:eastAsia="Times New Roman" w:hAnsi="Times New Roman" w:cs="Times New Roman"/>
          <w:color w:val="000000"/>
          <w:highlight w:val="white"/>
        </w:rPr>
        <w:t xml:space="preserve"> </w:t>
      </w:r>
      <w:proofErr w:type="spellStart"/>
      <w:r w:rsidRPr="00F233E1">
        <w:rPr>
          <w:rFonts w:ascii="Times New Roman" w:eastAsia="Times New Roman" w:hAnsi="Times New Roman" w:cs="Times New Roman"/>
          <w:color w:val="000000"/>
          <w:highlight w:val="white"/>
        </w:rPr>
        <w:t>pre-eclamptics</w:t>
      </w:r>
      <w:proofErr w:type="spellEnd"/>
      <w:r w:rsidRPr="00F233E1">
        <w:rPr>
          <w:rFonts w:ascii="Times New Roman" w:eastAsia="Times New Roman" w:hAnsi="Times New Roman" w:cs="Times New Roman"/>
          <w:color w:val="000000"/>
          <w:highlight w:val="white"/>
        </w:rPr>
        <w:t xml:space="preserve">. </w:t>
      </w:r>
      <w:proofErr w:type="spellStart"/>
      <w:r w:rsidRPr="00F233E1">
        <w:rPr>
          <w:rFonts w:ascii="Times New Roman" w:eastAsia="Times New Roman" w:hAnsi="Times New Roman" w:cs="Times New Roman"/>
          <w:b/>
          <w:color w:val="000000"/>
          <w:highlight w:val="white"/>
        </w:rPr>
        <w:t>Arch</w:t>
      </w:r>
      <w:proofErr w:type="spellEnd"/>
      <w:r w:rsidRPr="00F233E1">
        <w:rPr>
          <w:rFonts w:ascii="Times New Roman" w:eastAsia="Times New Roman" w:hAnsi="Times New Roman" w:cs="Times New Roman"/>
          <w:b/>
          <w:color w:val="000000"/>
          <w:highlight w:val="white"/>
        </w:rPr>
        <w:t xml:space="preserve"> </w:t>
      </w:r>
      <w:proofErr w:type="spellStart"/>
      <w:r w:rsidRPr="00F233E1">
        <w:rPr>
          <w:rFonts w:ascii="Times New Roman" w:eastAsia="Times New Roman" w:hAnsi="Times New Roman" w:cs="Times New Roman"/>
          <w:b/>
          <w:color w:val="000000"/>
          <w:highlight w:val="white"/>
        </w:rPr>
        <w:t>Gynecol</w:t>
      </w:r>
      <w:proofErr w:type="spellEnd"/>
      <w:r w:rsidRPr="00F233E1">
        <w:rPr>
          <w:rFonts w:ascii="Times New Roman" w:eastAsia="Times New Roman" w:hAnsi="Times New Roman" w:cs="Times New Roman"/>
          <w:b/>
          <w:color w:val="000000"/>
          <w:highlight w:val="white"/>
        </w:rPr>
        <w:t xml:space="preserve"> Obstet</w:t>
      </w:r>
      <w:r w:rsidR="00F233E1">
        <w:rPr>
          <w:rFonts w:ascii="Times New Roman" w:eastAsia="Times New Roman" w:hAnsi="Times New Roman" w:cs="Times New Roman"/>
          <w:color w:val="000000"/>
          <w:highlight w:val="white"/>
        </w:rPr>
        <w:t>. v.</w:t>
      </w:r>
      <w:r w:rsidRPr="00F233E1">
        <w:rPr>
          <w:rFonts w:ascii="Times New Roman" w:eastAsia="Times New Roman" w:hAnsi="Times New Roman" w:cs="Times New Roman"/>
          <w:color w:val="000000"/>
          <w:highlight w:val="white"/>
        </w:rPr>
        <w:t>288</w:t>
      </w:r>
      <w:r w:rsidR="00F233E1">
        <w:rPr>
          <w:rFonts w:ascii="Times New Roman" w:eastAsia="Times New Roman" w:hAnsi="Times New Roman" w:cs="Times New Roman"/>
          <w:color w:val="000000"/>
          <w:highlight w:val="white"/>
        </w:rPr>
        <w:t>, n.5, p.</w:t>
      </w:r>
      <w:r w:rsidRPr="00F233E1">
        <w:rPr>
          <w:rFonts w:ascii="Times New Roman" w:eastAsia="Times New Roman" w:hAnsi="Times New Roman" w:cs="Times New Roman"/>
          <w:color w:val="000000"/>
          <w:highlight w:val="white"/>
        </w:rPr>
        <w:t>1021-6</w:t>
      </w:r>
      <w:r w:rsidR="00F233E1">
        <w:rPr>
          <w:rFonts w:ascii="Times New Roman" w:eastAsia="Times New Roman" w:hAnsi="Times New Roman" w:cs="Times New Roman"/>
          <w:color w:val="000000"/>
          <w:highlight w:val="white"/>
        </w:rPr>
        <w:t>, 2013.</w:t>
      </w:r>
    </w:p>
    <w:p w14:paraId="2E82816C" w14:textId="6C25CCD3" w:rsidR="00A00799" w:rsidRPr="00F233E1" w:rsidRDefault="00792F5E" w:rsidP="00F233E1">
      <w:pPr>
        <w:spacing w:line="240" w:lineRule="auto"/>
        <w:ind w:leftChars="150" w:left="330"/>
        <w:rPr>
          <w:rFonts w:ascii="Times New Roman" w:eastAsia="Times New Roman" w:hAnsi="Times New Roman" w:cs="Times New Roman"/>
        </w:rPr>
      </w:pPr>
      <w:r w:rsidRPr="00F233E1">
        <w:rPr>
          <w:rFonts w:ascii="Times New Roman" w:eastAsia="Times New Roman" w:hAnsi="Times New Roman" w:cs="Times New Roman"/>
        </w:rPr>
        <w:t xml:space="preserve">BATTAGLIA, F.; LUBCHENCO, L. A </w:t>
      </w:r>
      <w:proofErr w:type="spellStart"/>
      <w:r w:rsidRPr="00F233E1">
        <w:rPr>
          <w:rFonts w:ascii="Times New Roman" w:eastAsia="Times New Roman" w:hAnsi="Times New Roman" w:cs="Times New Roman"/>
        </w:rPr>
        <w:t>practical</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classification</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of</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newborn</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infants</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by</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weight</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and</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gestational</w:t>
      </w:r>
      <w:proofErr w:type="spellEnd"/>
      <w:r w:rsidRPr="00F233E1">
        <w:rPr>
          <w:rFonts w:ascii="Times New Roman" w:eastAsia="Times New Roman" w:hAnsi="Times New Roman" w:cs="Times New Roman"/>
        </w:rPr>
        <w:t xml:space="preserve"> age. </w:t>
      </w:r>
      <w:r w:rsidRPr="00F233E1">
        <w:rPr>
          <w:rFonts w:ascii="Times New Roman" w:eastAsia="Times New Roman" w:hAnsi="Times New Roman" w:cs="Times New Roman"/>
          <w:b/>
        </w:rPr>
        <w:t xml:space="preserve">J </w:t>
      </w:r>
      <w:proofErr w:type="spellStart"/>
      <w:r w:rsidRPr="00F233E1">
        <w:rPr>
          <w:rFonts w:ascii="Times New Roman" w:eastAsia="Times New Roman" w:hAnsi="Times New Roman" w:cs="Times New Roman"/>
          <w:b/>
        </w:rPr>
        <w:t>Pediatr</w:t>
      </w:r>
      <w:proofErr w:type="spellEnd"/>
      <w:r w:rsidR="00F233E1">
        <w:rPr>
          <w:rFonts w:ascii="Times New Roman" w:eastAsia="Times New Roman" w:hAnsi="Times New Roman" w:cs="Times New Roman"/>
        </w:rPr>
        <w:t>.</w:t>
      </w:r>
      <w:r w:rsidRPr="00F233E1">
        <w:rPr>
          <w:rFonts w:ascii="Times New Roman" w:eastAsia="Times New Roman" w:hAnsi="Times New Roman" w:cs="Times New Roman"/>
        </w:rPr>
        <w:t xml:space="preserve"> v. 71, n. 2, p. 159-63, 1967.</w:t>
      </w:r>
    </w:p>
    <w:p w14:paraId="5FABD92F" w14:textId="77777777" w:rsidR="00A00799" w:rsidRPr="00F233E1" w:rsidRDefault="00792F5E" w:rsidP="00F233E1">
      <w:pPr>
        <w:spacing w:line="240" w:lineRule="auto"/>
        <w:ind w:leftChars="150" w:left="330"/>
        <w:rPr>
          <w:rFonts w:ascii="Times New Roman" w:eastAsia="Times New Roman" w:hAnsi="Times New Roman" w:cs="Times New Roman"/>
        </w:rPr>
      </w:pPr>
      <w:r w:rsidRPr="00F233E1">
        <w:rPr>
          <w:rFonts w:ascii="Times New Roman" w:eastAsia="Times New Roman" w:hAnsi="Times New Roman" w:cs="Times New Roman"/>
        </w:rPr>
        <w:t xml:space="preserve">BRASIL. Ministério da Saúde. </w:t>
      </w:r>
      <w:r w:rsidRPr="00F233E1">
        <w:rPr>
          <w:rFonts w:ascii="Times New Roman" w:eastAsia="Times New Roman" w:hAnsi="Times New Roman" w:cs="Times New Roman"/>
          <w:b/>
        </w:rPr>
        <w:t>Gestação de alto risco: manual técnico</w:t>
      </w:r>
      <w:r w:rsidRPr="00F233E1">
        <w:rPr>
          <w:rFonts w:ascii="Times New Roman" w:eastAsia="Times New Roman" w:hAnsi="Times New Roman" w:cs="Times New Roman"/>
        </w:rPr>
        <w:t xml:space="preserve"> / Ministério da Saúde, Secretaria de Atenção à Saúde, Departamento de Ações Programáticas Estratégicas. – 5. </w:t>
      </w:r>
      <w:proofErr w:type="gramStart"/>
      <w:r w:rsidRPr="00F233E1">
        <w:rPr>
          <w:rFonts w:ascii="Times New Roman" w:eastAsia="Times New Roman" w:hAnsi="Times New Roman" w:cs="Times New Roman"/>
        </w:rPr>
        <w:t>ed.</w:t>
      </w:r>
      <w:proofErr w:type="gramEnd"/>
      <w:r w:rsidRPr="00F233E1">
        <w:rPr>
          <w:rFonts w:ascii="Times New Roman" w:eastAsia="Times New Roman" w:hAnsi="Times New Roman" w:cs="Times New Roman"/>
        </w:rPr>
        <w:t xml:space="preserve"> – Brasília : Editora do Ministério da Saúde, 2012. </w:t>
      </w:r>
    </w:p>
    <w:p w14:paraId="5EB7CED1" w14:textId="57CF92CA" w:rsidR="00A00799" w:rsidRPr="00F233E1" w:rsidRDefault="00792F5E" w:rsidP="00F233E1">
      <w:pPr>
        <w:spacing w:line="240" w:lineRule="auto"/>
        <w:ind w:leftChars="150" w:left="330"/>
        <w:rPr>
          <w:rFonts w:ascii="Times New Roman" w:eastAsia="Times New Roman" w:hAnsi="Times New Roman" w:cs="Times New Roman"/>
        </w:rPr>
      </w:pPr>
      <w:r w:rsidRPr="00F233E1">
        <w:rPr>
          <w:rFonts w:ascii="Times New Roman" w:eastAsia="Times New Roman" w:hAnsi="Times New Roman" w:cs="Times New Roman"/>
        </w:rPr>
        <w:t xml:space="preserve">BROWN MA, ET AL. </w:t>
      </w:r>
      <w:proofErr w:type="spellStart"/>
      <w:r w:rsidRPr="00F233E1">
        <w:rPr>
          <w:rFonts w:ascii="Times New Roman" w:eastAsia="Times New Roman" w:hAnsi="Times New Roman" w:cs="Times New Roman"/>
        </w:rPr>
        <w:t>International</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Society</w:t>
      </w:r>
      <w:proofErr w:type="spellEnd"/>
      <w:r w:rsidRPr="00F233E1">
        <w:rPr>
          <w:rFonts w:ascii="Times New Roman" w:eastAsia="Times New Roman" w:hAnsi="Times New Roman" w:cs="Times New Roman"/>
        </w:rPr>
        <w:t xml:space="preserve"> for </w:t>
      </w:r>
      <w:proofErr w:type="spellStart"/>
      <w:r w:rsidRPr="00F233E1">
        <w:rPr>
          <w:rFonts w:ascii="Times New Roman" w:eastAsia="Times New Roman" w:hAnsi="Times New Roman" w:cs="Times New Roman"/>
        </w:rPr>
        <w:t>the</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Study</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of</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Hypertension</w:t>
      </w:r>
      <w:proofErr w:type="spellEnd"/>
      <w:r w:rsidRPr="00F233E1">
        <w:rPr>
          <w:rFonts w:ascii="Times New Roman" w:eastAsia="Times New Roman" w:hAnsi="Times New Roman" w:cs="Times New Roman"/>
        </w:rPr>
        <w:t xml:space="preserve"> in </w:t>
      </w:r>
      <w:proofErr w:type="spellStart"/>
      <w:r w:rsidRPr="00F233E1">
        <w:rPr>
          <w:rFonts w:ascii="Times New Roman" w:eastAsia="Times New Roman" w:hAnsi="Times New Roman" w:cs="Times New Roman"/>
        </w:rPr>
        <w:t>Pregnancy</w:t>
      </w:r>
      <w:proofErr w:type="spellEnd"/>
      <w:r w:rsidRPr="00F233E1">
        <w:rPr>
          <w:rFonts w:ascii="Times New Roman" w:eastAsia="Times New Roman" w:hAnsi="Times New Roman" w:cs="Times New Roman"/>
        </w:rPr>
        <w:t xml:space="preserve"> (ISSHP). </w:t>
      </w:r>
      <w:proofErr w:type="spellStart"/>
      <w:r w:rsidRPr="00F233E1">
        <w:rPr>
          <w:rFonts w:ascii="Times New Roman" w:eastAsia="Times New Roman" w:hAnsi="Times New Roman" w:cs="Times New Roman"/>
        </w:rPr>
        <w:t>Hypertensive</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Disorders</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of</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Pregnancy</w:t>
      </w:r>
      <w:proofErr w:type="spellEnd"/>
      <w:r w:rsidRPr="00F233E1">
        <w:rPr>
          <w:rFonts w:ascii="Times New Roman" w:eastAsia="Times New Roman" w:hAnsi="Times New Roman" w:cs="Times New Roman"/>
        </w:rPr>
        <w:t xml:space="preserve">: ISSHP </w:t>
      </w:r>
      <w:proofErr w:type="spellStart"/>
      <w:r w:rsidRPr="00F233E1">
        <w:rPr>
          <w:rFonts w:ascii="Times New Roman" w:eastAsia="Times New Roman" w:hAnsi="Times New Roman" w:cs="Times New Roman"/>
        </w:rPr>
        <w:t>Classification</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Diagnosis</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and</w:t>
      </w:r>
      <w:proofErr w:type="spellEnd"/>
      <w:r w:rsidRPr="00F233E1">
        <w:rPr>
          <w:rFonts w:ascii="Times New Roman" w:eastAsia="Times New Roman" w:hAnsi="Times New Roman" w:cs="Times New Roman"/>
        </w:rPr>
        <w:t xml:space="preserve"> Management </w:t>
      </w:r>
      <w:proofErr w:type="spellStart"/>
      <w:r w:rsidRPr="00F233E1">
        <w:rPr>
          <w:rFonts w:ascii="Times New Roman" w:eastAsia="Times New Roman" w:hAnsi="Times New Roman" w:cs="Times New Roman"/>
        </w:rPr>
        <w:t>Recommendations</w:t>
      </w:r>
      <w:proofErr w:type="spellEnd"/>
      <w:r w:rsidRPr="00F233E1">
        <w:rPr>
          <w:rFonts w:ascii="Times New Roman" w:eastAsia="Times New Roman" w:hAnsi="Times New Roman" w:cs="Times New Roman"/>
        </w:rPr>
        <w:t xml:space="preserve"> for </w:t>
      </w:r>
      <w:proofErr w:type="spellStart"/>
      <w:r w:rsidRPr="00F233E1">
        <w:rPr>
          <w:rFonts w:ascii="Times New Roman" w:eastAsia="Times New Roman" w:hAnsi="Times New Roman" w:cs="Times New Roman"/>
        </w:rPr>
        <w:t>International</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Practice</w:t>
      </w:r>
      <w:proofErr w:type="spellEnd"/>
      <w:r w:rsidRPr="00F233E1">
        <w:rPr>
          <w:rFonts w:ascii="Times New Roman" w:eastAsia="Times New Roman" w:hAnsi="Times New Roman" w:cs="Times New Roman"/>
        </w:rPr>
        <w:t xml:space="preserve"> [Review]. </w:t>
      </w:r>
      <w:proofErr w:type="spellStart"/>
      <w:r w:rsidRPr="00F233E1">
        <w:rPr>
          <w:rFonts w:ascii="Times New Roman" w:eastAsia="Times New Roman" w:hAnsi="Times New Roman" w:cs="Times New Roman"/>
          <w:b/>
        </w:rPr>
        <w:t>Hypertension</w:t>
      </w:r>
      <w:proofErr w:type="spellEnd"/>
      <w:r w:rsidRPr="00F233E1">
        <w:rPr>
          <w:rFonts w:ascii="Times New Roman" w:eastAsia="Times New Roman" w:hAnsi="Times New Roman" w:cs="Times New Roman"/>
        </w:rPr>
        <w:t xml:space="preserve">. </w:t>
      </w:r>
      <w:proofErr w:type="gramStart"/>
      <w:r w:rsidR="00F233E1">
        <w:rPr>
          <w:rFonts w:ascii="Times New Roman" w:eastAsia="Times New Roman" w:hAnsi="Times New Roman" w:cs="Times New Roman"/>
        </w:rPr>
        <w:t>v.</w:t>
      </w:r>
      <w:proofErr w:type="gramEnd"/>
      <w:r w:rsidRPr="00F233E1">
        <w:rPr>
          <w:rFonts w:ascii="Times New Roman" w:eastAsia="Times New Roman" w:hAnsi="Times New Roman" w:cs="Times New Roman"/>
        </w:rPr>
        <w:t>72</w:t>
      </w:r>
      <w:r w:rsidR="00F233E1">
        <w:rPr>
          <w:rFonts w:ascii="Times New Roman" w:eastAsia="Times New Roman" w:hAnsi="Times New Roman" w:cs="Times New Roman"/>
        </w:rPr>
        <w:t>, n.</w:t>
      </w:r>
      <w:r w:rsidRPr="00F233E1">
        <w:rPr>
          <w:rFonts w:ascii="Times New Roman" w:eastAsia="Times New Roman" w:hAnsi="Times New Roman" w:cs="Times New Roman"/>
        </w:rPr>
        <w:t>1</w:t>
      </w:r>
      <w:r w:rsidR="00F233E1">
        <w:rPr>
          <w:rFonts w:ascii="Times New Roman" w:eastAsia="Times New Roman" w:hAnsi="Times New Roman" w:cs="Times New Roman"/>
        </w:rPr>
        <w:t>, p.</w:t>
      </w:r>
      <w:r w:rsidRPr="00F233E1">
        <w:rPr>
          <w:rFonts w:ascii="Times New Roman" w:eastAsia="Times New Roman" w:hAnsi="Times New Roman" w:cs="Times New Roman"/>
        </w:rPr>
        <w:t>24-43</w:t>
      </w:r>
      <w:r w:rsidR="00F233E1">
        <w:rPr>
          <w:rFonts w:ascii="Times New Roman" w:eastAsia="Times New Roman" w:hAnsi="Times New Roman" w:cs="Times New Roman"/>
        </w:rPr>
        <w:t>, 2018.</w:t>
      </w:r>
    </w:p>
    <w:p w14:paraId="4C861399" w14:textId="7E374BB9" w:rsidR="00A00799" w:rsidRPr="00F233E1" w:rsidRDefault="00792F5E" w:rsidP="00F233E1">
      <w:pPr>
        <w:spacing w:line="240" w:lineRule="auto"/>
        <w:ind w:leftChars="150" w:left="330"/>
        <w:rPr>
          <w:rFonts w:ascii="Times New Roman" w:eastAsia="Times New Roman" w:hAnsi="Times New Roman" w:cs="Times New Roman"/>
          <w:highlight w:val="white"/>
        </w:rPr>
      </w:pPr>
      <w:r w:rsidRPr="00F233E1">
        <w:rPr>
          <w:rFonts w:ascii="Times New Roman" w:eastAsia="Times New Roman" w:hAnsi="Times New Roman" w:cs="Times New Roman"/>
          <w:highlight w:val="white"/>
        </w:rPr>
        <w:t xml:space="preserve">BUZINARO, E.F.; ALMEIDA, R.N.A.; MAZETO, G.M.F.S. Biodisponibilidade do cálcio dietético. Arquivos Brasileiros de Endocrinologia &amp; Metabologia. </w:t>
      </w:r>
      <w:r w:rsidRPr="00F233E1">
        <w:rPr>
          <w:rFonts w:ascii="Times New Roman" w:eastAsia="Times New Roman" w:hAnsi="Times New Roman" w:cs="Times New Roman"/>
          <w:b/>
          <w:highlight w:val="white"/>
        </w:rPr>
        <w:t>Sociedade Brasileira de Endocrinologia e Metabologia</w:t>
      </w:r>
      <w:r w:rsidR="00F233E1">
        <w:rPr>
          <w:rFonts w:ascii="Times New Roman" w:eastAsia="Times New Roman" w:hAnsi="Times New Roman" w:cs="Times New Roman"/>
          <w:b/>
          <w:highlight w:val="white"/>
        </w:rPr>
        <w:t>.</w:t>
      </w:r>
      <w:r w:rsidRPr="00F233E1">
        <w:rPr>
          <w:rFonts w:ascii="Times New Roman" w:eastAsia="Times New Roman" w:hAnsi="Times New Roman" w:cs="Times New Roman"/>
          <w:highlight w:val="white"/>
        </w:rPr>
        <w:t xml:space="preserve"> v. 50, n. 5, p. 852-861, 2006. </w:t>
      </w:r>
    </w:p>
    <w:p w14:paraId="4EAAAF18" w14:textId="77777777" w:rsidR="00A00799" w:rsidRPr="00F233E1" w:rsidRDefault="00792F5E" w:rsidP="00F233E1">
      <w:pPr>
        <w:pBdr>
          <w:top w:val="nil"/>
          <w:left w:val="nil"/>
          <w:bottom w:val="nil"/>
          <w:right w:val="nil"/>
          <w:between w:val="nil"/>
        </w:pBdr>
        <w:spacing w:line="240" w:lineRule="auto"/>
        <w:ind w:leftChars="150" w:left="330"/>
        <w:rPr>
          <w:rFonts w:ascii="Times New Roman" w:eastAsia="Times New Roman" w:hAnsi="Times New Roman" w:cs="Times New Roman"/>
          <w:color w:val="000000"/>
        </w:rPr>
      </w:pPr>
      <w:r w:rsidRPr="00F233E1">
        <w:rPr>
          <w:rFonts w:ascii="Times New Roman" w:eastAsia="Times New Roman" w:hAnsi="Times New Roman" w:cs="Times New Roman"/>
          <w:color w:val="000000"/>
        </w:rPr>
        <w:t xml:space="preserve">FRISHMAN, W.H. </w:t>
      </w:r>
      <w:proofErr w:type="gramStart"/>
      <w:r w:rsidRPr="00F233E1">
        <w:rPr>
          <w:rFonts w:ascii="Times New Roman" w:eastAsia="Times New Roman" w:hAnsi="Times New Roman" w:cs="Times New Roman"/>
          <w:color w:val="000000"/>
        </w:rPr>
        <w:t>et</w:t>
      </w:r>
      <w:proofErr w:type="gramEnd"/>
      <w:r w:rsidRPr="00F233E1">
        <w:rPr>
          <w:rFonts w:ascii="Times New Roman" w:eastAsia="Times New Roman" w:hAnsi="Times New Roman" w:cs="Times New Roman"/>
          <w:color w:val="000000"/>
        </w:rPr>
        <w:t xml:space="preserve"> al. </w:t>
      </w:r>
      <w:proofErr w:type="spellStart"/>
      <w:r w:rsidRPr="00F233E1">
        <w:rPr>
          <w:rFonts w:ascii="Times New Roman" w:eastAsia="Times New Roman" w:hAnsi="Times New Roman" w:cs="Times New Roman"/>
          <w:color w:val="000000"/>
        </w:rPr>
        <w:t>Pathophysiology</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and</w:t>
      </w:r>
      <w:proofErr w:type="spellEnd"/>
      <w:r w:rsidRPr="00F233E1">
        <w:rPr>
          <w:rFonts w:ascii="Times New Roman" w:eastAsia="Times New Roman" w:hAnsi="Times New Roman" w:cs="Times New Roman"/>
          <w:color w:val="000000"/>
        </w:rPr>
        <w:t xml:space="preserve"> medical management </w:t>
      </w:r>
      <w:proofErr w:type="spellStart"/>
      <w:r w:rsidRPr="00F233E1">
        <w:rPr>
          <w:rFonts w:ascii="Times New Roman" w:eastAsia="Times New Roman" w:hAnsi="Times New Roman" w:cs="Times New Roman"/>
          <w:color w:val="000000"/>
        </w:rPr>
        <w:t>of</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systemic</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hypertension</w:t>
      </w:r>
      <w:proofErr w:type="spellEnd"/>
      <w:r w:rsidRPr="00F233E1">
        <w:rPr>
          <w:rFonts w:ascii="Times New Roman" w:eastAsia="Times New Roman" w:hAnsi="Times New Roman" w:cs="Times New Roman"/>
          <w:color w:val="000000"/>
        </w:rPr>
        <w:t xml:space="preserve"> in </w:t>
      </w:r>
      <w:proofErr w:type="spellStart"/>
      <w:r w:rsidRPr="00F233E1">
        <w:rPr>
          <w:rFonts w:ascii="Times New Roman" w:eastAsia="Times New Roman" w:hAnsi="Times New Roman" w:cs="Times New Roman"/>
          <w:color w:val="000000"/>
        </w:rPr>
        <w:t>preeclampsia</w:t>
      </w:r>
      <w:proofErr w:type="spellEnd"/>
      <w:r w:rsidRPr="00F233E1">
        <w:rPr>
          <w:rFonts w:ascii="Times New Roman" w:eastAsia="Times New Roman" w:hAnsi="Times New Roman" w:cs="Times New Roman"/>
          <w:color w:val="000000"/>
        </w:rPr>
        <w:t xml:space="preserve">. </w:t>
      </w:r>
      <w:r w:rsidRPr="00F233E1">
        <w:rPr>
          <w:rFonts w:ascii="Times New Roman" w:eastAsia="Times New Roman" w:hAnsi="Times New Roman" w:cs="Times New Roman"/>
          <w:b/>
          <w:color w:val="000000"/>
        </w:rPr>
        <w:t xml:space="preserve">Minerva </w:t>
      </w:r>
      <w:proofErr w:type="spellStart"/>
      <w:r w:rsidRPr="00F233E1">
        <w:rPr>
          <w:rFonts w:ascii="Times New Roman" w:eastAsia="Times New Roman" w:hAnsi="Times New Roman" w:cs="Times New Roman"/>
          <w:b/>
          <w:color w:val="000000"/>
        </w:rPr>
        <w:t>Med</w:t>
      </w:r>
      <w:proofErr w:type="spellEnd"/>
      <w:r w:rsidRPr="00F233E1">
        <w:rPr>
          <w:rFonts w:ascii="Times New Roman" w:eastAsia="Times New Roman" w:hAnsi="Times New Roman" w:cs="Times New Roman"/>
          <w:color w:val="000000"/>
        </w:rPr>
        <w:t>, v. 97, n. 4, v. 347-64, 2006.</w:t>
      </w:r>
    </w:p>
    <w:p w14:paraId="050C15BF" w14:textId="77777777" w:rsidR="00A00799" w:rsidRPr="00F233E1" w:rsidRDefault="00792F5E" w:rsidP="00F233E1">
      <w:pPr>
        <w:spacing w:line="240" w:lineRule="auto"/>
        <w:ind w:leftChars="150" w:left="330"/>
        <w:rPr>
          <w:rFonts w:ascii="Times New Roman" w:eastAsia="Times New Roman" w:hAnsi="Times New Roman" w:cs="Times New Roman"/>
        </w:rPr>
      </w:pPr>
      <w:r w:rsidRPr="00F233E1">
        <w:rPr>
          <w:rFonts w:ascii="Times New Roman" w:eastAsia="Times New Roman" w:hAnsi="Times New Roman" w:cs="Times New Roman"/>
        </w:rPr>
        <w:t xml:space="preserve">JAIN, S. </w:t>
      </w:r>
      <w:proofErr w:type="gramStart"/>
      <w:r w:rsidRPr="00F233E1">
        <w:rPr>
          <w:rFonts w:ascii="Times New Roman" w:eastAsia="Times New Roman" w:hAnsi="Times New Roman" w:cs="Times New Roman"/>
        </w:rPr>
        <w:t>et</w:t>
      </w:r>
      <w:proofErr w:type="gramEnd"/>
      <w:r w:rsidRPr="00F233E1">
        <w:rPr>
          <w:rFonts w:ascii="Times New Roman" w:eastAsia="Times New Roman" w:hAnsi="Times New Roman" w:cs="Times New Roman"/>
        </w:rPr>
        <w:t xml:space="preserve"> al. The role </w:t>
      </w:r>
      <w:proofErr w:type="spellStart"/>
      <w:r w:rsidRPr="00F233E1">
        <w:rPr>
          <w:rFonts w:ascii="Times New Roman" w:eastAsia="Times New Roman" w:hAnsi="Times New Roman" w:cs="Times New Roman"/>
        </w:rPr>
        <w:t>of</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calcium</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magnesium</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and</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zinc</w:t>
      </w:r>
      <w:proofErr w:type="spellEnd"/>
      <w:r w:rsidRPr="00F233E1">
        <w:rPr>
          <w:rFonts w:ascii="Times New Roman" w:eastAsia="Times New Roman" w:hAnsi="Times New Roman" w:cs="Times New Roman"/>
        </w:rPr>
        <w:t xml:space="preserve"> in </w:t>
      </w:r>
      <w:proofErr w:type="spellStart"/>
      <w:r w:rsidRPr="00F233E1">
        <w:rPr>
          <w:rFonts w:ascii="Times New Roman" w:eastAsia="Times New Roman" w:hAnsi="Times New Roman" w:cs="Times New Roman"/>
        </w:rPr>
        <w:t>pre-eclampsia</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b/>
        </w:rPr>
        <w:t>Biol</w:t>
      </w:r>
      <w:proofErr w:type="spellEnd"/>
      <w:r w:rsidRPr="00F233E1">
        <w:rPr>
          <w:rFonts w:ascii="Times New Roman" w:eastAsia="Times New Roman" w:hAnsi="Times New Roman" w:cs="Times New Roman"/>
          <w:b/>
        </w:rPr>
        <w:t xml:space="preserve"> Trace </w:t>
      </w:r>
      <w:proofErr w:type="spellStart"/>
      <w:r w:rsidRPr="00F233E1">
        <w:rPr>
          <w:rFonts w:ascii="Times New Roman" w:eastAsia="Times New Roman" w:hAnsi="Times New Roman" w:cs="Times New Roman"/>
          <w:b/>
        </w:rPr>
        <w:t>Elem</w:t>
      </w:r>
      <w:proofErr w:type="spellEnd"/>
      <w:r w:rsidRPr="00F233E1">
        <w:rPr>
          <w:rFonts w:ascii="Times New Roman" w:eastAsia="Times New Roman" w:hAnsi="Times New Roman" w:cs="Times New Roman"/>
          <w:b/>
        </w:rPr>
        <w:t xml:space="preserve"> Res</w:t>
      </w:r>
      <w:r w:rsidRPr="00F233E1">
        <w:rPr>
          <w:rFonts w:ascii="Times New Roman" w:eastAsia="Times New Roman" w:hAnsi="Times New Roman" w:cs="Times New Roman"/>
        </w:rPr>
        <w:t>, v. 133, n. 2, p. 162e70, 2009.</w:t>
      </w:r>
    </w:p>
    <w:p w14:paraId="3BAAF4B0" w14:textId="77777777" w:rsidR="00A00799" w:rsidRPr="00F233E1" w:rsidRDefault="00792F5E" w:rsidP="00F233E1">
      <w:pPr>
        <w:pBdr>
          <w:top w:val="nil"/>
          <w:left w:val="nil"/>
          <w:bottom w:val="nil"/>
          <w:right w:val="nil"/>
          <w:between w:val="nil"/>
        </w:pBdr>
        <w:spacing w:line="240" w:lineRule="auto"/>
        <w:ind w:leftChars="150" w:left="330"/>
        <w:rPr>
          <w:rFonts w:ascii="Times New Roman" w:eastAsia="Times New Roman" w:hAnsi="Times New Roman" w:cs="Times New Roman"/>
          <w:color w:val="000000"/>
        </w:rPr>
      </w:pPr>
      <w:r w:rsidRPr="00F233E1">
        <w:rPr>
          <w:rFonts w:ascii="Times New Roman" w:eastAsia="Times New Roman" w:hAnsi="Times New Roman" w:cs="Times New Roman"/>
          <w:color w:val="000000"/>
        </w:rPr>
        <w:t xml:space="preserve">KUMAR, N.; SINGH, A. K. Maternal </w:t>
      </w:r>
      <w:proofErr w:type="spellStart"/>
      <w:r w:rsidRPr="00F233E1">
        <w:rPr>
          <w:rFonts w:ascii="Times New Roman" w:eastAsia="Times New Roman" w:hAnsi="Times New Roman" w:cs="Times New Roman"/>
          <w:color w:val="000000"/>
        </w:rPr>
        <w:t>serum</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uric</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acid</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and</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calcium</w:t>
      </w:r>
      <w:proofErr w:type="spellEnd"/>
      <w:r w:rsidRPr="00F233E1">
        <w:rPr>
          <w:rFonts w:ascii="Times New Roman" w:eastAsia="Times New Roman" w:hAnsi="Times New Roman" w:cs="Times New Roman"/>
          <w:color w:val="000000"/>
        </w:rPr>
        <w:t xml:space="preserve"> as </w:t>
      </w:r>
      <w:proofErr w:type="spellStart"/>
      <w:r w:rsidRPr="00F233E1">
        <w:rPr>
          <w:rFonts w:ascii="Times New Roman" w:eastAsia="Times New Roman" w:hAnsi="Times New Roman" w:cs="Times New Roman"/>
          <w:color w:val="000000"/>
        </w:rPr>
        <w:t>predictors</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of</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hypertensive</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disorder</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of</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pregnancy</w:t>
      </w:r>
      <w:proofErr w:type="spellEnd"/>
      <w:r w:rsidRPr="00F233E1">
        <w:rPr>
          <w:rFonts w:ascii="Times New Roman" w:eastAsia="Times New Roman" w:hAnsi="Times New Roman" w:cs="Times New Roman"/>
          <w:color w:val="000000"/>
        </w:rPr>
        <w:t xml:space="preserve">: </w:t>
      </w:r>
      <w:proofErr w:type="gramStart"/>
      <w:r w:rsidRPr="00F233E1">
        <w:rPr>
          <w:rFonts w:ascii="Times New Roman" w:eastAsia="Times New Roman" w:hAnsi="Times New Roman" w:cs="Times New Roman"/>
          <w:color w:val="000000"/>
        </w:rPr>
        <w:t>A case</w:t>
      </w:r>
      <w:proofErr w:type="gram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control</w:t>
      </w:r>
      <w:proofErr w:type="spellEnd"/>
      <w:r w:rsidRPr="00F233E1">
        <w:rPr>
          <w:rFonts w:ascii="Times New Roman" w:eastAsia="Times New Roman" w:hAnsi="Times New Roman" w:cs="Times New Roman"/>
          <w:color w:val="000000"/>
        </w:rPr>
        <w:t xml:space="preserve"> </w:t>
      </w:r>
      <w:proofErr w:type="spellStart"/>
      <w:r w:rsidRPr="00F233E1">
        <w:rPr>
          <w:rFonts w:ascii="Times New Roman" w:eastAsia="Times New Roman" w:hAnsi="Times New Roman" w:cs="Times New Roman"/>
          <w:color w:val="000000"/>
        </w:rPr>
        <w:t>study</w:t>
      </w:r>
      <w:proofErr w:type="spellEnd"/>
      <w:r w:rsidRPr="00F233E1">
        <w:rPr>
          <w:rFonts w:ascii="Times New Roman" w:eastAsia="Times New Roman" w:hAnsi="Times New Roman" w:cs="Times New Roman"/>
          <w:color w:val="000000"/>
        </w:rPr>
        <w:t xml:space="preserve">. </w:t>
      </w:r>
      <w:r w:rsidRPr="00F233E1">
        <w:rPr>
          <w:rFonts w:ascii="Times New Roman" w:eastAsia="Times New Roman" w:hAnsi="Times New Roman" w:cs="Times New Roman"/>
          <w:b/>
          <w:color w:val="000000"/>
        </w:rPr>
        <w:t xml:space="preserve">Taiwan J </w:t>
      </w:r>
      <w:proofErr w:type="spellStart"/>
      <w:r w:rsidRPr="00F233E1">
        <w:rPr>
          <w:rFonts w:ascii="Times New Roman" w:eastAsia="Times New Roman" w:hAnsi="Times New Roman" w:cs="Times New Roman"/>
          <w:b/>
          <w:color w:val="000000"/>
        </w:rPr>
        <w:t>Obstet</w:t>
      </w:r>
      <w:proofErr w:type="spellEnd"/>
      <w:r w:rsidRPr="00F233E1">
        <w:rPr>
          <w:rFonts w:ascii="Times New Roman" w:eastAsia="Times New Roman" w:hAnsi="Times New Roman" w:cs="Times New Roman"/>
          <w:b/>
          <w:color w:val="000000"/>
        </w:rPr>
        <w:t xml:space="preserve"> </w:t>
      </w:r>
      <w:proofErr w:type="spellStart"/>
      <w:r w:rsidRPr="00F233E1">
        <w:rPr>
          <w:rFonts w:ascii="Times New Roman" w:eastAsia="Times New Roman" w:hAnsi="Times New Roman" w:cs="Times New Roman"/>
          <w:b/>
          <w:color w:val="000000"/>
        </w:rPr>
        <w:t>Gynecol</w:t>
      </w:r>
      <w:proofErr w:type="spellEnd"/>
      <w:r w:rsidRPr="00F233E1">
        <w:rPr>
          <w:rFonts w:ascii="Times New Roman" w:eastAsia="Times New Roman" w:hAnsi="Times New Roman" w:cs="Times New Roman"/>
          <w:color w:val="000000"/>
        </w:rPr>
        <w:t>, v. 58, n. 2, p. 244-250,</w:t>
      </w:r>
      <w:proofErr w:type="gramStart"/>
      <w:r w:rsidRPr="00F233E1">
        <w:rPr>
          <w:rFonts w:ascii="Times New Roman" w:eastAsia="Times New Roman" w:hAnsi="Times New Roman" w:cs="Times New Roman"/>
          <w:color w:val="000000"/>
        </w:rPr>
        <w:t xml:space="preserve">  </w:t>
      </w:r>
      <w:proofErr w:type="gramEnd"/>
      <w:r w:rsidRPr="00F233E1">
        <w:rPr>
          <w:rFonts w:ascii="Times New Roman" w:eastAsia="Times New Roman" w:hAnsi="Times New Roman" w:cs="Times New Roman"/>
          <w:color w:val="000000"/>
        </w:rPr>
        <w:t xml:space="preserve">2019.   </w:t>
      </w:r>
    </w:p>
    <w:p w14:paraId="2879D589" w14:textId="62BF8191" w:rsidR="00A00799" w:rsidRPr="00F233E1" w:rsidRDefault="00792F5E" w:rsidP="00F233E1">
      <w:pPr>
        <w:spacing w:line="240" w:lineRule="auto"/>
        <w:ind w:leftChars="150" w:left="330"/>
        <w:rPr>
          <w:rFonts w:ascii="Times New Roman" w:eastAsia="Times New Roman" w:hAnsi="Times New Roman" w:cs="Times New Roman"/>
          <w:highlight w:val="cyan"/>
        </w:rPr>
      </w:pPr>
      <w:r w:rsidRPr="00F233E1">
        <w:rPr>
          <w:rFonts w:ascii="Times New Roman" w:eastAsia="Times New Roman" w:hAnsi="Times New Roman" w:cs="Times New Roman"/>
        </w:rPr>
        <w:t xml:space="preserve">PRAMANIK, T.; KHATIWADA, B.; PRADHAN, P. </w:t>
      </w:r>
      <w:proofErr w:type="spellStart"/>
      <w:r w:rsidRPr="00F233E1">
        <w:rPr>
          <w:rFonts w:ascii="Times New Roman" w:eastAsia="Times New Roman" w:hAnsi="Times New Roman" w:cs="Times New Roman"/>
        </w:rPr>
        <w:t>Serum</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uric</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acid</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level</w:t>
      </w:r>
      <w:proofErr w:type="spellEnd"/>
      <w:r w:rsidRPr="00F233E1">
        <w:rPr>
          <w:rFonts w:ascii="Times New Roman" w:eastAsia="Times New Roman" w:hAnsi="Times New Roman" w:cs="Times New Roman"/>
        </w:rPr>
        <w:t xml:space="preserve"> in normal </w:t>
      </w:r>
      <w:proofErr w:type="spellStart"/>
      <w:r w:rsidRPr="00F233E1">
        <w:rPr>
          <w:rFonts w:ascii="Times New Roman" w:eastAsia="Times New Roman" w:hAnsi="Times New Roman" w:cs="Times New Roman"/>
        </w:rPr>
        <w:t>pregnant</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and</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preeclamptic</w:t>
      </w:r>
      <w:proofErr w:type="spellEnd"/>
      <w:r w:rsidRPr="00F233E1">
        <w:rPr>
          <w:rFonts w:ascii="Times New Roman" w:eastAsia="Times New Roman" w:hAnsi="Times New Roman" w:cs="Times New Roman"/>
        </w:rPr>
        <w:t xml:space="preserve"> ladies: a </w:t>
      </w:r>
      <w:proofErr w:type="spellStart"/>
      <w:r w:rsidRPr="00F233E1">
        <w:rPr>
          <w:rFonts w:ascii="Times New Roman" w:eastAsia="Times New Roman" w:hAnsi="Times New Roman" w:cs="Times New Roman"/>
        </w:rPr>
        <w:t>comparative</w:t>
      </w:r>
      <w:proofErr w:type="spellEnd"/>
      <w:r w:rsidRPr="00F233E1">
        <w:rPr>
          <w:rFonts w:ascii="Times New Roman" w:eastAsia="Times New Roman" w:hAnsi="Times New Roman" w:cs="Times New Roman"/>
        </w:rPr>
        <w:t xml:space="preserve"> </w:t>
      </w:r>
      <w:proofErr w:type="spellStart"/>
      <w:r w:rsidRPr="00F233E1">
        <w:rPr>
          <w:rFonts w:ascii="Times New Roman" w:eastAsia="Times New Roman" w:hAnsi="Times New Roman" w:cs="Times New Roman"/>
        </w:rPr>
        <w:t>study</w:t>
      </w:r>
      <w:proofErr w:type="spellEnd"/>
      <w:r w:rsidRPr="00F233E1">
        <w:rPr>
          <w:rFonts w:ascii="Times New Roman" w:eastAsia="Times New Roman" w:hAnsi="Times New Roman" w:cs="Times New Roman"/>
        </w:rPr>
        <w:t xml:space="preserve">. </w:t>
      </w:r>
      <w:r w:rsidRPr="00F233E1">
        <w:rPr>
          <w:rFonts w:ascii="Times New Roman" w:eastAsia="Times New Roman" w:hAnsi="Times New Roman" w:cs="Times New Roman"/>
          <w:b/>
        </w:rPr>
        <w:t xml:space="preserve">Nepal </w:t>
      </w:r>
      <w:proofErr w:type="spellStart"/>
      <w:r w:rsidRPr="00F233E1">
        <w:rPr>
          <w:rFonts w:ascii="Times New Roman" w:eastAsia="Times New Roman" w:hAnsi="Times New Roman" w:cs="Times New Roman"/>
          <w:b/>
        </w:rPr>
        <w:t>Med</w:t>
      </w:r>
      <w:proofErr w:type="spellEnd"/>
      <w:r w:rsidRPr="00F233E1">
        <w:rPr>
          <w:rFonts w:ascii="Times New Roman" w:eastAsia="Times New Roman" w:hAnsi="Times New Roman" w:cs="Times New Roman"/>
          <w:b/>
        </w:rPr>
        <w:t xml:space="preserve"> Coll J</w:t>
      </w:r>
      <w:r w:rsidR="00F233E1">
        <w:rPr>
          <w:rFonts w:ascii="Times New Roman" w:eastAsia="Times New Roman" w:hAnsi="Times New Roman" w:cs="Times New Roman"/>
        </w:rPr>
        <w:t>.</w:t>
      </w:r>
      <w:r w:rsidRPr="00F233E1">
        <w:rPr>
          <w:rFonts w:ascii="Times New Roman" w:eastAsia="Times New Roman" w:hAnsi="Times New Roman" w:cs="Times New Roman"/>
        </w:rPr>
        <w:t xml:space="preserve"> v. 16, n. 1, p. 30e2, 2014.</w:t>
      </w:r>
    </w:p>
    <w:p w14:paraId="6501BB30" w14:textId="243C327C" w:rsidR="00A00799" w:rsidRPr="00F233E1" w:rsidRDefault="00792F5E" w:rsidP="00F233E1">
      <w:pPr>
        <w:spacing w:line="240" w:lineRule="auto"/>
        <w:ind w:leftChars="150" w:left="330"/>
        <w:rPr>
          <w:rFonts w:ascii="Times New Roman" w:eastAsia="Times New Roman" w:hAnsi="Times New Roman" w:cs="Times New Roman"/>
        </w:rPr>
      </w:pPr>
      <w:r w:rsidRPr="00F233E1">
        <w:rPr>
          <w:rFonts w:ascii="Times New Roman" w:eastAsia="Times New Roman" w:hAnsi="Times New Roman" w:cs="Times New Roman"/>
          <w:highlight w:val="white"/>
        </w:rPr>
        <w:t xml:space="preserve">SAMIMI M, </w:t>
      </w:r>
      <w:proofErr w:type="gramStart"/>
      <w:r w:rsidRPr="00F233E1">
        <w:rPr>
          <w:rFonts w:ascii="Times New Roman" w:eastAsia="Times New Roman" w:hAnsi="Times New Roman" w:cs="Times New Roman"/>
          <w:highlight w:val="white"/>
        </w:rPr>
        <w:t>et</w:t>
      </w:r>
      <w:proofErr w:type="gramEnd"/>
      <w:r w:rsidRPr="00F233E1">
        <w:rPr>
          <w:rFonts w:ascii="Times New Roman" w:eastAsia="Times New Roman" w:hAnsi="Times New Roman" w:cs="Times New Roman"/>
          <w:highlight w:val="white"/>
        </w:rPr>
        <w:t xml:space="preserve"> al. The </w:t>
      </w:r>
      <w:proofErr w:type="spellStart"/>
      <w:r w:rsidRPr="00F233E1">
        <w:rPr>
          <w:rFonts w:ascii="Times New Roman" w:eastAsia="Times New Roman" w:hAnsi="Times New Roman" w:cs="Times New Roman"/>
          <w:highlight w:val="white"/>
        </w:rPr>
        <w:t>effects</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of</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vitamin</w:t>
      </w:r>
      <w:proofErr w:type="spellEnd"/>
      <w:r w:rsidRPr="00F233E1">
        <w:rPr>
          <w:rFonts w:ascii="Times New Roman" w:eastAsia="Times New Roman" w:hAnsi="Times New Roman" w:cs="Times New Roman"/>
          <w:highlight w:val="white"/>
        </w:rPr>
        <w:t xml:space="preserve"> D </w:t>
      </w:r>
      <w:proofErr w:type="spellStart"/>
      <w:r w:rsidRPr="00F233E1">
        <w:rPr>
          <w:rFonts w:ascii="Times New Roman" w:eastAsia="Times New Roman" w:hAnsi="Times New Roman" w:cs="Times New Roman"/>
          <w:highlight w:val="white"/>
        </w:rPr>
        <w:t>plus</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calcium</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supplementation</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on</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metabolic</w:t>
      </w:r>
      <w:proofErr w:type="spellEnd"/>
      <w:r w:rsidRPr="00F233E1">
        <w:rPr>
          <w:rFonts w:ascii="Times New Roman" w:eastAsia="Times New Roman" w:hAnsi="Times New Roman" w:cs="Times New Roman"/>
          <w:highlight w:val="white"/>
        </w:rPr>
        <w:t xml:space="preserve"> profiles, </w:t>
      </w:r>
      <w:proofErr w:type="spellStart"/>
      <w:r w:rsidRPr="00F233E1">
        <w:rPr>
          <w:rFonts w:ascii="Times New Roman" w:eastAsia="Times New Roman" w:hAnsi="Times New Roman" w:cs="Times New Roman"/>
          <w:highlight w:val="white"/>
        </w:rPr>
        <w:t>biomarkers</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of</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inflammation</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oxidative</w:t>
      </w:r>
      <w:proofErr w:type="spellEnd"/>
      <w:r w:rsidRPr="00F233E1">
        <w:rPr>
          <w:rFonts w:ascii="Times New Roman" w:eastAsia="Times New Roman" w:hAnsi="Times New Roman" w:cs="Times New Roman"/>
          <w:highlight w:val="white"/>
        </w:rPr>
        <w:t xml:space="preserve"> stress </w:t>
      </w:r>
      <w:proofErr w:type="spellStart"/>
      <w:r w:rsidRPr="00F233E1">
        <w:rPr>
          <w:rFonts w:ascii="Times New Roman" w:eastAsia="Times New Roman" w:hAnsi="Times New Roman" w:cs="Times New Roman"/>
          <w:highlight w:val="white"/>
        </w:rPr>
        <w:t>and</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pregnancy</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outcomes</w:t>
      </w:r>
      <w:proofErr w:type="spellEnd"/>
      <w:r w:rsidRPr="00F233E1">
        <w:rPr>
          <w:rFonts w:ascii="Times New Roman" w:eastAsia="Times New Roman" w:hAnsi="Times New Roman" w:cs="Times New Roman"/>
          <w:highlight w:val="white"/>
        </w:rPr>
        <w:t xml:space="preserve"> in </w:t>
      </w:r>
      <w:proofErr w:type="spellStart"/>
      <w:r w:rsidRPr="00F233E1">
        <w:rPr>
          <w:rFonts w:ascii="Times New Roman" w:eastAsia="Times New Roman" w:hAnsi="Times New Roman" w:cs="Times New Roman"/>
          <w:highlight w:val="white"/>
        </w:rPr>
        <w:t>pregnant</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women</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at</w:t>
      </w:r>
      <w:proofErr w:type="spellEnd"/>
      <w:r w:rsidRPr="00F233E1">
        <w:rPr>
          <w:rFonts w:ascii="Times New Roman" w:eastAsia="Times New Roman" w:hAnsi="Times New Roman" w:cs="Times New Roman"/>
          <w:highlight w:val="white"/>
        </w:rPr>
        <w:t xml:space="preserve"> </w:t>
      </w:r>
      <w:proofErr w:type="spellStart"/>
      <w:r w:rsidRPr="00F233E1">
        <w:rPr>
          <w:rFonts w:ascii="Times New Roman" w:eastAsia="Times New Roman" w:hAnsi="Times New Roman" w:cs="Times New Roman"/>
          <w:highlight w:val="white"/>
        </w:rPr>
        <w:t>risk</w:t>
      </w:r>
      <w:proofErr w:type="spellEnd"/>
      <w:r w:rsidRPr="00F233E1">
        <w:rPr>
          <w:rFonts w:ascii="Times New Roman" w:eastAsia="Times New Roman" w:hAnsi="Times New Roman" w:cs="Times New Roman"/>
          <w:highlight w:val="white"/>
        </w:rPr>
        <w:t xml:space="preserve"> for </w:t>
      </w:r>
      <w:proofErr w:type="spellStart"/>
      <w:r w:rsidRPr="00F233E1">
        <w:rPr>
          <w:rFonts w:ascii="Times New Roman" w:eastAsia="Times New Roman" w:hAnsi="Times New Roman" w:cs="Times New Roman"/>
          <w:highlight w:val="white"/>
        </w:rPr>
        <w:t>pre-eclampsia</w:t>
      </w:r>
      <w:proofErr w:type="spellEnd"/>
      <w:r w:rsidRPr="00F233E1">
        <w:rPr>
          <w:rFonts w:ascii="Times New Roman" w:eastAsia="Times New Roman" w:hAnsi="Times New Roman" w:cs="Times New Roman"/>
          <w:highlight w:val="white"/>
        </w:rPr>
        <w:t xml:space="preserve">. </w:t>
      </w:r>
      <w:r w:rsidRPr="00F233E1">
        <w:rPr>
          <w:rFonts w:ascii="Times New Roman" w:eastAsia="Times New Roman" w:hAnsi="Times New Roman" w:cs="Times New Roman"/>
          <w:b/>
          <w:highlight w:val="white"/>
        </w:rPr>
        <w:t xml:space="preserve">J </w:t>
      </w:r>
      <w:proofErr w:type="gramStart"/>
      <w:r w:rsidRPr="00F233E1">
        <w:rPr>
          <w:rFonts w:ascii="Times New Roman" w:eastAsia="Times New Roman" w:hAnsi="Times New Roman" w:cs="Times New Roman"/>
          <w:b/>
          <w:highlight w:val="white"/>
        </w:rPr>
        <w:t>Hum</w:t>
      </w:r>
      <w:proofErr w:type="gramEnd"/>
      <w:r w:rsidRPr="00F233E1">
        <w:rPr>
          <w:rFonts w:ascii="Times New Roman" w:eastAsia="Times New Roman" w:hAnsi="Times New Roman" w:cs="Times New Roman"/>
          <w:b/>
          <w:highlight w:val="white"/>
        </w:rPr>
        <w:t xml:space="preserve"> </w:t>
      </w:r>
      <w:proofErr w:type="spellStart"/>
      <w:r w:rsidRPr="00F233E1">
        <w:rPr>
          <w:rFonts w:ascii="Times New Roman" w:eastAsia="Times New Roman" w:hAnsi="Times New Roman" w:cs="Times New Roman"/>
          <w:b/>
          <w:highlight w:val="white"/>
        </w:rPr>
        <w:t>Nutr</w:t>
      </w:r>
      <w:proofErr w:type="spellEnd"/>
      <w:r w:rsidRPr="00F233E1">
        <w:rPr>
          <w:rFonts w:ascii="Times New Roman" w:eastAsia="Times New Roman" w:hAnsi="Times New Roman" w:cs="Times New Roman"/>
          <w:highlight w:val="white"/>
        </w:rPr>
        <w:t xml:space="preserve"> </w:t>
      </w:r>
      <w:r w:rsidRPr="00F233E1">
        <w:rPr>
          <w:rFonts w:ascii="Times New Roman" w:eastAsia="Times New Roman" w:hAnsi="Times New Roman" w:cs="Times New Roman"/>
          <w:b/>
          <w:highlight w:val="white"/>
        </w:rPr>
        <w:t>Diet</w:t>
      </w:r>
      <w:r w:rsidRPr="00F233E1">
        <w:rPr>
          <w:rFonts w:ascii="Times New Roman" w:eastAsia="Times New Roman" w:hAnsi="Times New Roman" w:cs="Times New Roman"/>
          <w:highlight w:val="white"/>
        </w:rPr>
        <w:t xml:space="preserve">. </w:t>
      </w:r>
      <w:r w:rsidR="00F233E1">
        <w:rPr>
          <w:rFonts w:ascii="Times New Roman" w:eastAsia="Times New Roman" w:hAnsi="Times New Roman" w:cs="Times New Roman"/>
          <w:highlight w:val="white"/>
        </w:rPr>
        <w:t>v.</w:t>
      </w:r>
      <w:r w:rsidRPr="00F233E1">
        <w:rPr>
          <w:rFonts w:ascii="Times New Roman" w:eastAsia="Times New Roman" w:hAnsi="Times New Roman" w:cs="Times New Roman"/>
          <w:highlight w:val="white"/>
        </w:rPr>
        <w:t>29</w:t>
      </w:r>
      <w:r w:rsidR="00F233E1">
        <w:rPr>
          <w:rFonts w:ascii="Times New Roman" w:eastAsia="Times New Roman" w:hAnsi="Times New Roman" w:cs="Times New Roman"/>
          <w:highlight w:val="white"/>
        </w:rPr>
        <w:t>, n.4, p.</w:t>
      </w:r>
      <w:r w:rsidRPr="00F233E1">
        <w:rPr>
          <w:rFonts w:ascii="Times New Roman" w:eastAsia="Times New Roman" w:hAnsi="Times New Roman" w:cs="Times New Roman"/>
          <w:highlight w:val="white"/>
        </w:rPr>
        <w:t>505-15</w:t>
      </w:r>
      <w:r w:rsidR="00F233E1">
        <w:rPr>
          <w:rFonts w:ascii="Times New Roman" w:eastAsia="Times New Roman" w:hAnsi="Times New Roman" w:cs="Times New Roman"/>
          <w:highlight w:val="white"/>
        </w:rPr>
        <w:t>, 2016</w:t>
      </w:r>
      <w:r w:rsidRPr="00F233E1">
        <w:rPr>
          <w:rFonts w:ascii="Times New Roman" w:eastAsia="Times New Roman" w:hAnsi="Times New Roman" w:cs="Times New Roman"/>
          <w:highlight w:val="white"/>
        </w:rPr>
        <w:t>.</w:t>
      </w:r>
    </w:p>
    <w:p w14:paraId="0E771926" w14:textId="503543FE" w:rsidR="00A00799" w:rsidRPr="00F233E1" w:rsidRDefault="00792F5E" w:rsidP="00F233E1">
      <w:pPr>
        <w:spacing w:line="240" w:lineRule="auto"/>
        <w:ind w:leftChars="150" w:left="330"/>
        <w:rPr>
          <w:rFonts w:ascii="Times New Roman" w:eastAsia="Times New Roman" w:hAnsi="Times New Roman" w:cs="Times New Roman"/>
        </w:rPr>
      </w:pPr>
      <w:r w:rsidRPr="00F233E1">
        <w:rPr>
          <w:rFonts w:ascii="Times New Roman" w:eastAsia="Times New Roman" w:hAnsi="Times New Roman" w:cs="Times New Roman"/>
        </w:rPr>
        <w:t xml:space="preserve">SILVA, B. Y. D. C.  </w:t>
      </w:r>
      <w:proofErr w:type="gramStart"/>
      <w:r w:rsidRPr="00F233E1">
        <w:rPr>
          <w:rFonts w:ascii="Times New Roman" w:eastAsia="Times New Roman" w:hAnsi="Times New Roman" w:cs="Times New Roman"/>
        </w:rPr>
        <w:t>et</w:t>
      </w:r>
      <w:proofErr w:type="gramEnd"/>
      <w:r w:rsidRPr="00F233E1">
        <w:rPr>
          <w:rFonts w:ascii="Times New Roman" w:eastAsia="Times New Roman" w:hAnsi="Times New Roman" w:cs="Times New Roman"/>
        </w:rPr>
        <w:t xml:space="preserve"> al. Inter-relações entre consumo de cálcio e pré-eclâmpsia. </w:t>
      </w:r>
      <w:proofErr w:type="spellStart"/>
      <w:r w:rsidRPr="00F233E1">
        <w:rPr>
          <w:rFonts w:ascii="Times New Roman" w:eastAsia="Times New Roman" w:hAnsi="Times New Roman" w:cs="Times New Roman"/>
          <w:b/>
        </w:rPr>
        <w:t>Rev</w:t>
      </w:r>
      <w:proofErr w:type="spellEnd"/>
      <w:r w:rsidRPr="00F233E1">
        <w:rPr>
          <w:rFonts w:ascii="Times New Roman" w:eastAsia="Times New Roman" w:hAnsi="Times New Roman" w:cs="Times New Roman"/>
          <w:b/>
        </w:rPr>
        <w:t xml:space="preserve"> </w:t>
      </w:r>
      <w:proofErr w:type="spellStart"/>
      <w:r w:rsidRPr="00F233E1">
        <w:rPr>
          <w:rFonts w:ascii="Times New Roman" w:eastAsia="Times New Roman" w:hAnsi="Times New Roman" w:cs="Times New Roman"/>
          <w:b/>
        </w:rPr>
        <w:t>Bras</w:t>
      </w:r>
      <w:proofErr w:type="spellEnd"/>
      <w:r w:rsidRPr="00F233E1">
        <w:rPr>
          <w:rFonts w:ascii="Times New Roman" w:eastAsia="Times New Roman" w:hAnsi="Times New Roman" w:cs="Times New Roman"/>
          <w:b/>
        </w:rPr>
        <w:t xml:space="preserve"> </w:t>
      </w:r>
      <w:proofErr w:type="spellStart"/>
      <w:r w:rsidRPr="00F233E1">
        <w:rPr>
          <w:rFonts w:ascii="Times New Roman" w:eastAsia="Times New Roman" w:hAnsi="Times New Roman" w:cs="Times New Roman"/>
          <w:b/>
        </w:rPr>
        <w:t>Nutr</w:t>
      </w:r>
      <w:proofErr w:type="spellEnd"/>
      <w:r w:rsidRPr="00F233E1">
        <w:rPr>
          <w:rFonts w:ascii="Times New Roman" w:eastAsia="Times New Roman" w:hAnsi="Times New Roman" w:cs="Times New Roman"/>
          <w:b/>
        </w:rPr>
        <w:t xml:space="preserve"> </w:t>
      </w:r>
      <w:proofErr w:type="spellStart"/>
      <w:r w:rsidRPr="00F233E1">
        <w:rPr>
          <w:rFonts w:ascii="Times New Roman" w:eastAsia="Times New Roman" w:hAnsi="Times New Roman" w:cs="Times New Roman"/>
          <w:b/>
        </w:rPr>
        <w:t>Clin</w:t>
      </w:r>
      <w:proofErr w:type="spellEnd"/>
      <w:r w:rsidR="00F233E1">
        <w:rPr>
          <w:rFonts w:ascii="Times New Roman" w:eastAsia="Times New Roman" w:hAnsi="Times New Roman" w:cs="Times New Roman"/>
        </w:rPr>
        <w:t>.</w:t>
      </w:r>
      <w:r w:rsidRPr="00F233E1">
        <w:rPr>
          <w:rFonts w:ascii="Times New Roman" w:eastAsia="Times New Roman" w:hAnsi="Times New Roman" w:cs="Times New Roman"/>
        </w:rPr>
        <w:t xml:space="preserve"> </w:t>
      </w:r>
      <w:proofErr w:type="gramStart"/>
      <w:r w:rsidRPr="00F233E1">
        <w:rPr>
          <w:rFonts w:ascii="Times New Roman" w:eastAsia="Times New Roman" w:hAnsi="Times New Roman" w:cs="Times New Roman"/>
        </w:rPr>
        <w:t>v.</w:t>
      </w:r>
      <w:proofErr w:type="gramEnd"/>
      <w:r w:rsidRPr="00F233E1">
        <w:rPr>
          <w:rFonts w:ascii="Times New Roman" w:eastAsia="Times New Roman" w:hAnsi="Times New Roman" w:cs="Times New Roman"/>
        </w:rPr>
        <w:t xml:space="preserve"> 26</w:t>
      </w:r>
      <w:r w:rsidR="00F233E1">
        <w:rPr>
          <w:rFonts w:ascii="Times New Roman" w:eastAsia="Times New Roman" w:hAnsi="Times New Roman" w:cs="Times New Roman"/>
        </w:rPr>
        <w:t>,</w:t>
      </w:r>
      <w:r w:rsidRPr="00F233E1">
        <w:rPr>
          <w:rFonts w:ascii="Times New Roman" w:eastAsia="Times New Roman" w:hAnsi="Times New Roman" w:cs="Times New Roman"/>
        </w:rPr>
        <w:t xml:space="preserve"> n. 4, p. 264-9,  2011.  </w:t>
      </w:r>
    </w:p>
    <w:bookmarkStart w:id="0" w:name="_gjdgxs" w:colFirst="0" w:colLast="0"/>
    <w:bookmarkEnd w:id="0"/>
    <w:p w14:paraId="0A0C9230" w14:textId="77777777" w:rsidR="00A00799" w:rsidRPr="00F233E1" w:rsidRDefault="00792F5E" w:rsidP="00F233E1">
      <w:pPr>
        <w:spacing w:line="240" w:lineRule="auto"/>
        <w:ind w:leftChars="150" w:left="330"/>
        <w:rPr>
          <w:rFonts w:ascii="Times New Roman" w:eastAsia="Times New Roman" w:hAnsi="Times New Roman" w:cs="Times New Roman"/>
        </w:rPr>
      </w:pPr>
      <w:r w:rsidRPr="00F233E1">
        <w:rPr>
          <w:rFonts w:ascii="Times New Roman" w:hAnsi="Times New Roman" w:cs="Times New Roman"/>
        </w:rPr>
        <w:fldChar w:fldCharType="begin"/>
      </w:r>
      <w:r w:rsidRPr="00F233E1">
        <w:rPr>
          <w:rFonts w:ascii="Times New Roman" w:hAnsi="Times New Roman" w:cs="Times New Roman"/>
        </w:rPr>
        <w:instrText xml:space="preserve"> HYPERLINK "https://www.who.int/" \h </w:instrText>
      </w:r>
      <w:r w:rsidRPr="00F233E1">
        <w:rPr>
          <w:rFonts w:ascii="Times New Roman" w:hAnsi="Times New Roman" w:cs="Times New Roman"/>
        </w:rPr>
        <w:fldChar w:fldCharType="separate"/>
      </w:r>
      <w:r w:rsidRPr="00F233E1">
        <w:rPr>
          <w:rFonts w:ascii="Times New Roman" w:eastAsia="Times New Roman" w:hAnsi="Times New Roman" w:cs="Times New Roman"/>
          <w:highlight w:val="white"/>
        </w:rPr>
        <w:t>WORLD HEALTH ORGANIZATION</w:t>
      </w:r>
      <w:r w:rsidRPr="00F233E1">
        <w:rPr>
          <w:rFonts w:ascii="Times New Roman" w:eastAsia="Times New Roman" w:hAnsi="Times New Roman" w:cs="Times New Roman"/>
          <w:highlight w:val="white"/>
        </w:rPr>
        <w:fldChar w:fldCharType="end"/>
      </w:r>
      <w:r w:rsidRPr="00F233E1">
        <w:rPr>
          <w:rFonts w:ascii="Times New Roman" w:eastAsia="Times New Roman" w:hAnsi="Times New Roman" w:cs="Times New Roman"/>
        </w:rPr>
        <w:t xml:space="preserve"> (WHO). </w:t>
      </w:r>
      <w:r w:rsidRPr="00F233E1">
        <w:rPr>
          <w:rFonts w:ascii="Times New Roman" w:eastAsia="Times New Roman" w:hAnsi="Times New Roman" w:cs="Times New Roman"/>
          <w:b/>
        </w:rPr>
        <w:t>Recomendações da OMS para a Prevenção e tratamento da pré-eclâmpsia e da eclampsi</w:t>
      </w:r>
      <w:bookmarkStart w:id="1" w:name="_GoBack"/>
      <w:bookmarkEnd w:id="1"/>
      <w:r w:rsidRPr="00F233E1">
        <w:rPr>
          <w:rFonts w:ascii="Times New Roman" w:eastAsia="Times New Roman" w:hAnsi="Times New Roman" w:cs="Times New Roman"/>
          <w:b/>
        </w:rPr>
        <w:t>a.</w:t>
      </w:r>
      <w:r w:rsidRPr="00F233E1">
        <w:rPr>
          <w:rFonts w:ascii="Times New Roman" w:eastAsia="Times New Roman" w:hAnsi="Times New Roman" w:cs="Times New Roman"/>
        </w:rPr>
        <w:t xml:space="preserve"> Genebra, 2011</w:t>
      </w:r>
    </w:p>
    <w:p w14:paraId="1F50E493" w14:textId="77777777" w:rsidR="00A00799" w:rsidRDefault="00A00799">
      <w:pPr>
        <w:spacing w:after="120" w:line="240" w:lineRule="auto"/>
        <w:rPr>
          <w:rFonts w:ascii="Times New Roman" w:eastAsia="Times New Roman" w:hAnsi="Times New Roman" w:cs="Times New Roman"/>
        </w:rPr>
      </w:pPr>
    </w:p>
    <w:p w14:paraId="7D5DAA86" w14:textId="77777777" w:rsidR="00A00799" w:rsidRDefault="00A00799"/>
    <w:sectPr w:rsidR="00A00799">
      <w:headerReference w:type="default" r:id="rId10"/>
      <w:footerReference w:type="default" r:id="rId11"/>
      <w:pgSz w:w="11906" w:h="16838"/>
      <w:pgMar w:top="1701" w:right="1134" w:bottom="1134" w:left="1701"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A7A70C" w15:done="0"/>
  <w15:commentEx w15:paraId="6714042B" w15:done="0"/>
  <w15:commentEx w15:paraId="55AA830C" w15:done="0"/>
  <w15:commentEx w15:paraId="290E29CC" w15:done="0"/>
  <w15:commentEx w15:paraId="14800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056F" w16cex:dateUtc="2020-10-27T23:45:00Z"/>
  <w16cex:commentExtensible w16cex:durableId="2346756D" w16cex:dateUtc="2020-10-30T14:20:00Z"/>
  <w16cex:commentExtensible w16cex:durableId="234306BD" w16cex:dateUtc="2020-10-27T23:51:00Z"/>
  <w16cex:commentExtensible w16cex:durableId="23430697" w16cex:dateUtc="2020-10-27T23:50:00Z"/>
  <w16cex:commentExtensible w16cex:durableId="234306AD" w16cex:dateUtc="2020-10-27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A7A70C" w16cid:durableId="2343056F"/>
  <w16cid:commentId w16cid:paraId="6714042B" w16cid:durableId="2346756D"/>
  <w16cid:commentId w16cid:paraId="55AA830C" w16cid:durableId="234306BD"/>
  <w16cid:commentId w16cid:paraId="290E29CC" w16cid:durableId="23430697"/>
  <w16cid:commentId w16cid:paraId="14800A8A" w16cid:durableId="234306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F8896" w14:textId="77777777" w:rsidR="00977BED" w:rsidRDefault="00977BED">
      <w:pPr>
        <w:spacing w:after="0" w:line="240" w:lineRule="auto"/>
      </w:pPr>
      <w:r>
        <w:separator/>
      </w:r>
    </w:p>
  </w:endnote>
  <w:endnote w:type="continuationSeparator" w:id="0">
    <w:p w14:paraId="13256BA0" w14:textId="77777777" w:rsidR="00977BED" w:rsidRDefault="0097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Monda">
    <w:altName w:val="Calibri"/>
    <w:charset w:val="00"/>
    <w:family w:val="auto"/>
    <w:pitch w:val="default"/>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42F9F" w14:textId="77777777" w:rsidR="00A00799" w:rsidRDefault="00792F5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233E1">
      <w:rPr>
        <w:noProof/>
        <w:color w:val="000000"/>
      </w:rPr>
      <w:t>1</w:t>
    </w:r>
    <w:r>
      <w:rPr>
        <w:color w:val="000000"/>
      </w:rPr>
      <w:fldChar w:fldCharType="end"/>
    </w:r>
  </w:p>
  <w:p w14:paraId="5673BEA7" w14:textId="77777777" w:rsidR="00A00799" w:rsidRDefault="00A0079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ABF5B" w14:textId="77777777" w:rsidR="00977BED" w:rsidRDefault="00977BED">
      <w:pPr>
        <w:spacing w:after="0" w:line="240" w:lineRule="auto"/>
      </w:pPr>
      <w:r>
        <w:separator/>
      </w:r>
    </w:p>
  </w:footnote>
  <w:footnote w:type="continuationSeparator" w:id="0">
    <w:p w14:paraId="42FA76A5" w14:textId="77777777" w:rsidR="00977BED" w:rsidRDefault="00977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24B1" w14:textId="77777777" w:rsidR="00A00799" w:rsidRDefault="00792F5E">
    <w:pPr>
      <w:spacing w:after="0"/>
      <w:rPr>
        <w:rFonts w:ascii="Monda" w:eastAsia="Monda" w:hAnsi="Monda" w:cs="Monda"/>
      </w:rPr>
    </w:pPr>
    <w:r>
      <w:rPr>
        <w:noProof/>
      </w:rPr>
      <w:drawing>
        <wp:anchor distT="0" distB="0" distL="114300" distR="114300" simplePos="0" relativeHeight="251658240" behindDoc="0" locked="0" layoutInCell="1" hidden="0" allowOverlap="1" wp14:anchorId="16162957" wp14:editId="6B3CA2D4">
          <wp:simplePos x="0" y="0"/>
          <wp:positionH relativeFrom="column">
            <wp:posOffset>3782059</wp:posOffset>
          </wp:positionH>
          <wp:positionV relativeFrom="paragraph">
            <wp:posOffset>125095</wp:posOffset>
          </wp:positionV>
          <wp:extent cx="1806575" cy="525145"/>
          <wp:effectExtent l="0" t="0" r="0" b="0"/>
          <wp:wrapSquare wrapText="bothSides" distT="0" distB="0" distL="114300" distR="11430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t="23091" b="47786"/>
                  <a:stretch>
                    <a:fillRect/>
                  </a:stretch>
                </pic:blipFill>
                <pic:spPr>
                  <a:xfrm>
                    <a:off x="0" y="0"/>
                    <a:ext cx="1806575" cy="52514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03F9003" wp14:editId="71847344">
              <wp:simplePos x="0" y="0"/>
              <wp:positionH relativeFrom="column">
                <wp:posOffset>-482599</wp:posOffset>
              </wp:positionH>
              <wp:positionV relativeFrom="paragraph">
                <wp:posOffset>0</wp:posOffset>
              </wp:positionV>
              <wp:extent cx="6311900" cy="835025"/>
              <wp:effectExtent l="0" t="0" r="0" b="0"/>
              <wp:wrapNone/>
              <wp:docPr id="5" name="Retângulo: Biselado 5"/>
              <wp:cNvGraphicFramePr/>
              <a:graphic xmlns:a="http://schemas.openxmlformats.org/drawingml/2006/main">
                <a:graphicData uri="http://schemas.microsoft.com/office/word/2010/wordprocessingShape">
                  <wps:wsp>
                    <wps:cNvSpPr/>
                    <wps:spPr>
                      <a:xfrm>
                        <a:off x="2202750" y="3375188"/>
                        <a:ext cx="6286500" cy="809625"/>
                      </a:xfrm>
                      <a:prstGeom prst="bevel">
                        <a:avLst>
                          <a:gd name="adj" fmla="val 12500"/>
                        </a:avLst>
                      </a:prstGeom>
                      <a:noFill/>
                      <a:ln w="25400" cap="flat" cmpd="sng">
                        <a:solidFill>
                          <a:schemeClr val="accent6"/>
                        </a:solidFill>
                        <a:prstDash val="solid"/>
                        <a:round/>
                        <a:headEnd type="none" w="sm" len="sm"/>
                        <a:tailEnd type="none" w="sm" len="sm"/>
                      </a:ln>
                    </wps:spPr>
                    <wps:txbx>
                      <w:txbxContent>
                        <w:p w14:paraId="630CAAB4" w14:textId="77777777" w:rsidR="00A00799" w:rsidRDefault="00A007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3F900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5" o:spid="_x0000_s1030" type="#_x0000_t84" style="position:absolute;margin-left:-38pt;margin-top:0;width:497pt;height:6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" filled="f" strokecolor="#f79646 [3209]" strokeweight="2pt">
              <v:stroke startarrowwidth="narrow" startarrowlength="short" endarrowwidth="narrow" endarrowlength="short" joinstyle="round"/>
              <v:textbox inset="2.53958mm,2.53958mm,2.53958mm,2.53958mm">
                <w:txbxContent>
                  <w:p w14:paraId="630CAAB4" w14:textId="77777777" w:rsidR="00A00799" w:rsidRDefault="00A00799">
                    <w:pPr>
                      <w:spacing w:after="0" w:line="240" w:lineRule="auto"/>
                      <w:textDirection w:val="btLr"/>
                    </w:pPr>
                  </w:p>
                </w:txbxContent>
              </v:textbox>
            </v:shape>
          </w:pict>
        </mc:Fallback>
      </mc:AlternateContent>
    </w:r>
  </w:p>
  <w:p w14:paraId="597E8320" w14:textId="77777777" w:rsidR="00A00799" w:rsidRDefault="00792F5E">
    <w:pPr>
      <w:spacing w:after="0"/>
      <w:rPr>
        <w:rFonts w:ascii="Arial Rounded" w:eastAsia="Arial Rounded" w:hAnsi="Arial Rounded" w:cs="Arial Rounded"/>
        <w:b/>
      </w:rPr>
    </w:pPr>
    <w:r>
      <w:rPr>
        <w:rFonts w:ascii="Arial Rounded" w:eastAsia="Arial Rounded" w:hAnsi="Arial Rounded" w:cs="Arial Rounded"/>
        <w:b/>
      </w:rPr>
      <w:t>III Congresso Internacional de Nutrição</w:t>
    </w:r>
  </w:p>
  <w:p w14:paraId="657940E2" w14:textId="77777777" w:rsidR="00A00799" w:rsidRDefault="00792F5E">
    <w:pPr>
      <w:pBdr>
        <w:top w:val="nil"/>
        <w:left w:val="nil"/>
        <w:bottom w:val="nil"/>
        <w:right w:val="nil"/>
        <w:between w:val="nil"/>
      </w:pBdr>
      <w:tabs>
        <w:tab w:val="center" w:pos="4252"/>
        <w:tab w:val="right" w:pos="8504"/>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Online</w:t>
    </w:r>
  </w:p>
  <w:p w14:paraId="77BB0B45" w14:textId="77777777" w:rsidR="00A00799" w:rsidRDefault="00A00799">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p w14:paraId="5DAC48DB" w14:textId="77777777" w:rsidR="00A00799" w:rsidRDefault="00A00799">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Érica Rosa">
    <w15:presenceInfo w15:providerId="Windows Live" w15:userId="cf37118e3f183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99"/>
    <w:rsid w:val="00353E72"/>
    <w:rsid w:val="004406F0"/>
    <w:rsid w:val="007753B7"/>
    <w:rsid w:val="00792F5E"/>
    <w:rsid w:val="0086488E"/>
    <w:rsid w:val="008D5CCB"/>
    <w:rsid w:val="00977BED"/>
    <w:rsid w:val="00A00799"/>
    <w:rsid w:val="00BA1BA0"/>
    <w:rsid w:val="00F233E1"/>
    <w:rsid w:val="00F70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4A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7753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53B7"/>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6488E"/>
    <w:rPr>
      <w:b/>
      <w:bCs/>
    </w:rPr>
  </w:style>
  <w:style w:type="character" w:customStyle="1" w:styleId="AssuntodocomentrioChar">
    <w:name w:val="Assunto do comentário Char"/>
    <w:basedOn w:val="TextodecomentrioChar"/>
    <w:link w:val="Assuntodocomentrio"/>
    <w:uiPriority w:val="99"/>
    <w:semiHidden/>
    <w:rsid w:val="008648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7753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53B7"/>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6488E"/>
    <w:rPr>
      <w:b/>
      <w:bCs/>
    </w:rPr>
  </w:style>
  <w:style w:type="character" w:customStyle="1" w:styleId="AssuntodocomentrioChar">
    <w:name w:val="Assunto do comentário Char"/>
    <w:basedOn w:val="TextodecomentrioChar"/>
    <w:link w:val="Assuntodocomentrio"/>
    <w:uiPriority w:val="99"/>
    <w:semiHidden/>
    <w:rsid w:val="008648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18/08/relationships/commentsExtensible" Target="commentsExtensible.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2020</Words>
  <Characters>10908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Érica Rosa</dc:creator>
  <cp:lastModifiedBy>Elaine Mendonça</cp:lastModifiedBy>
  <cp:revision>3</cp:revision>
  <dcterms:created xsi:type="dcterms:W3CDTF">2020-10-30T14:25:00Z</dcterms:created>
  <dcterms:modified xsi:type="dcterms:W3CDTF">2020-11-03T04:49:00Z</dcterms:modified>
</cp:coreProperties>
</file>