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20C33" w14:textId="19B6C0BD" w:rsidR="00D21417" w:rsidRDefault="00D21417" w:rsidP="00D2141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16A4F">
        <w:rPr>
          <w:rFonts w:ascii="Times New Roman" w:hAnsi="Times New Roman"/>
          <w:b/>
          <w:bCs/>
          <w:sz w:val="28"/>
          <w:szCs w:val="28"/>
        </w:rPr>
        <w:t xml:space="preserve">Ataque de brocas em madeiras de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A</w:t>
      </w:r>
      <w:r w:rsidRPr="00616A4F">
        <w:rPr>
          <w:rFonts w:ascii="Times New Roman" w:hAnsi="Times New Roman"/>
          <w:b/>
          <w:bCs/>
          <w:i/>
          <w:iCs/>
          <w:sz w:val="28"/>
          <w:szCs w:val="28"/>
        </w:rPr>
        <w:t>nadenanthera</w:t>
      </w:r>
      <w:proofErr w:type="spellEnd"/>
      <w:r w:rsidRPr="00616A4F">
        <w:rPr>
          <w:rFonts w:ascii="Times New Roman" w:hAnsi="Times New Roman"/>
          <w:b/>
          <w:bCs/>
          <w:i/>
          <w:iCs/>
          <w:sz w:val="28"/>
          <w:szCs w:val="28"/>
        </w:rPr>
        <w:t xml:space="preserve"> peregrina</w:t>
      </w:r>
      <w:r w:rsidRPr="00616A4F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="00697959">
        <w:rPr>
          <w:rFonts w:ascii="Times New Roman" w:hAnsi="Times New Roman"/>
          <w:b/>
          <w:bCs/>
          <w:sz w:val="28"/>
          <w:szCs w:val="28"/>
        </w:rPr>
        <w:t>L</w:t>
      </w:r>
      <w:r w:rsidRPr="00616A4F">
        <w:rPr>
          <w:rFonts w:ascii="Times New Roman" w:hAnsi="Times New Roman"/>
          <w:b/>
          <w:bCs/>
          <w:sz w:val="28"/>
          <w:szCs w:val="28"/>
        </w:rPr>
        <w:t xml:space="preserve">.) </w:t>
      </w:r>
      <w:proofErr w:type="spellStart"/>
      <w:r w:rsidR="00C54E76">
        <w:rPr>
          <w:rFonts w:ascii="Times New Roman" w:hAnsi="Times New Roman"/>
          <w:b/>
          <w:bCs/>
          <w:sz w:val="28"/>
          <w:szCs w:val="28"/>
        </w:rPr>
        <w:t>S</w:t>
      </w:r>
      <w:r w:rsidRPr="00616A4F">
        <w:rPr>
          <w:rFonts w:ascii="Times New Roman" w:hAnsi="Times New Roman"/>
          <w:b/>
          <w:bCs/>
          <w:sz w:val="28"/>
          <w:szCs w:val="28"/>
        </w:rPr>
        <w:t>peg</w:t>
      </w:r>
      <w:proofErr w:type="spellEnd"/>
      <w:r w:rsidRPr="00616A4F">
        <w:rPr>
          <w:rFonts w:ascii="Times New Roman" w:hAnsi="Times New Roman"/>
          <w:b/>
          <w:bCs/>
          <w:sz w:val="28"/>
          <w:szCs w:val="28"/>
        </w:rPr>
        <w:t xml:space="preserve"> em diferentes espaçamentos</w:t>
      </w:r>
    </w:p>
    <w:p w14:paraId="130CE010" w14:textId="6FFC91A3" w:rsidR="00CB0F0B" w:rsidRDefault="00CB0F0B" w:rsidP="00D2141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05E11B" w14:textId="77777777" w:rsidR="00CB0F0B" w:rsidRPr="00294913" w:rsidRDefault="00CB0F0B" w:rsidP="00CB0F0B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Emilly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Soares Gomes da Silva</w:t>
      </w:r>
      <w:r w:rsidRPr="00FC2EB3">
        <w:rPr>
          <w:rFonts w:ascii="Times New Roman" w:hAnsi="Times New Roman"/>
          <w:b/>
          <w:sz w:val="24"/>
          <w:szCs w:val="24"/>
        </w:rPr>
        <w:t xml:space="preserve">¹, </w:t>
      </w:r>
      <w:r>
        <w:rPr>
          <w:rFonts w:ascii="Times New Roman" w:hAnsi="Times New Roman"/>
          <w:b/>
          <w:sz w:val="24"/>
          <w:szCs w:val="24"/>
        </w:rPr>
        <w:t>Fabrício Gomes Gonçalves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Paula de Souza Marvila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, Félix Queiroz de Jesus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; Paulo André Trazzi</w:t>
      </w:r>
      <w:r w:rsidRPr="00294913">
        <w:rPr>
          <w:rFonts w:ascii="Times New Roman" w:hAnsi="Times New Roman"/>
          <w:b/>
          <w:sz w:val="24"/>
          <w:szCs w:val="24"/>
          <w:vertAlign w:val="superscript"/>
        </w:rPr>
        <w:t>3</w:t>
      </w:r>
    </w:p>
    <w:p w14:paraId="5F999D2D" w14:textId="77777777" w:rsidR="00CB0F0B" w:rsidRPr="004C6F75" w:rsidRDefault="00CB0F0B" w:rsidP="00CB0F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2FB56B" w14:textId="77777777" w:rsidR="00CB0F0B" w:rsidRPr="00414183" w:rsidRDefault="00CB0F0B" w:rsidP="00CB0F0B">
      <w:pPr>
        <w:spacing w:after="0" w:line="240" w:lineRule="auto"/>
        <w:jc w:val="center"/>
        <w:rPr>
          <w:rFonts w:ascii="Times New Roman" w:hAnsi="Times New Roman"/>
        </w:rPr>
      </w:pPr>
      <w:r w:rsidRPr="00414183">
        <w:rPr>
          <w:rFonts w:ascii="Times New Roman" w:hAnsi="Times New Roman"/>
          <w:vertAlign w:val="superscript"/>
        </w:rPr>
        <w:t>1</w:t>
      </w:r>
      <w:r w:rsidRPr="00414183">
        <w:rPr>
          <w:rFonts w:ascii="Times New Roman" w:hAnsi="Times New Roman"/>
        </w:rPr>
        <w:t xml:space="preserve"> Universidade Federal do Espírito Santo, Jerônimo Monteiro, Espírito Santo (</w:t>
      </w:r>
      <w:hyperlink r:id="rId7" w:history="1">
        <w:r w:rsidRPr="00414183">
          <w:rPr>
            <w:rStyle w:val="Hyperlink"/>
            <w:rFonts w:ascii="Times New Roman" w:hAnsi="Times New Roman"/>
          </w:rPr>
          <w:t>emillysoaresgomes@gmail.com</w:t>
        </w:r>
      </w:hyperlink>
      <w:r w:rsidRPr="00414183">
        <w:rPr>
          <w:rFonts w:ascii="Times New Roman" w:hAnsi="Times New Roman"/>
        </w:rPr>
        <w:t xml:space="preserve">); </w:t>
      </w:r>
      <w:r w:rsidRPr="00414183">
        <w:rPr>
          <w:rFonts w:ascii="Times New Roman" w:hAnsi="Times New Roman"/>
          <w:vertAlign w:val="superscript"/>
        </w:rPr>
        <w:t xml:space="preserve">2 </w:t>
      </w:r>
      <w:r w:rsidRPr="00414183">
        <w:rPr>
          <w:rFonts w:ascii="Times New Roman" w:hAnsi="Times New Roman"/>
        </w:rPr>
        <w:t xml:space="preserve">Universidade do Estado de Minas Gerais, Divinópolis, Minas Gerais; </w:t>
      </w:r>
      <w:r w:rsidRPr="00414183">
        <w:rPr>
          <w:rFonts w:ascii="Times New Roman" w:hAnsi="Times New Roman"/>
          <w:vertAlign w:val="superscript"/>
        </w:rPr>
        <w:t xml:space="preserve">3 </w:t>
      </w:r>
      <w:r w:rsidRPr="00414183">
        <w:rPr>
          <w:rFonts w:ascii="Times New Roman" w:hAnsi="Times New Roman"/>
        </w:rPr>
        <w:t>Universidade do Estado de Minas Gerais, Ituiutaba, Minas Gerais</w:t>
      </w:r>
    </w:p>
    <w:p w14:paraId="476C1386" w14:textId="77777777" w:rsidR="00CB0F0B" w:rsidRPr="00616A4F" w:rsidRDefault="00CB0F0B" w:rsidP="00D2141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6B7E4B" w14:textId="38ECB2FD" w:rsidR="00224047" w:rsidRPr="006050DC" w:rsidRDefault="00224047" w:rsidP="00224047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50DC">
        <w:rPr>
          <w:rFonts w:ascii="Times New Roman" w:hAnsi="Times New Roman"/>
          <w:sz w:val="24"/>
          <w:szCs w:val="24"/>
        </w:rPr>
        <w:t xml:space="preserve">As brocas são agentes biodeterioradores da madeira que causam grandes danos </w:t>
      </w:r>
      <w:r w:rsidR="003814D0" w:rsidRPr="006050DC">
        <w:rPr>
          <w:rFonts w:ascii="Times New Roman" w:hAnsi="Times New Roman"/>
          <w:sz w:val="24"/>
          <w:szCs w:val="24"/>
        </w:rPr>
        <w:t xml:space="preserve">às </w:t>
      </w:r>
      <w:r w:rsidRPr="006050DC">
        <w:rPr>
          <w:rFonts w:ascii="Times New Roman" w:hAnsi="Times New Roman"/>
          <w:sz w:val="24"/>
          <w:szCs w:val="24"/>
        </w:rPr>
        <w:t xml:space="preserve">propriedades do material. A diversidade de espécies e hábitos desses agentes são variados e devem ser abordados para que ações preventivas sejam adotadas no intuito de preservar o material e a qualidade do produto. Nesse contexto, o objetivo do presente trabalho consistiu no levantamento e análise do comportamento de brocas em madeiras de </w:t>
      </w:r>
      <w:proofErr w:type="spellStart"/>
      <w:r w:rsidRPr="006050DC">
        <w:rPr>
          <w:rFonts w:ascii="Times New Roman" w:hAnsi="Times New Roman"/>
          <w:i/>
          <w:iCs/>
          <w:sz w:val="24"/>
          <w:szCs w:val="24"/>
        </w:rPr>
        <w:t>Anadenanthera</w:t>
      </w:r>
      <w:proofErr w:type="spellEnd"/>
      <w:r w:rsidRPr="006050DC">
        <w:rPr>
          <w:rFonts w:ascii="Times New Roman" w:hAnsi="Times New Roman"/>
          <w:i/>
          <w:iCs/>
          <w:sz w:val="24"/>
          <w:szCs w:val="24"/>
        </w:rPr>
        <w:t xml:space="preserve"> peregrina</w:t>
      </w:r>
      <w:r w:rsidRPr="006050DC">
        <w:rPr>
          <w:rFonts w:ascii="Times New Roman" w:hAnsi="Times New Roman"/>
          <w:sz w:val="24"/>
          <w:szCs w:val="24"/>
        </w:rPr>
        <w:t xml:space="preserve"> (L.) </w:t>
      </w:r>
      <w:proofErr w:type="spellStart"/>
      <w:r w:rsidRPr="006050DC">
        <w:rPr>
          <w:rFonts w:ascii="Times New Roman" w:hAnsi="Times New Roman"/>
          <w:sz w:val="24"/>
          <w:szCs w:val="24"/>
        </w:rPr>
        <w:t>Speg</w:t>
      </w:r>
      <w:proofErr w:type="spellEnd"/>
      <w:r w:rsidRPr="006050DC">
        <w:rPr>
          <w:rFonts w:ascii="Times New Roman" w:hAnsi="Times New Roman"/>
          <w:sz w:val="24"/>
          <w:szCs w:val="24"/>
        </w:rPr>
        <w:t xml:space="preserve"> oriundas de diferentes espaçamentos. Foram selecionadas cinco árvores de diferentes espaçamentos (3×3</w:t>
      </w:r>
      <w:r w:rsidR="003814D0" w:rsidRPr="006050DC">
        <w:rPr>
          <w:rFonts w:ascii="Times New Roman" w:hAnsi="Times New Roman"/>
          <w:sz w:val="24"/>
          <w:szCs w:val="24"/>
        </w:rPr>
        <w:t xml:space="preserve"> m</w:t>
      </w:r>
      <w:r w:rsidRPr="006050DC">
        <w:rPr>
          <w:rFonts w:ascii="Times New Roman" w:hAnsi="Times New Roman"/>
          <w:sz w:val="24"/>
          <w:szCs w:val="24"/>
        </w:rPr>
        <w:t>, 4×4</w:t>
      </w:r>
      <w:r w:rsidR="003814D0" w:rsidRPr="006050DC">
        <w:rPr>
          <w:rFonts w:ascii="Times New Roman" w:hAnsi="Times New Roman"/>
          <w:sz w:val="24"/>
          <w:szCs w:val="24"/>
        </w:rPr>
        <w:t xml:space="preserve"> m</w:t>
      </w:r>
      <w:r w:rsidRPr="006050DC">
        <w:rPr>
          <w:rFonts w:ascii="Times New Roman" w:hAnsi="Times New Roman"/>
          <w:sz w:val="24"/>
          <w:szCs w:val="24"/>
        </w:rPr>
        <w:t>, 5×5</w:t>
      </w:r>
      <w:r w:rsidR="003814D0" w:rsidRPr="006050DC">
        <w:rPr>
          <w:rFonts w:ascii="Times New Roman" w:hAnsi="Times New Roman"/>
          <w:sz w:val="24"/>
          <w:szCs w:val="24"/>
        </w:rPr>
        <w:t xml:space="preserve"> m</w:t>
      </w:r>
      <w:r w:rsidRPr="006050DC">
        <w:rPr>
          <w:rFonts w:ascii="Times New Roman" w:hAnsi="Times New Roman"/>
          <w:sz w:val="24"/>
          <w:szCs w:val="24"/>
        </w:rPr>
        <w:t>) resultantes de um desbaste seletivo</w:t>
      </w:r>
      <w:r w:rsidR="008E07F0">
        <w:rPr>
          <w:rFonts w:ascii="Times New Roman" w:hAnsi="Times New Roman"/>
          <w:sz w:val="24"/>
          <w:szCs w:val="24"/>
        </w:rPr>
        <w:t xml:space="preserve"> por baixo</w:t>
      </w:r>
      <w:r w:rsidRPr="006050DC">
        <w:rPr>
          <w:rFonts w:ascii="Times New Roman" w:hAnsi="Times New Roman"/>
          <w:sz w:val="24"/>
          <w:szCs w:val="24"/>
        </w:rPr>
        <w:t>, sendo o material</w:t>
      </w:r>
      <w:r w:rsidR="003814D0" w:rsidRPr="006050DC">
        <w:rPr>
          <w:rFonts w:ascii="Times New Roman" w:hAnsi="Times New Roman"/>
          <w:sz w:val="24"/>
          <w:szCs w:val="24"/>
        </w:rPr>
        <w:t>,</w:t>
      </w:r>
      <w:r w:rsidRPr="006050DC">
        <w:rPr>
          <w:rFonts w:ascii="Times New Roman" w:hAnsi="Times New Roman"/>
          <w:sz w:val="24"/>
          <w:szCs w:val="24"/>
        </w:rPr>
        <w:t xml:space="preserve"> após seleção, desdobrado em formato de toras para melhor visualização e levantamento desses insetos. No material obtido</w:t>
      </w:r>
      <w:r w:rsidR="003814D0" w:rsidRPr="006050DC">
        <w:rPr>
          <w:rFonts w:ascii="Times New Roman" w:hAnsi="Times New Roman"/>
          <w:sz w:val="24"/>
          <w:szCs w:val="24"/>
        </w:rPr>
        <w:t>,</w:t>
      </w:r>
      <w:r w:rsidRPr="006050DC">
        <w:rPr>
          <w:rFonts w:ascii="Times New Roman" w:hAnsi="Times New Roman"/>
          <w:sz w:val="24"/>
          <w:szCs w:val="24"/>
        </w:rPr>
        <w:t xml:space="preserve"> foi possível constatar o predomínio de brocas da espécie </w:t>
      </w:r>
      <w:proofErr w:type="spellStart"/>
      <w:r w:rsidRPr="006050DC">
        <w:rPr>
          <w:rFonts w:ascii="Times New Roman" w:hAnsi="Times New Roman"/>
          <w:i/>
          <w:iCs/>
          <w:sz w:val="24"/>
          <w:szCs w:val="24"/>
        </w:rPr>
        <w:t>Ambonus</w:t>
      </w:r>
      <w:proofErr w:type="spellEnd"/>
      <w:r w:rsidRPr="006050DC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50DC">
        <w:rPr>
          <w:rFonts w:ascii="Times New Roman" w:hAnsi="Times New Roman"/>
          <w:i/>
          <w:iCs/>
          <w:sz w:val="24"/>
          <w:szCs w:val="24"/>
        </w:rPr>
        <w:t>distinctus</w:t>
      </w:r>
      <w:proofErr w:type="spellEnd"/>
      <w:r w:rsidRPr="006050DC">
        <w:rPr>
          <w:rFonts w:ascii="Times New Roman" w:hAnsi="Times New Roman"/>
          <w:sz w:val="24"/>
          <w:szCs w:val="24"/>
        </w:rPr>
        <w:t xml:space="preserve"> em todas as árvores. Em relação ao comportamento da espécie identificada, notou-se que o ataque das brocas seguiu em formato de galerias</w:t>
      </w:r>
      <w:r w:rsidR="003814D0" w:rsidRPr="006050DC">
        <w:rPr>
          <w:rFonts w:ascii="Times New Roman" w:hAnsi="Times New Roman"/>
          <w:sz w:val="24"/>
          <w:szCs w:val="24"/>
        </w:rPr>
        <w:t>,</w:t>
      </w:r>
      <w:r w:rsidRPr="006050DC">
        <w:rPr>
          <w:rFonts w:ascii="Times New Roman" w:hAnsi="Times New Roman"/>
          <w:sz w:val="24"/>
          <w:szCs w:val="24"/>
        </w:rPr>
        <w:t xml:space="preserve"> tanto na casca quanto no câmbio e no alburno das toras. Nas madeiras do menor espaçamento</w:t>
      </w:r>
      <w:r w:rsidR="003814D0" w:rsidRPr="006050DC">
        <w:rPr>
          <w:rFonts w:ascii="Times New Roman" w:hAnsi="Times New Roman"/>
          <w:sz w:val="24"/>
          <w:szCs w:val="24"/>
        </w:rPr>
        <w:t>,</w:t>
      </w:r>
      <w:r w:rsidRPr="006050DC">
        <w:rPr>
          <w:rFonts w:ascii="Times New Roman" w:hAnsi="Times New Roman"/>
          <w:sz w:val="24"/>
          <w:szCs w:val="24"/>
        </w:rPr>
        <w:t xml:space="preserve"> foi observado menor proporção de brocas em estágio de larvas (14,58%) do total coletado, sendo a ocorrência dos ataques por meio de perfurações na casca e abertura de galerias na região do câmbio. </w:t>
      </w:r>
      <w:r w:rsidR="003814D0" w:rsidRPr="006050DC">
        <w:rPr>
          <w:rFonts w:ascii="Times New Roman" w:hAnsi="Times New Roman"/>
          <w:sz w:val="24"/>
          <w:szCs w:val="24"/>
        </w:rPr>
        <w:t>A</w:t>
      </w:r>
      <w:r w:rsidRPr="006050DC">
        <w:rPr>
          <w:rFonts w:ascii="Times New Roman" w:hAnsi="Times New Roman"/>
          <w:sz w:val="24"/>
          <w:szCs w:val="24"/>
        </w:rPr>
        <w:t>s toras provenientes dos maiores espaçamentos (4×4</w:t>
      </w:r>
      <w:r w:rsidR="003814D0" w:rsidRPr="006050DC">
        <w:rPr>
          <w:rFonts w:ascii="Times New Roman" w:hAnsi="Times New Roman"/>
          <w:sz w:val="24"/>
          <w:szCs w:val="24"/>
        </w:rPr>
        <w:t xml:space="preserve"> m</w:t>
      </w:r>
      <w:r w:rsidRPr="006050DC">
        <w:rPr>
          <w:rFonts w:ascii="Times New Roman" w:hAnsi="Times New Roman"/>
          <w:sz w:val="24"/>
          <w:szCs w:val="24"/>
        </w:rPr>
        <w:t>, 5×5</w:t>
      </w:r>
      <w:r w:rsidR="003814D0" w:rsidRPr="006050DC">
        <w:rPr>
          <w:rFonts w:ascii="Times New Roman" w:hAnsi="Times New Roman"/>
          <w:sz w:val="24"/>
          <w:szCs w:val="24"/>
        </w:rPr>
        <w:t xml:space="preserve"> m</w:t>
      </w:r>
      <w:r w:rsidRPr="006050DC">
        <w:rPr>
          <w:rFonts w:ascii="Times New Roman" w:hAnsi="Times New Roman"/>
          <w:sz w:val="24"/>
          <w:szCs w:val="24"/>
        </w:rPr>
        <w:t>) foram as que apresentaram maiores proporções de ataque desses insetos</w:t>
      </w:r>
      <w:r w:rsidR="00463FE0">
        <w:rPr>
          <w:rFonts w:ascii="Times New Roman" w:hAnsi="Times New Roman"/>
          <w:sz w:val="24"/>
          <w:szCs w:val="24"/>
        </w:rPr>
        <w:t xml:space="preserve"> (85,41%)</w:t>
      </w:r>
      <w:r w:rsidR="003814D0" w:rsidRPr="006050DC">
        <w:rPr>
          <w:rFonts w:ascii="Times New Roman" w:hAnsi="Times New Roman"/>
          <w:sz w:val="24"/>
          <w:szCs w:val="24"/>
        </w:rPr>
        <w:t>,</w:t>
      </w:r>
      <w:r w:rsidRPr="006050DC">
        <w:rPr>
          <w:rFonts w:ascii="Times New Roman" w:hAnsi="Times New Roman"/>
          <w:sz w:val="24"/>
          <w:szCs w:val="24"/>
        </w:rPr>
        <w:t xml:space="preserve"> tanto no estágio de larvas quanto na fase adulta (31,94% e 53,47%, respectivamente), sendo as toras do espaçamento 5×5 </w:t>
      </w:r>
      <w:r w:rsidR="003814D0" w:rsidRPr="006050DC">
        <w:rPr>
          <w:rFonts w:ascii="Times New Roman" w:hAnsi="Times New Roman"/>
          <w:sz w:val="24"/>
          <w:szCs w:val="24"/>
        </w:rPr>
        <w:t xml:space="preserve">m </w:t>
      </w:r>
      <w:r w:rsidRPr="006050DC">
        <w:rPr>
          <w:rFonts w:ascii="Times New Roman" w:hAnsi="Times New Roman"/>
          <w:sz w:val="24"/>
          <w:szCs w:val="24"/>
        </w:rPr>
        <w:t xml:space="preserve">as que apresentaram maiores danos devido </w:t>
      </w:r>
      <w:r w:rsidR="003814D0" w:rsidRPr="006050DC">
        <w:rPr>
          <w:rFonts w:ascii="Times New Roman" w:hAnsi="Times New Roman"/>
          <w:sz w:val="24"/>
          <w:szCs w:val="24"/>
        </w:rPr>
        <w:t xml:space="preserve">à </w:t>
      </w:r>
      <w:r w:rsidRPr="006050DC">
        <w:rPr>
          <w:rFonts w:ascii="Times New Roman" w:hAnsi="Times New Roman"/>
          <w:sz w:val="24"/>
          <w:szCs w:val="24"/>
        </w:rPr>
        <w:t xml:space="preserve">maior disponibilidade de lenho. </w:t>
      </w:r>
      <w:r w:rsidR="00457072" w:rsidRPr="006050DC">
        <w:rPr>
          <w:rFonts w:ascii="Times New Roman" w:hAnsi="Times New Roman"/>
          <w:sz w:val="24"/>
          <w:szCs w:val="24"/>
        </w:rPr>
        <w:t>De maneira geral, a</w:t>
      </w:r>
      <w:r w:rsidRPr="006050DC">
        <w:rPr>
          <w:rFonts w:ascii="Times New Roman" w:hAnsi="Times New Roman"/>
          <w:sz w:val="24"/>
          <w:szCs w:val="24"/>
        </w:rPr>
        <w:t xml:space="preserve">lém da disponibilidade de lenho, fatores florestais como desbaste e espaçamento de plantio, associados </w:t>
      </w:r>
      <w:r w:rsidR="003814D0" w:rsidRPr="006050DC">
        <w:rPr>
          <w:rFonts w:ascii="Times New Roman" w:hAnsi="Times New Roman"/>
          <w:sz w:val="24"/>
          <w:szCs w:val="24"/>
        </w:rPr>
        <w:t xml:space="preserve">às </w:t>
      </w:r>
      <w:r w:rsidRPr="006050DC">
        <w:rPr>
          <w:rFonts w:ascii="Times New Roman" w:hAnsi="Times New Roman"/>
          <w:sz w:val="24"/>
          <w:szCs w:val="24"/>
        </w:rPr>
        <w:t xml:space="preserve">condições edafoclimáticas, podem ter facilitado a entrada das brocas na madeira de angico vermelho, o que promoveu um material propício para alimentação dos insetos. Contudo, conclui-se que madeiras quando expostas a um certo período </w:t>
      </w:r>
      <w:r w:rsidR="003814D0" w:rsidRPr="006050DC">
        <w:rPr>
          <w:rFonts w:ascii="Times New Roman" w:hAnsi="Times New Roman"/>
          <w:sz w:val="24"/>
          <w:szCs w:val="24"/>
        </w:rPr>
        <w:t xml:space="preserve">às </w:t>
      </w:r>
      <w:r w:rsidRPr="006050DC">
        <w:rPr>
          <w:rFonts w:ascii="Times New Roman" w:hAnsi="Times New Roman"/>
          <w:sz w:val="24"/>
          <w:szCs w:val="24"/>
        </w:rPr>
        <w:t xml:space="preserve">condições do clima e do solo e a espaçamentos </w:t>
      </w:r>
      <w:r w:rsidR="00C2175F">
        <w:rPr>
          <w:rFonts w:ascii="Times New Roman" w:hAnsi="Times New Roman"/>
          <w:sz w:val="24"/>
          <w:szCs w:val="24"/>
        </w:rPr>
        <w:t>mais amplos</w:t>
      </w:r>
      <w:r w:rsidR="00A50EA6">
        <w:rPr>
          <w:rFonts w:ascii="Times New Roman" w:hAnsi="Times New Roman"/>
          <w:sz w:val="24"/>
          <w:szCs w:val="24"/>
        </w:rPr>
        <w:t>,</w:t>
      </w:r>
      <w:r w:rsidR="00C2175F">
        <w:rPr>
          <w:rFonts w:ascii="Times New Roman" w:hAnsi="Times New Roman"/>
          <w:sz w:val="24"/>
          <w:szCs w:val="24"/>
        </w:rPr>
        <w:t xml:space="preserve"> aumentam</w:t>
      </w:r>
      <w:r w:rsidRPr="006050DC">
        <w:rPr>
          <w:rFonts w:ascii="Times New Roman" w:hAnsi="Times New Roman"/>
          <w:sz w:val="24"/>
          <w:szCs w:val="24"/>
        </w:rPr>
        <w:t xml:space="preserve"> a chance do ataque desses agentes, o que pode gerar problemas irreversíveis ao material.</w:t>
      </w:r>
    </w:p>
    <w:p w14:paraId="49D8D179" w14:textId="77777777" w:rsidR="00224047" w:rsidRPr="006050DC" w:rsidRDefault="00224047" w:rsidP="0022404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2DE667A" w14:textId="77777777" w:rsidR="00D54108" w:rsidRPr="006050DC" w:rsidRDefault="00D54108" w:rsidP="0061543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2D417DFB" w:rsidR="0061543B" w:rsidRPr="006050DC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50DC">
        <w:rPr>
          <w:rFonts w:ascii="Times New Roman" w:hAnsi="Times New Roman"/>
          <w:b/>
          <w:sz w:val="24"/>
          <w:szCs w:val="24"/>
        </w:rPr>
        <w:t xml:space="preserve">Palavras-chave: </w:t>
      </w:r>
      <w:r w:rsidR="00160DCF" w:rsidRPr="006050DC">
        <w:rPr>
          <w:rFonts w:ascii="Times New Roman" w:hAnsi="Times New Roman"/>
          <w:sz w:val="24"/>
          <w:szCs w:val="24"/>
        </w:rPr>
        <w:t>agentes biodeterioradores</w:t>
      </w:r>
      <w:r w:rsidRPr="006050DC">
        <w:rPr>
          <w:rFonts w:ascii="Times New Roman" w:hAnsi="Times New Roman"/>
          <w:sz w:val="24"/>
          <w:szCs w:val="24"/>
        </w:rPr>
        <w:t xml:space="preserve">, </w:t>
      </w:r>
      <w:r w:rsidR="00160DCF" w:rsidRPr="006050DC">
        <w:rPr>
          <w:rFonts w:ascii="Times New Roman" w:hAnsi="Times New Roman"/>
          <w:sz w:val="24"/>
          <w:szCs w:val="24"/>
        </w:rPr>
        <w:t>angico vermelho</w:t>
      </w:r>
      <w:r w:rsidRPr="006050DC">
        <w:rPr>
          <w:rFonts w:ascii="Times New Roman" w:hAnsi="Times New Roman"/>
          <w:sz w:val="24"/>
          <w:szCs w:val="24"/>
        </w:rPr>
        <w:t xml:space="preserve">, </w:t>
      </w:r>
      <w:r w:rsidR="004258D6" w:rsidRPr="006050DC">
        <w:rPr>
          <w:rFonts w:ascii="Times New Roman" w:hAnsi="Times New Roman"/>
          <w:sz w:val="24"/>
          <w:szCs w:val="24"/>
        </w:rPr>
        <w:t>silvicultura</w:t>
      </w:r>
    </w:p>
    <w:p w14:paraId="3CEDAE03" w14:textId="77777777" w:rsidR="00B75EBD" w:rsidRPr="00414183" w:rsidRDefault="00B75EBD" w:rsidP="0061543B">
      <w:pPr>
        <w:spacing w:after="0" w:line="240" w:lineRule="auto"/>
        <w:jc w:val="both"/>
        <w:rPr>
          <w:rFonts w:ascii="Times New Roman" w:hAnsi="Times New Roman"/>
        </w:rPr>
      </w:pPr>
    </w:p>
    <w:sectPr w:rsidR="00B75EBD" w:rsidRPr="00414183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99E5F" w14:textId="77777777" w:rsidR="00446F4E" w:rsidRDefault="00446F4E" w:rsidP="009E3693">
      <w:pPr>
        <w:spacing w:after="0" w:line="240" w:lineRule="auto"/>
      </w:pPr>
      <w:r>
        <w:separator/>
      </w:r>
    </w:p>
  </w:endnote>
  <w:endnote w:type="continuationSeparator" w:id="0">
    <w:p w14:paraId="395BE674" w14:textId="77777777" w:rsidR="00446F4E" w:rsidRDefault="00446F4E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6F981" w14:textId="77777777" w:rsidR="00446F4E" w:rsidRDefault="00446F4E" w:rsidP="009E3693">
      <w:pPr>
        <w:spacing w:after="0" w:line="240" w:lineRule="auto"/>
      </w:pPr>
      <w:r>
        <w:separator/>
      </w:r>
    </w:p>
  </w:footnote>
  <w:footnote w:type="continuationSeparator" w:id="0">
    <w:p w14:paraId="2D272349" w14:textId="77777777" w:rsidR="00446F4E" w:rsidRDefault="00446F4E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10ED3"/>
    <w:rsid w:val="00015E22"/>
    <w:rsid w:val="00074DC2"/>
    <w:rsid w:val="000A3C22"/>
    <w:rsid w:val="000A4334"/>
    <w:rsid w:val="000B1A9A"/>
    <w:rsid w:val="000C55C6"/>
    <w:rsid w:val="00140FAB"/>
    <w:rsid w:val="00160289"/>
    <w:rsid w:val="00160DCF"/>
    <w:rsid w:val="001F1383"/>
    <w:rsid w:val="00224047"/>
    <w:rsid w:val="0025694E"/>
    <w:rsid w:val="0027647A"/>
    <w:rsid w:val="00294913"/>
    <w:rsid w:val="002E76D3"/>
    <w:rsid w:val="0031768B"/>
    <w:rsid w:val="00320E7B"/>
    <w:rsid w:val="00322C25"/>
    <w:rsid w:val="0033346A"/>
    <w:rsid w:val="0033635E"/>
    <w:rsid w:val="00336D75"/>
    <w:rsid w:val="003814D0"/>
    <w:rsid w:val="0039550A"/>
    <w:rsid w:val="003C4D7C"/>
    <w:rsid w:val="003D5EAB"/>
    <w:rsid w:val="00414183"/>
    <w:rsid w:val="004238CC"/>
    <w:rsid w:val="00423DE0"/>
    <w:rsid w:val="004258D6"/>
    <w:rsid w:val="004320F6"/>
    <w:rsid w:val="00446F4E"/>
    <w:rsid w:val="00457072"/>
    <w:rsid w:val="00463FE0"/>
    <w:rsid w:val="004654D9"/>
    <w:rsid w:val="00491D39"/>
    <w:rsid w:val="004952BE"/>
    <w:rsid w:val="004A4739"/>
    <w:rsid w:val="004C6F75"/>
    <w:rsid w:val="004D6D31"/>
    <w:rsid w:val="00521835"/>
    <w:rsid w:val="00527494"/>
    <w:rsid w:val="00555702"/>
    <w:rsid w:val="0055666D"/>
    <w:rsid w:val="00565E27"/>
    <w:rsid w:val="0056769F"/>
    <w:rsid w:val="005E0B9F"/>
    <w:rsid w:val="005E6BEE"/>
    <w:rsid w:val="006050DC"/>
    <w:rsid w:val="00615053"/>
    <w:rsid w:val="0061543B"/>
    <w:rsid w:val="00616A67"/>
    <w:rsid w:val="006265C2"/>
    <w:rsid w:val="00685245"/>
    <w:rsid w:val="00690DB4"/>
    <w:rsid w:val="00697959"/>
    <w:rsid w:val="006B224A"/>
    <w:rsid w:val="006D41B3"/>
    <w:rsid w:val="006E5D0E"/>
    <w:rsid w:val="00702A16"/>
    <w:rsid w:val="007A2389"/>
    <w:rsid w:val="007D5091"/>
    <w:rsid w:val="007D6EBB"/>
    <w:rsid w:val="00814767"/>
    <w:rsid w:val="00843A34"/>
    <w:rsid w:val="00861508"/>
    <w:rsid w:val="008718F3"/>
    <w:rsid w:val="0087209A"/>
    <w:rsid w:val="008729A6"/>
    <w:rsid w:val="0088047E"/>
    <w:rsid w:val="00892BB4"/>
    <w:rsid w:val="008E07F0"/>
    <w:rsid w:val="008E185A"/>
    <w:rsid w:val="008F1DB3"/>
    <w:rsid w:val="00900A70"/>
    <w:rsid w:val="00921BF8"/>
    <w:rsid w:val="00925FF3"/>
    <w:rsid w:val="0093700C"/>
    <w:rsid w:val="009B1E38"/>
    <w:rsid w:val="009E1919"/>
    <w:rsid w:val="009E3693"/>
    <w:rsid w:val="00A50EA6"/>
    <w:rsid w:val="00A92B04"/>
    <w:rsid w:val="00AF1123"/>
    <w:rsid w:val="00B20649"/>
    <w:rsid w:val="00B32BB9"/>
    <w:rsid w:val="00B75EBD"/>
    <w:rsid w:val="00B963AB"/>
    <w:rsid w:val="00BD79A7"/>
    <w:rsid w:val="00BE61DD"/>
    <w:rsid w:val="00C2175F"/>
    <w:rsid w:val="00C54E76"/>
    <w:rsid w:val="00C8640E"/>
    <w:rsid w:val="00CB0497"/>
    <w:rsid w:val="00CB0F0B"/>
    <w:rsid w:val="00CB1655"/>
    <w:rsid w:val="00CB3B40"/>
    <w:rsid w:val="00CC7A94"/>
    <w:rsid w:val="00D21417"/>
    <w:rsid w:val="00D54108"/>
    <w:rsid w:val="00D60128"/>
    <w:rsid w:val="00D72B57"/>
    <w:rsid w:val="00D7399F"/>
    <w:rsid w:val="00D900F4"/>
    <w:rsid w:val="00D94EEE"/>
    <w:rsid w:val="00DB106B"/>
    <w:rsid w:val="00DB2D62"/>
    <w:rsid w:val="00DB4314"/>
    <w:rsid w:val="00DD6D8E"/>
    <w:rsid w:val="00E17377"/>
    <w:rsid w:val="00E242EA"/>
    <w:rsid w:val="00F85A27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D2141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141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814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14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14D0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14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14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millysoaresgome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E8C4-2CC1-46AD-B592-273A445D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2020-10-24T18:26:00Z</dcterms:created>
  <dcterms:modified xsi:type="dcterms:W3CDTF">2020-10-24T18:26:00Z</dcterms:modified>
</cp:coreProperties>
</file>