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B4E09" w14:textId="28950D36" w:rsidR="00CB0497" w:rsidRPr="005B358E" w:rsidRDefault="002A3B47" w:rsidP="0016028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B358E">
        <w:rPr>
          <w:rFonts w:ascii="Times New Roman" w:hAnsi="Times New Roman"/>
          <w:b/>
          <w:sz w:val="28"/>
          <w:szCs w:val="24"/>
        </w:rPr>
        <w:t>Análise da densidade básica</w:t>
      </w:r>
      <w:r w:rsidR="00E3403F" w:rsidRPr="005B358E">
        <w:rPr>
          <w:rFonts w:ascii="Times New Roman" w:hAnsi="Times New Roman"/>
          <w:b/>
          <w:sz w:val="28"/>
          <w:szCs w:val="24"/>
        </w:rPr>
        <w:t xml:space="preserve"> de amostras da madeira </w:t>
      </w:r>
      <w:r w:rsidRPr="005B358E">
        <w:rPr>
          <w:rFonts w:ascii="Times New Roman" w:hAnsi="Times New Roman"/>
          <w:b/>
          <w:i/>
          <w:sz w:val="28"/>
          <w:szCs w:val="24"/>
        </w:rPr>
        <w:t xml:space="preserve">Cedrella fissilis </w:t>
      </w:r>
      <w:r w:rsidR="00E3403F" w:rsidRPr="005B358E">
        <w:rPr>
          <w:rFonts w:ascii="Times New Roman" w:hAnsi="Times New Roman"/>
          <w:b/>
          <w:sz w:val="28"/>
          <w:szCs w:val="24"/>
        </w:rPr>
        <w:t>Vell.</w:t>
      </w:r>
    </w:p>
    <w:p w14:paraId="174D6765" w14:textId="77777777" w:rsidR="009E3693" w:rsidRDefault="009E3693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74511F" w14:textId="77777777" w:rsidR="00866FCD" w:rsidRPr="00866FCD" w:rsidRDefault="00866FCD" w:rsidP="00866F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6FCD">
        <w:rPr>
          <w:rFonts w:ascii="Times New Roman" w:hAnsi="Times New Roman"/>
          <w:b/>
          <w:sz w:val="24"/>
          <w:szCs w:val="24"/>
        </w:rPr>
        <w:t>Ivelton Alves Pimenta</w:t>
      </w:r>
      <w:r w:rsidRPr="00866FCD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866FCD">
        <w:rPr>
          <w:rFonts w:ascii="Times New Roman" w:hAnsi="Times New Roman"/>
          <w:b/>
          <w:sz w:val="24"/>
          <w:szCs w:val="24"/>
        </w:rPr>
        <w:t>, Lidiane Aparecida Alves Braga</w:t>
      </w:r>
      <w:r w:rsidRPr="00866FCD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866FCD">
        <w:rPr>
          <w:rFonts w:ascii="Times New Roman" w:hAnsi="Times New Roman"/>
          <w:b/>
          <w:sz w:val="24"/>
          <w:szCs w:val="24"/>
        </w:rPr>
        <w:t>, Simone Gonçalves de</w:t>
      </w:r>
    </w:p>
    <w:p w14:paraId="5AEEA4D0" w14:textId="5B5908A6" w:rsidR="00866FCD" w:rsidRDefault="00866FCD" w:rsidP="00866F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6FCD">
        <w:rPr>
          <w:rFonts w:ascii="Times New Roman" w:hAnsi="Times New Roman"/>
          <w:b/>
          <w:sz w:val="24"/>
          <w:szCs w:val="24"/>
        </w:rPr>
        <w:t>Oliveira</w:t>
      </w:r>
      <w:r w:rsidRPr="00866FCD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866FCD">
        <w:rPr>
          <w:rFonts w:ascii="Times New Roman" w:hAnsi="Times New Roman"/>
          <w:b/>
          <w:sz w:val="24"/>
          <w:szCs w:val="24"/>
        </w:rPr>
        <w:t>, Thalia dos Anjos</w:t>
      </w:r>
      <w:r w:rsidRPr="00866FCD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866FCD">
        <w:rPr>
          <w:rFonts w:ascii="Times New Roman" w:hAnsi="Times New Roman"/>
          <w:b/>
          <w:sz w:val="24"/>
          <w:szCs w:val="24"/>
        </w:rPr>
        <w:t>, Caroline Junqueira Sartori</w:t>
      </w:r>
      <w:r w:rsidRPr="00866FCD">
        <w:rPr>
          <w:rFonts w:ascii="Times New Roman" w:hAnsi="Times New Roman"/>
          <w:b/>
          <w:sz w:val="24"/>
          <w:szCs w:val="24"/>
          <w:vertAlign w:val="superscript"/>
        </w:rPr>
        <w:t>1</w:t>
      </w:r>
    </w:p>
    <w:p w14:paraId="600CBD0F" w14:textId="77777777" w:rsidR="009E1919" w:rsidRPr="005B358E" w:rsidRDefault="009E1919" w:rsidP="00F25A0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3BDCDE6" w14:textId="24309C58" w:rsidR="0061543B" w:rsidRPr="005B358E" w:rsidRDefault="0088047E" w:rsidP="00160289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5B358E">
        <w:rPr>
          <w:rFonts w:ascii="Times New Roman" w:hAnsi="Times New Roman"/>
          <w:szCs w:val="24"/>
          <w:vertAlign w:val="superscript"/>
        </w:rPr>
        <w:t>1</w:t>
      </w:r>
      <w:r w:rsidR="00527494" w:rsidRPr="005B358E">
        <w:rPr>
          <w:rFonts w:ascii="Times New Roman" w:hAnsi="Times New Roman"/>
          <w:szCs w:val="24"/>
        </w:rPr>
        <w:t xml:space="preserve"> </w:t>
      </w:r>
      <w:r w:rsidRPr="005B358E">
        <w:rPr>
          <w:rFonts w:ascii="Times New Roman" w:hAnsi="Times New Roman"/>
          <w:szCs w:val="24"/>
        </w:rPr>
        <w:t>I</w:t>
      </w:r>
      <w:r w:rsidR="00035299" w:rsidRPr="005B358E">
        <w:rPr>
          <w:rFonts w:ascii="Times New Roman" w:hAnsi="Times New Roman"/>
          <w:szCs w:val="24"/>
        </w:rPr>
        <w:t>nstituto Federal de Educação, Ciência e Tecnologia de Minas Gerais</w:t>
      </w:r>
      <w:r w:rsidR="009E1919" w:rsidRPr="005B358E">
        <w:rPr>
          <w:rFonts w:ascii="Times New Roman" w:hAnsi="Times New Roman"/>
          <w:szCs w:val="24"/>
        </w:rPr>
        <w:t xml:space="preserve">, </w:t>
      </w:r>
      <w:r w:rsidR="00035299" w:rsidRPr="005B358E">
        <w:rPr>
          <w:rFonts w:ascii="Times New Roman" w:hAnsi="Times New Roman"/>
          <w:szCs w:val="24"/>
        </w:rPr>
        <w:t>São João Evangelista</w:t>
      </w:r>
      <w:r w:rsidR="009E1919" w:rsidRPr="005B358E">
        <w:rPr>
          <w:rFonts w:ascii="Times New Roman" w:hAnsi="Times New Roman"/>
          <w:szCs w:val="24"/>
        </w:rPr>
        <w:t>,</w:t>
      </w:r>
      <w:r w:rsidR="00035299" w:rsidRPr="005B358E">
        <w:rPr>
          <w:rFonts w:ascii="Times New Roman" w:hAnsi="Times New Roman"/>
          <w:szCs w:val="24"/>
        </w:rPr>
        <w:t xml:space="preserve"> MG</w:t>
      </w:r>
      <w:r w:rsidR="008729A6" w:rsidRPr="005B358E">
        <w:rPr>
          <w:rFonts w:ascii="Times New Roman" w:hAnsi="Times New Roman"/>
          <w:szCs w:val="24"/>
        </w:rPr>
        <w:t xml:space="preserve"> (</w:t>
      </w:r>
      <w:r w:rsidR="00035299" w:rsidRPr="005B358E">
        <w:rPr>
          <w:rFonts w:ascii="Times New Roman" w:hAnsi="Times New Roman"/>
          <w:szCs w:val="24"/>
        </w:rPr>
        <w:t>lidiane_alves2</w:t>
      </w:r>
      <w:r w:rsidR="008729A6" w:rsidRPr="005B358E">
        <w:rPr>
          <w:rFonts w:ascii="Times New Roman" w:hAnsi="Times New Roman"/>
          <w:szCs w:val="24"/>
        </w:rPr>
        <w:t>@</w:t>
      </w:r>
      <w:r w:rsidR="00035299" w:rsidRPr="005B358E">
        <w:rPr>
          <w:rFonts w:ascii="Times New Roman" w:hAnsi="Times New Roman"/>
          <w:szCs w:val="24"/>
        </w:rPr>
        <w:t>outlook.com</w:t>
      </w:r>
      <w:r w:rsidR="008729A6" w:rsidRPr="005B358E">
        <w:rPr>
          <w:rFonts w:ascii="Times New Roman" w:hAnsi="Times New Roman"/>
          <w:szCs w:val="24"/>
        </w:rPr>
        <w:t>)</w:t>
      </w:r>
      <w:r w:rsidR="009E1919" w:rsidRPr="005B358E">
        <w:rPr>
          <w:rFonts w:ascii="Times New Roman" w:hAnsi="Times New Roman"/>
          <w:szCs w:val="24"/>
        </w:rPr>
        <w:t xml:space="preserve">; </w:t>
      </w:r>
    </w:p>
    <w:p w14:paraId="0390EE83" w14:textId="77777777" w:rsidR="0061543B" w:rsidRDefault="0061543B" w:rsidP="001602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D2BFAA" w14:textId="7EE55A59" w:rsidR="007A28F6" w:rsidRPr="005B358E" w:rsidRDefault="005B358E" w:rsidP="005B35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b/>
          <w:sz w:val="24"/>
          <w:szCs w:val="24"/>
        </w:rPr>
        <w:t>RESUMO</w:t>
      </w:r>
      <w:r>
        <w:rPr>
          <w:rFonts w:ascii="Times New Roman" w:hAnsi="Times New Roman"/>
          <w:sz w:val="24"/>
          <w:szCs w:val="24"/>
        </w:rPr>
        <w:t xml:space="preserve">: </w:t>
      </w:r>
      <w:r w:rsidR="007A28F6" w:rsidRPr="005B358E">
        <w:rPr>
          <w:rFonts w:ascii="Times New Roman" w:hAnsi="Times New Roman"/>
          <w:sz w:val="24"/>
          <w:szCs w:val="24"/>
        </w:rPr>
        <w:t xml:space="preserve">O presente trabalho </w:t>
      </w:r>
      <w:r w:rsidR="0059195A" w:rsidRPr="005B358E">
        <w:rPr>
          <w:rFonts w:ascii="Times New Roman" w:hAnsi="Times New Roman"/>
          <w:sz w:val="24"/>
          <w:szCs w:val="24"/>
        </w:rPr>
        <w:t>teve como objetivo analisar e determinar a densidade básica da madeira de cedro</w:t>
      </w:r>
      <w:r w:rsidR="00895F49" w:rsidRPr="005B358E">
        <w:rPr>
          <w:rFonts w:ascii="Times New Roman" w:hAnsi="Times New Roman"/>
          <w:sz w:val="24"/>
          <w:szCs w:val="24"/>
        </w:rPr>
        <w:t xml:space="preserve"> (</w:t>
      </w:r>
      <w:r w:rsidR="00895F49" w:rsidRPr="005B358E">
        <w:rPr>
          <w:rFonts w:ascii="Times New Roman" w:hAnsi="Times New Roman"/>
          <w:i/>
          <w:sz w:val="24"/>
          <w:szCs w:val="24"/>
        </w:rPr>
        <w:t xml:space="preserve">Cedrella fissilis </w:t>
      </w:r>
      <w:r w:rsidR="00895F49" w:rsidRPr="005B358E">
        <w:rPr>
          <w:rFonts w:ascii="Times New Roman" w:hAnsi="Times New Roman"/>
          <w:sz w:val="24"/>
          <w:szCs w:val="24"/>
        </w:rPr>
        <w:t>Vell.)</w:t>
      </w:r>
      <w:r w:rsidR="0059195A" w:rsidRPr="005B358E">
        <w:rPr>
          <w:rFonts w:ascii="Times New Roman" w:hAnsi="Times New Roman"/>
          <w:sz w:val="24"/>
          <w:szCs w:val="24"/>
        </w:rPr>
        <w:t>, à qual pertence à família Meliaceae.</w:t>
      </w:r>
      <w:r w:rsidR="00895F49" w:rsidRPr="005B358E">
        <w:rPr>
          <w:rFonts w:ascii="Times New Roman" w:hAnsi="Times New Roman"/>
          <w:sz w:val="24"/>
          <w:szCs w:val="24"/>
        </w:rPr>
        <w:t xml:space="preserve"> Utilizou-se três repetições com dimensões 2,9 cm x 2,9 cm x 8,4 cm </w:t>
      </w:r>
      <w:r w:rsidR="00A23A89" w:rsidRPr="005B358E">
        <w:rPr>
          <w:rFonts w:ascii="Times New Roman" w:hAnsi="Times New Roman"/>
          <w:sz w:val="24"/>
          <w:szCs w:val="24"/>
        </w:rPr>
        <w:t>nos planos</w:t>
      </w:r>
      <w:r w:rsidR="00895F49" w:rsidRPr="005B358E">
        <w:rPr>
          <w:rFonts w:ascii="Times New Roman" w:hAnsi="Times New Roman"/>
          <w:sz w:val="24"/>
          <w:szCs w:val="24"/>
        </w:rPr>
        <w:t xml:space="preserve"> radial, tangencial e longitudinal, respectivamente, às quais fo</w:t>
      </w:r>
      <w:r w:rsidR="0059195A" w:rsidRPr="005B358E">
        <w:rPr>
          <w:rFonts w:ascii="Times New Roman" w:hAnsi="Times New Roman"/>
          <w:sz w:val="24"/>
          <w:szCs w:val="24"/>
        </w:rPr>
        <w:t xml:space="preserve">ram </w:t>
      </w:r>
      <w:r w:rsidR="00A23A89" w:rsidRPr="005B358E">
        <w:rPr>
          <w:rFonts w:ascii="Times New Roman" w:hAnsi="Times New Roman"/>
          <w:sz w:val="24"/>
          <w:szCs w:val="24"/>
        </w:rPr>
        <w:t>submetidas a</w:t>
      </w:r>
      <w:r w:rsidR="00895F49" w:rsidRPr="005B358E">
        <w:rPr>
          <w:rFonts w:ascii="Times New Roman" w:hAnsi="Times New Roman"/>
          <w:sz w:val="24"/>
          <w:szCs w:val="24"/>
        </w:rPr>
        <w:t xml:space="preserve"> </w:t>
      </w:r>
      <w:r w:rsidR="0059195A" w:rsidRPr="005B358E">
        <w:rPr>
          <w:rFonts w:ascii="Times New Roman" w:hAnsi="Times New Roman"/>
          <w:sz w:val="24"/>
          <w:szCs w:val="24"/>
        </w:rPr>
        <w:t xml:space="preserve">dois </w:t>
      </w:r>
      <w:r w:rsidR="00895F49" w:rsidRPr="005B358E">
        <w:rPr>
          <w:rFonts w:ascii="Times New Roman" w:hAnsi="Times New Roman"/>
          <w:sz w:val="24"/>
          <w:szCs w:val="24"/>
        </w:rPr>
        <w:t>tratamentos</w:t>
      </w:r>
      <w:r w:rsidR="0059195A" w:rsidRPr="005B358E">
        <w:rPr>
          <w:rFonts w:ascii="Times New Roman" w:hAnsi="Times New Roman"/>
          <w:sz w:val="24"/>
          <w:szCs w:val="24"/>
        </w:rPr>
        <w:t xml:space="preserve">: </w:t>
      </w:r>
      <w:r w:rsidR="00381282">
        <w:rPr>
          <w:rFonts w:ascii="Times New Roman" w:hAnsi="Times New Roman"/>
          <w:sz w:val="24"/>
          <w:szCs w:val="24"/>
        </w:rPr>
        <w:t>Método de Deslocamento e P</w:t>
      </w:r>
      <w:r w:rsidR="0059195A" w:rsidRPr="005B358E">
        <w:rPr>
          <w:rFonts w:ascii="Times New Roman" w:hAnsi="Times New Roman"/>
          <w:sz w:val="24"/>
          <w:szCs w:val="24"/>
        </w:rPr>
        <w:t>esagem</w:t>
      </w:r>
      <w:r w:rsidR="00A23A89" w:rsidRPr="005B358E">
        <w:rPr>
          <w:rFonts w:ascii="Times New Roman" w:hAnsi="Times New Roman"/>
          <w:sz w:val="24"/>
          <w:szCs w:val="24"/>
        </w:rPr>
        <w:t xml:space="preserve"> (Princípio de Arquimedes)</w:t>
      </w:r>
      <w:r w:rsidR="0059195A" w:rsidRPr="005B358E">
        <w:rPr>
          <w:rFonts w:ascii="Times New Roman" w:hAnsi="Times New Roman"/>
          <w:sz w:val="24"/>
          <w:szCs w:val="24"/>
        </w:rPr>
        <w:t xml:space="preserve"> e pelo </w:t>
      </w:r>
      <w:r w:rsidR="00381282">
        <w:rPr>
          <w:rFonts w:ascii="Times New Roman" w:hAnsi="Times New Roman"/>
          <w:sz w:val="24"/>
          <w:szCs w:val="24"/>
        </w:rPr>
        <w:t>Método Máximo T</w:t>
      </w:r>
      <w:r w:rsidR="0059195A" w:rsidRPr="005B358E">
        <w:rPr>
          <w:rFonts w:ascii="Times New Roman" w:hAnsi="Times New Roman"/>
          <w:sz w:val="24"/>
          <w:szCs w:val="24"/>
        </w:rPr>
        <w:t>e</w:t>
      </w:r>
      <w:r w:rsidR="00895F49" w:rsidRPr="005B358E">
        <w:rPr>
          <w:rFonts w:ascii="Times New Roman" w:hAnsi="Times New Roman"/>
          <w:sz w:val="24"/>
          <w:szCs w:val="24"/>
        </w:rPr>
        <w:t>o</w:t>
      </w:r>
      <w:r w:rsidR="00381282">
        <w:rPr>
          <w:rFonts w:ascii="Times New Roman" w:hAnsi="Times New Roman"/>
          <w:sz w:val="24"/>
          <w:szCs w:val="24"/>
        </w:rPr>
        <w:t>r de U</w:t>
      </w:r>
      <w:r w:rsidR="0059195A" w:rsidRPr="005B358E">
        <w:rPr>
          <w:rFonts w:ascii="Times New Roman" w:hAnsi="Times New Roman"/>
          <w:sz w:val="24"/>
          <w:szCs w:val="24"/>
        </w:rPr>
        <w:t>midade.</w:t>
      </w:r>
      <w:r w:rsidR="00CE2C16">
        <w:rPr>
          <w:rFonts w:ascii="Times New Roman" w:hAnsi="Times New Roman"/>
          <w:sz w:val="24"/>
          <w:szCs w:val="24"/>
        </w:rPr>
        <w:t xml:space="preserve"> </w:t>
      </w:r>
      <w:r w:rsidR="000027A5" w:rsidRPr="005B358E">
        <w:rPr>
          <w:rFonts w:ascii="Times New Roman" w:hAnsi="Times New Roman"/>
          <w:sz w:val="24"/>
          <w:szCs w:val="24"/>
        </w:rPr>
        <w:t>Conforme os cálculos realizados, os dois métodos apresentar</w:t>
      </w:r>
      <w:r>
        <w:rPr>
          <w:rFonts w:ascii="Times New Roman" w:hAnsi="Times New Roman"/>
          <w:sz w:val="24"/>
          <w:szCs w:val="24"/>
        </w:rPr>
        <w:t>am diferenças nas médias. Pelo Método de D</w:t>
      </w:r>
      <w:r w:rsidR="000027A5" w:rsidRPr="005B358E">
        <w:rPr>
          <w:rFonts w:ascii="Times New Roman" w:hAnsi="Times New Roman"/>
          <w:sz w:val="24"/>
          <w:szCs w:val="24"/>
        </w:rPr>
        <w:t>eslocame</w:t>
      </w:r>
      <w:r>
        <w:rPr>
          <w:rFonts w:ascii="Times New Roman" w:hAnsi="Times New Roman"/>
          <w:sz w:val="24"/>
          <w:szCs w:val="24"/>
        </w:rPr>
        <w:t>nto e P</w:t>
      </w:r>
      <w:r w:rsidR="000027A5" w:rsidRPr="005B358E">
        <w:rPr>
          <w:rFonts w:ascii="Times New Roman" w:hAnsi="Times New Roman"/>
          <w:sz w:val="24"/>
          <w:szCs w:val="24"/>
        </w:rPr>
        <w:t xml:space="preserve">esagem foi obtida uma média de </w:t>
      </w:r>
      <w:r>
        <w:rPr>
          <w:rFonts w:ascii="Times New Roman" w:hAnsi="Times New Roman"/>
          <w:sz w:val="24"/>
          <w:szCs w:val="24"/>
        </w:rPr>
        <w:t>0,521 g/cm³ e 0,670 g/cm³ pelo Método de Máximo Teor de U</w:t>
      </w:r>
      <w:r w:rsidR="000027A5" w:rsidRPr="005B358E">
        <w:rPr>
          <w:rFonts w:ascii="Times New Roman" w:hAnsi="Times New Roman"/>
          <w:sz w:val="24"/>
          <w:szCs w:val="24"/>
        </w:rPr>
        <w:t xml:space="preserve">midade. </w:t>
      </w:r>
      <w:r w:rsidR="00A23A89" w:rsidRPr="005B358E">
        <w:rPr>
          <w:rFonts w:ascii="Times New Roman" w:hAnsi="Times New Roman"/>
          <w:sz w:val="24"/>
          <w:szCs w:val="24"/>
        </w:rPr>
        <w:t>Obtidos os resultados de densidade básica</w:t>
      </w:r>
      <w:r w:rsidR="000027A5" w:rsidRPr="005B358E">
        <w:rPr>
          <w:rFonts w:ascii="Times New Roman" w:hAnsi="Times New Roman"/>
          <w:sz w:val="24"/>
          <w:szCs w:val="24"/>
        </w:rPr>
        <w:t xml:space="preserve"> em cada repetição</w:t>
      </w:r>
      <w:r w:rsidR="00A23A89" w:rsidRPr="005B358E">
        <w:rPr>
          <w:rFonts w:ascii="Times New Roman" w:hAnsi="Times New Roman"/>
          <w:sz w:val="24"/>
          <w:szCs w:val="24"/>
        </w:rPr>
        <w:t>, pelos dois tratamentos, realizou-se uma análise estatística no software SISVAR</w:t>
      </w:r>
      <w:r w:rsidR="000027A5" w:rsidRPr="005B358E">
        <w:rPr>
          <w:rFonts w:ascii="Times New Roman" w:hAnsi="Times New Roman"/>
          <w:sz w:val="24"/>
          <w:szCs w:val="24"/>
        </w:rPr>
        <w:t xml:space="preserve">. </w:t>
      </w:r>
      <w:r w:rsidR="00864E94">
        <w:rPr>
          <w:rFonts w:ascii="Times New Roman" w:hAnsi="Times New Roman"/>
          <w:sz w:val="24"/>
          <w:szCs w:val="24"/>
        </w:rPr>
        <w:t xml:space="preserve">Conclusão </w:t>
      </w:r>
      <w:r w:rsidR="008F0D2A">
        <w:rPr>
          <w:rFonts w:ascii="Times New Roman" w:hAnsi="Times New Roman"/>
          <w:sz w:val="24"/>
          <w:szCs w:val="24"/>
        </w:rPr>
        <w:t>–</w:t>
      </w:r>
      <w:r w:rsidR="00864E94">
        <w:rPr>
          <w:rFonts w:ascii="Times New Roman" w:hAnsi="Times New Roman"/>
          <w:sz w:val="24"/>
          <w:szCs w:val="24"/>
        </w:rPr>
        <w:t xml:space="preserve"> O</w:t>
      </w:r>
      <w:r w:rsidR="002504FE" w:rsidRPr="005B358E">
        <w:rPr>
          <w:rFonts w:ascii="Times New Roman" w:hAnsi="Times New Roman"/>
          <w:sz w:val="24"/>
          <w:szCs w:val="24"/>
        </w:rPr>
        <w:t>bservou-se que não há diferenças signi</w:t>
      </w:r>
      <w:r w:rsidR="00864E94">
        <w:rPr>
          <w:rFonts w:ascii="Times New Roman" w:hAnsi="Times New Roman"/>
          <w:sz w:val="24"/>
          <w:szCs w:val="24"/>
        </w:rPr>
        <w:t xml:space="preserve">ficativas entre os tratamentos. </w:t>
      </w:r>
      <w:r w:rsidR="00C367A1" w:rsidRPr="005B358E">
        <w:rPr>
          <w:rFonts w:ascii="Times New Roman" w:hAnsi="Times New Roman"/>
          <w:sz w:val="24"/>
          <w:szCs w:val="24"/>
        </w:rPr>
        <w:t>Os dois métodos apresentaram valores de densidade básica</w:t>
      </w:r>
      <w:r w:rsidR="006C703E">
        <w:rPr>
          <w:rFonts w:ascii="Times New Roman" w:hAnsi="Times New Roman"/>
          <w:sz w:val="24"/>
          <w:szCs w:val="24"/>
        </w:rPr>
        <w:t xml:space="preserve"> média</w:t>
      </w:r>
      <w:r w:rsidR="00C367A1" w:rsidRPr="005B358E">
        <w:rPr>
          <w:rFonts w:ascii="Times New Roman" w:hAnsi="Times New Roman"/>
          <w:sz w:val="24"/>
          <w:szCs w:val="24"/>
        </w:rPr>
        <w:t xml:space="preserve"> semelhantes.</w:t>
      </w:r>
    </w:p>
    <w:p w14:paraId="460F9148" w14:textId="77777777" w:rsidR="007A28F6" w:rsidRPr="005B358E" w:rsidRDefault="007A28F6" w:rsidP="0061543B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90E194E" w14:textId="2F6FE4E4" w:rsidR="0061543B" w:rsidRPr="005B358E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b/>
          <w:sz w:val="24"/>
          <w:szCs w:val="24"/>
        </w:rPr>
        <w:t xml:space="preserve">Palavras-chave: </w:t>
      </w:r>
      <w:r w:rsidR="00E3403F" w:rsidRPr="005B358E">
        <w:rPr>
          <w:rFonts w:ascii="Times New Roman" w:hAnsi="Times New Roman"/>
          <w:sz w:val="24"/>
          <w:szCs w:val="24"/>
        </w:rPr>
        <w:t>cedro</w:t>
      </w:r>
      <w:r w:rsidR="007A28F6" w:rsidRPr="005B358E">
        <w:rPr>
          <w:rFonts w:ascii="Times New Roman" w:hAnsi="Times New Roman"/>
          <w:sz w:val="24"/>
          <w:szCs w:val="24"/>
        </w:rPr>
        <w:t>,</w:t>
      </w:r>
      <w:r w:rsidR="00E3403F" w:rsidRPr="005B358E">
        <w:rPr>
          <w:rFonts w:ascii="Times New Roman" w:hAnsi="Times New Roman"/>
          <w:sz w:val="24"/>
          <w:szCs w:val="24"/>
        </w:rPr>
        <w:t xml:space="preserve"> </w:t>
      </w:r>
      <w:r w:rsidR="00C367A1" w:rsidRPr="005B358E">
        <w:rPr>
          <w:rFonts w:ascii="Times New Roman" w:hAnsi="Times New Roman"/>
          <w:sz w:val="24"/>
          <w:szCs w:val="24"/>
        </w:rPr>
        <w:t>umidade</w:t>
      </w:r>
      <w:r w:rsidR="007A28F6" w:rsidRPr="005B358E">
        <w:rPr>
          <w:rFonts w:ascii="Times New Roman" w:hAnsi="Times New Roman"/>
          <w:sz w:val="24"/>
          <w:szCs w:val="24"/>
        </w:rPr>
        <w:t xml:space="preserve">, </w:t>
      </w:r>
      <w:r w:rsidR="00C367A1" w:rsidRPr="005B358E">
        <w:rPr>
          <w:rFonts w:ascii="Times New Roman" w:hAnsi="Times New Roman"/>
          <w:sz w:val="24"/>
          <w:szCs w:val="24"/>
        </w:rPr>
        <w:t>tratamentos</w:t>
      </w:r>
      <w:r w:rsidR="007A28F6" w:rsidRPr="005B358E">
        <w:rPr>
          <w:rFonts w:ascii="Times New Roman" w:hAnsi="Times New Roman"/>
          <w:sz w:val="24"/>
          <w:szCs w:val="24"/>
        </w:rPr>
        <w:t xml:space="preserve">, </w:t>
      </w:r>
      <w:r w:rsidR="0059195A" w:rsidRPr="005B358E">
        <w:rPr>
          <w:rFonts w:ascii="Times New Roman" w:hAnsi="Times New Roman"/>
          <w:sz w:val="24"/>
          <w:szCs w:val="24"/>
        </w:rPr>
        <w:t>métodos</w:t>
      </w:r>
      <w:r w:rsidR="007A28F6" w:rsidRPr="005B358E">
        <w:rPr>
          <w:rFonts w:ascii="Times New Roman" w:hAnsi="Times New Roman"/>
          <w:sz w:val="24"/>
          <w:szCs w:val="24"/>
        </w:rPr>
        <w:t>, deslocamento</w:t>
      </w:r>
      <w:r w:rsidR="00E3403F" w:rsidRPr="005B358E">
        <w:rPr>
          <w:rFonts w:ascii="Times New Roman" w:hAnsi="Times New Roman"/>
          <w:sz w:val="24"/>
          <w:szCs w:val="24"/>
        </w:rPr>
        <w:t xml:space="preserve"> </w:t>
      </w:r>
    </w:p>
    <w:p w14:paraId="3CEDAE03" w14:textId="77777777" w:rsidR="00B75EBD" w:rsidRPr="005B358E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5525EF" w14:textId="77777777" w:rsidR="003B218B" w:rsidRPr="005B358E" w:rsidRDefault="003B21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07FE62" w14:textId="77777777" w:rsidR="00F555BA" w:rsidRPr="005B358E" w:rsidRDefault="00F555BA" w:rsidP="005B358E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5B358E">
        <w:rPr>
          <w:rFonts w:ascii="Times New Roman" w:hAnsi="Times New Roman"/>
          <w:b/>
          <w:sz w:val="24"/>
          <w:szCs w:val="24"/>
        </w:rPr>
        <w:t>INTRODUÇÃO</w:t>
      </w:r>
    </w:p>
    <w:p w14:paraId="349CEF96" w14:textId="77777777" w:rsidR="00F555BA" w:rsidRDefault="00F555BA" w:rsidP="005B358E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FC317C7" w14:textId="77777777" w:rsidR="005B358E" w:rsidRPr="005B358E" w:rsidRDefault="005B358E" w:rsidP="005B358E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75AC6C8" w14:textId="5C99F2FB" w:rsidR="00FF7823" w:rsidRPr="005B358E" w:rsidRDefault="00F555BA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A </w:t>
      </w:r>
      <w:r w:rsidRPr="005B358E">
        <w:rPr>
          <w:rFonts w:ascii="Times New Roman" w:hAnsi="Times New Roman"/>
          <w:i/>
          <w:sz w:val="24"/>
          <w:szCs w:val="24"/>
        </w:rPr>
        <w:t>Cedrela fissilis</w:t>
      </w:r>
      <w:r w:rsidRPr="005B358E">
        <w:rPr>
          <w:rFonts w:ascii="Times New Roman" w:hAnsi="Times New Roman"/>
          <w:sz w:val="24"/>
          <w:szCs w:val="24"/>
        </w:rPr>
        <w:t xml:space="preserve"> é uma espécie pertencente à família das Meliáceas, apresenta grande amplitude ecológica sendo distribuída em todo o Brasil, mais frequente nas regiões sul e sudeste do país. Vem sofrendo com a exploração irregular e requer um cuidado maior pela capacidade madeireira que essa espécie apresenta. (CNCFLORA, 2012).</w:t>
      </w:r>
      <w:r w:rsidR="00FF7823" w:rsidRPr="005B358E">
        <w:rPr>
          <w:rFonts w:ascii="Times New Roman" w:hAnsi="Times New Roman"/>
          <w:sz w:val="24"/>
          <w:szCs w:val="24"/>
        </w:rPr>
        <w:t xml:space="preserve"> </w:t>
      </w:r>
    </w:p>
    <w:p w14:paraId="48E9BA97" w14:textId="77777777" w:rsidR="00FF7823" w:rsidRPr="005B358E" w:rsidRDefault="00FF7823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Valério, et al., 2008, afirmaram que a densidade básica é a propriedade física mais importante da madeira, tratando-se de um parâmetro significativo tanto para os especialistas da madeira, pois guarda grandes relações com outras propriedades e com o seu uso. De acordo com Moreschi (2005), grande parte das propriedades físicas e tecnológicas da madeira dependem desta propriedade e que, em geral, as madeiras mais pesadas são mais resistentes, mais elásticas e mais duras que as leves, porém são difíceis de trabalhar e apresentam grande variabilidade estrutural.</w:t>
      </w:r>
    </w:p>
    <w:p w14:paraId="2CCB3601" w14:textId="32AA2DD4" w:rsidR="00FF7823" w:rsidRPr="005B358E" w:rsidRDefault="00FF7823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Densidade básica é a relação entre a massa seca e o volume saturado. </w:t>
      </w:r>
      <w:r w:rsidR="00AE68DE" w:rsidRPr="005B358E">
        <w:rPr>
          <w:rFonts w:ascii="Times New Roman" w:hAnsi="Times New Roman"/>
          <w:sz w:val="24"/>
          <w:szCs w:val="24"/>
        </w:rPr>
        <w:t xml:space="preserve">O </w:t>
      </w:r>
      <w:r w:rsidRPr="005B358E">
        <w:rPr>
          <w:rFonts w:ascii="Times New Roman" w:hAnsi="Times New Roman"/>
          <w:sz w:val="24"/>
          <w:szCs w:val="24"/>
        </w:rPr>
        <w:t xml:space="preserve">volume saturado da madeira pode de obtido por deslocamento, no qual se determina a proporção volumétrica da madeira por meio da pesagem do volume de líquido deslocado. Outro </w:t>
      </w:r>
      <w:r w:rsidRPr="005B358E">
        <w:rPr>
          <w:rFonts w:ascii="Times New Roman" w:hAnsi="Times New Roman"/>
          <w:sz w:val="24"/>
          <w:szCs w:val="24"/>
        </w:rPr>
        <w:lastRenderedPageBreak/>
        <w:t>método de obtenção da densidade básica é o de máximo teor de umidade, sendo que ao contrário do primeiro método não se utilizada o volume para determinação da densidade, e sim a saturação da amostra em água (TRUGILHO et al., 1990).</w:t>
      </w:r>
    </w:p>
    <w:p w14:paraId="156A07CB" w14:textId="2EDBB616" w:rsidR="00FF7823" w:rsidRPr="005B358E" w:rsidRDefault="00FF7823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O presente estudo teve como objetivo geral determinar os valores de densidade básica</w:t>
      </w:r>
      <w:r w:rsidR="00066DE9">
        <w:rPr>
          <w:rFonts w:ascii="Times New Roman" w:hAnsi="Times New Roman"/>
          <w:sz w:val="24"/>
          <w:szCs w:val="24"/>
        </w:rPr>
        <w:t xml:space="preserve"> média</w:t>
      </w:r>
      <w:r w:rsidRPr="005B358E">
        <w:rPr>
          <w:rFonts w:ascii="Times New Roman" w:hAnsi="Times New Roman"/>
          <w:sz w:val="24"/>
          <w:szCs w:val="24"/>
        </w:rPr>
        <w:t xml:space="preserve"> de amostras da madeira de Cedro (</w:t>
      </w:r>
      <w:r w:rsidRPr="005B358E">
        <w:rPr>
          <w:rFonts w:ascii="Times New Roman" w:hAnsi="Times New Roman"/>
          <w:i/>
          <w:sz w:val="24"/>
          <w:szCs w:val="24"/>
        </w:rPr>
        <w:t>Cedrella fissilis</w:t>
      </w:r>
      <w:r w:rsidRPr="005B358E">
        <w:rPr>
          <w:rFonts w:ascii="Times New Roman" w:hAnsi="Times New Roman"/>
          <w:sz w:val="24"/>
          <w:szCs w:val="24"/>
        </w:rPr>
        <w:t xml:space="preserve"> Vell.).</w:t>
      </w:r>
    </w:p>
    <w:p w14:paraId="4CC58C0B" w14:textId="77777777" w:rsidR="00FF7823" w:rsidRPr="005B358E" w:rsidRDefault="00FF7823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C565704" w14:textId="77777777" w:rsidR="003B218B" w:rsidRPr="005B358E" w:rsidRDefault="003B218B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6B61F07" w14:textId="77777777" w:rsidR="004121DA" w:rsidRPr="005B358E" w:rsidRDefault="00FF7823" w:rsidP="005B358E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358E">
        <w:rPr>
          <w:rFonts w:ascii="Times New Roman" w:hAnsi="Times New Roman"/>
          <w:b/>
          <w:sz w:val="24"/>
          <w:szCs w:val="24"/>
        </w:rPr>
        <w:t>MATERIAL E MÉTODOS</w:t>
      </w:r>
    </w:p>
    <w:p w14:paraId="74B2A562" w14:textId="77777777" w:rsidR="004121DA" w:rsidRPr="005B358E" w:rsidRDefault="004121DA" w:rsidP="005B358E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1C6EE63C" w14:textId="23D95E44" w:rsidR="004121DA" w:rsidRPr="005B358E" w:rsidRDefault="004121DA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O presente trabalho foi realizado no laboratório de Física e Mecânica da Madeira do Instituto Federal de Educação, Ciência e Tecnologia de Minas Gerais (IFMG) na cidade de São João Evangelista que se localiza na bacia hidrográfica do Rio Doce (sub-bacia do Suaçuí Grande), região leste do Estado de Minas Gerais. De acordo com Köppen (1948), o clima predominante nesta região é do tipo tropical, com inverno seco e estação chuvosa no verão (Cwa), apresentando temperatura, precipitação e altitude média anual de 22 °C, 1.180 mm e de 680m respectivamente.</w:t>
      </w:r>
    </w:p>
    <w:p w14:paraId="2B29836B" w14:textId="219F0FE3" w:rsidR="004121DA" w:rsidRPr="005B358E" w:rsidRDefault="004121DA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Para se determinar a densidade básica foram util</w:t>
      </w:r>
      <w:r w:rsidR="00066DE9">
        <w:rPr>
          <w:rFonts w:ascii="Times New Roman" w:hAnsi="Times New Roman"/>
          <w:sz w:val="24"/>
          <w:szCs w:val="24"/>
        </w:rPr>
        <w:t xml:space="preserve">izadas três amostras </w:t>
      </w:r>
      <w:r w:rsidRPr="005B358E">
        <w:rPr>
          <w:rFonts w:ascii="Times New Roman" w:hAnsi="Times New Roman"/>
          <w:sz w:val="24"/>
          <w:szCs w:val="24"/>
        </w:rPr>
        <w:t xml:space="preserve">de madeira da espécie de </w:t>
      </w:r>
      <w:r w:rsidRPr="005B358E">
        <w:rPr>
          <w:rFonts w:ascii="Times New Roman" w:hAnsi="Times New Roman"/>
          <w:i/>
          <w:sz w:val="24"/>
          <w:szCs w:val="24"/>
        </w:rPr>
        <w:t>Cedrela fissilis</w:t>
      </w:r>
      <w:r w:rsidRPr="005B358E">
        <w:rPr>
          <w:rFonts w:ascii="Times New Roman" w:hAnsi="Times New Roman"/>
          <w:sz w:val="24"/>
          <w:szCs w:val="24"/>
        </w:rPr>
        <w:t xml:space="preserve"> Vell. com dimensões 2,9 cm x 2,9 cm x 8,4 cm</w:t>
      </w:r>
      <w:r w:rsidR="00066DE9">
        <w:rPr>
          <w:rFonts w:ascii="Times New Roman" w:hAnsi="Times New Roman"/>
          <w:sz w:val="24"/>
          <w:szCs w:val="24"/>
        </w:rPr>
        <w:t xml:space="preserve"> </w:t>
      </w:r>
      <w:r w:rsidRPr="005B358E">
        <w:rPr>
          <w:rFonts w:ascii="Times New Roman" w:hAnsi="Times New Roman"/>
          <w:sz w:val="24"/>
          <w:szCs w:val="24"/>
        </w:rPr>
        <w:t>(R x T x L), respectivamente. O cálculo da densidade básica foi realizado por dois métodos, a obtenção do volume pelo princípio de Arquimedes e aplicação da fórmula de Smith</w:t>
      </w:r>
      <w:r w:rsidR="005B358E" w:rsidRPr="005B358E">
        <w:rPr>
          <w:rFonts w:ascii="Times New Roman" w:hAnsi="Times New Roman"/>
          <w:sz w:val="24"/>
          <w:szCs w:val="24"/>
        </w:rPr>
        <w:t xml:space="preserve"> (Método do Máximo Teor de Umidade)</w:t>
      </w:r>
      <w:r w:rsidRPr="005B358E">
        <w:rPr>
          <w:rFonts w:ascii="Times New Roman" w:hAnsi="Times New Roman"/>
          <w:sz w:val="24"/>
          <w:szCs w:val="24"/>
        </w:rPr>
        <w:t xml:space="preserve">. </w:t>
      </w:r>
    </w:p>
    <w:p w14:paraId="7152DFBD" w14:textId="77777777" w:rsidR="00B27D96" w:rsidRPr="005B358E" w:rsidRDefault="004121DA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O método </w:t>
      </w:r>
      <w:r w:rsidR="00B27D96" w:rsidRPr="005B358E">
        <w:rPr>
          <w:rFonts w:ascii="Times New Roman" w:hAnsi="Times New Roman"/>
          <w:sz w:val="24"/>
          <w:szCs w:val="24"/>
        </w:rPr>
        <w:t xml:space="preserve">de obtenção do volume por imersão em água e pesagem </w:t>
      </w:r>
      <w:r w:rsidRPr="005B358E">
        <w:rPr>
          <w:rFonts w:ascii="Times New Roman" w:hAnsi="Times New Roman"/>
          <w:sz w:val="24"/>
          <w:szCs w:val="24"/>
        </w:rPr>
        <w:t xml:space="preserve">utiliza o princípio de Arquimedes, onde se determina o volume por meio de pesagem do volume de líquido deslocado. Para se estabelecer os valores da densidade pelo emprego do método de deslocamento de água e pesagem, foi necessário a secagem das amostras em estufa a 102 ± 3 °C até atingir a massa constante. Logo após, as amostras foram colocadas em um recipiente hermeticamente fechado com água, fazendo com que a água penetre no interior da madeira. </w:t>
      </w:r>
    </w:p>
    <w:p w14:paraId="376496FA" w14:textId="49EA2CEE" w:rsidR="00B27D96" w:rsidRPr="005B358E" w:rsidRDefault="004121DA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Posteriormente, foram submetidas ao dessecador com água e uma bomba vácuo para retirada do ar do recipiente e das amostras, resultando na saturação das mesmas. Após a saturação, determinou-se o volume pelo método de imersão em água e pesagem, assim a massa obtida na balanç</w:t>
      </w:r>
      <w:r w:rsidR="00B27D96" w:rsidRPr="005B358E">
        <w:rPr>
          <w:rFonts w:ascii="Times New Roman" w:hAnsi="Times New Roman"/>
          <w:sz w:val="24"/>
          <w:szCs w:val="24"/>
        </w:rPr>
        <w:t xml:space="preserve">a equivale ao volume deslocado. </w:t>
      </w:r>
    </w:p>
    <w:p w14:paraId="21BBA27E" w14:textId="05AA76C0" w:rsidR="00B27D96" w:rsidRDefault="00B27D96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Para o método de Máximo Teor de Umidade (MTU), as mesmas três amostras de madeira ficaram no dessecador com água para saturação das células. Após essa etapa, o excesso de água da superfície foi retirado para se</w:t>
      </w:r>
      <w:r w:rsidR="005B358E" w:rsidRPr="005B358E">
        <w:rPr>
          <w:rFonts w:ascii="Times New Roman" w:hAnsi="Times New Roman"/>
          <w:sz w:val="24"/>
          <w:szCs w:val="24"/>
        </w:rPr>
        <w:t xml:space="preserve"> determinar a massa saturada (P</w:t>
      </w:r>
      <w:r w:rsidR="005B358E" w:rsidRPr="005B358E">
        <w:rPr>
          <w:rFonts w:ascii="Times New Roman" w:hAnsi="Times New Roman"/>
          <w:sz w:val="24"/>
          <w:szCs w:val="24"/>
          <w:vertAlign w:val="subscript"/>
        </w:rPr>
        <w:t>m</w:t>
      </w:r>
      <w:r w:rsidRPr="005B358E">
        <w:rPr>
          <w:rFonts w:ascii="Times New Roman" w:hAnsi="Times New Roman"/>
          <w:sz w:val="24"/>
          <w:szCs w:val="24"/>
        </w:rPr>
        <w:t>). O material foi deixado ao ar livre para secagem, e posteriormente colocadas em estufa a 103 ± 2 °C para obtenção</w:t>
      </w:r>
      <w:r w:rsidR="005B358E" w:rsidRPr="005B358E">
        <w:rPr>
          <w:rFonts w:ascii="Times New Roman" w:hAnsi="Times New Roman"/>
          <w:sz w:val="24"/>
          <w:szCs w:val="24"/>
        </w:rPr>
        <w:t xml:space="preserve"> a massa absolutamente seca (P</w:t>
      </w:r>
      <w:r w:rsidR="005B358E" w:rsidRPr="005B358E">
        <w:rPr>
          <w:rFonts w:ascii="Times New Roman" w:hAnsi="Times New Roman"/>
          <w:sz w:val="24"/>
          <w:szCs w:val="24"/>
          <w:vertAlign w:val="subscript"/>
        </w:rPr>
        <w:t>as</w:t>
      </w:r>
      <w:r w:rsidRPr="005B358E">
        <w:rPr>
          <w:rFonts w:ascii="Times New Roman" w:hAnsi="Times New Roman"/>
          <w:sz w:val="24"/>
          <w:szCs w:val="24"/>
        </w:rPr>
        <w:t xml:space="preserve">). </w:t>
      </w:r>
      <w:r w:rsidR="003E1E15" w:rsidRPr="005B358E">
        <w:rPr>
          <w:rFonts w:ascii="Times New Roman" w:hAnsi="Times New Roman"/>
          <w:sz w:val="24"/>
          <w:szCs w:val="24"/>
        </w:rPr>
        <w:t>De posse desses dados obtém-se a densidade básica, de ambos os métodos, conforme as equações a seguir (tabela 1):</w:t>
      </w:r>
    </w:p>
    <w:p w14:paraId="417AA0B7" w14:textId="77777777" w:rsidR="00864E94" w:rsidRDefault="00864E94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13D186C2" w14:textId="77777777" w:rsidR="00840C1E" w:rsidRPr="005B358E" w:rsidRDefault="00840C1E" w:rsidP="00840C1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F3FC87D" w14:textId="5E84CD7C" w:rsidR="00345676" w:rsidRPr="005B358E" w:rsidRDefault="00345676" w:rsidP="00A10CFA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lastRenderedPageBreak/>
        <w:t>Tabela 1 – Equações para determinação da densidade básica</w:t>
      </w:r>
      <w:r w:rsidR="00381282">
        <w:rPr>
          <w:rFonts w:ascii="Times New Roman" w:hAnsi="Times New Roman"/>
          <w:sz w:val="24"/>
          <w:szCs w:val="24"/>
        </w:rPr>
        <w:t>.</w:t>
      </w:r>
    </w:p>
    <w:tbl>
      <w:tblPr>
        <w:tblStyle w:val="TabelaSimples2"/>
        <w:tblW w:w="0" w:type="auto"/>
        <w:tblLook w:val="04A0" w:firstRow="1" w:lastRow="0" w:firstColumn="1" w:lastColumn="0" w:noHBand="0" w:noVBand="1"/>
      </w:tblPr>
      <w:tblGrid>
        <w:gridCol w:w="4246"/>
        <w:gridCol w:w="4247"/>
      </w:tblGrid>
      <w:tr w:rsidR="002269D4" w:rsidRPr="005B358E" w14:paraId="6EE3DD20" w14:textId="77777777" w:rsidTr="003E1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</w:tcPr>
          <w:p w14:paraId="7ED303C7" w14:textId="4A30F118" w:rsidR="002269D4" w:rsidRPr="005B358E" w:rsidRDefault="00345676" w:rsidP="005B358E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/>
                <w:b w:val="0"/>
                <w:sz w:val="24"/>
                <w:szCs w:val="24"/>
              </w:rPr>
              <w:t>Nome</w:t>
            </w:r>
          </w:p>
        </w:tc>
        <w:tc>
          <w:tcPr>
            <w:tcW w:w="4247" w:type="dxa"/>
          </w:tcPr>
          <w:p w14:paraId="0044EA79" w14:textId="47E7F36D" w:rsidR="002269D4" w:rsidRPr="005B358E" w:rsidRDefault="00345676" w:rsidP="005B358E">
            <w:pPr>
              <w:spacing w:after="0" w:line="276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/>
                <w:b w:val="0"/>
                <w:sz w:val="24"/>
                <w:szCs w:val="24"/>
              </w:rPr>
              <w:t>Equações de Densidade Básica</w:t>
            </w:r>
          </w:p>
        </w:tc>
      </w:tr>
      <w:tr w:rsidR="002269D4" w:rsidRPr="005B358E" w14:paraId="423BDF59" w14:textId="77777777" w:rsidTr="003E1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vAlign w:val="center"/>
          </w:tcPr>
          <w:p w14:paraId="36A7052B" w14:textId="21BA5B52" w:rsidR="002269D4" w:rsidRPr="005B358E" w:rsidRDefault="00BE381C" w:rsidP="005B358E">
            <w:pPr>
              <w:spacing w:after="0" w:line="276" w:lineRule="auto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/>
                <w:b w:val="0"/>
                <w:sz w:val="24"/>
                <w:szCs w:val="24"/>
              </w:rPr>
              <w:t>Método do Deslocamento e Pesagem</w:t>
            </w:r>
          </w:p>
        </w:tc>
        <w:tc>
          <w:tcPr>
            <w:tcW w:w="4247" w:type="dxa"/>
          </w:tcPr>
          <w:p w14:paraId="407E241A" w14:textId="4B1F8F19" w:rsidR="00345676" w:rsidRPr="00381282" w:rsidRDefault="00C253C8" w:rsidP="005B358E">
            <w:pPr>
              <w:spacing w:after="0" w:line="276" w:lineRule="auto"/>
              <w:ind w:firstLine="708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sub>
                </m:sSub>
                <m:r>
                  <m:rPr>
                    <m:lit/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</w:tr>
      <w:tr w:rsidR="002269D4" w:rsidRPr="005B358E" w14:paraId="0292D4AD" w14:textId="77777777" w:rsidTr="003E1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vAlign w:val="center"/>
          </w:tcPr>
          <w:p w14:paraId="0DF43460" w14:textId="04574F53" w:rsidR="002269D4" w:rsidRPr="005B358E" w:rsidRDefault="003E1E15" w:rsidP="005B358E">
            <w:pPr>
              <w:spacing w:after="0" w:line="276" w:lineRule="auto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/>
                <w:b w:val="0"/>
                <w:sz w:val="24"/>
                <w:szCs w:val="24"/>
              </w:rPr>
              <w:t>Método do Máximo Teor de Umidade</w:t>
            </w:r>
          </w:p>
        </w:tc>
        <w:tc>
          <w:tcPr>
            <w:tcW w:w="4247" w:type="dxa"/>
          </w:tcPr>
          <w:p w14:paraId="6C89EE96" w14:textId="2240EA5F" w:rsidR="00345676" w:rsidRPr="00381282" w:rsidRDefault="00C253C8" w:rsidP="005B358E">
            <w:pPr>
              <w:spacing w:after="0" w:line="276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1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m:t>as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  <m:r>
                      <m:rPr>
                        <m:nor/>
                      </m:rPr>
                      <w:rPr>
                        <w:rFonts w:ascii="Times New Roman" w:hAnsi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m:t>G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</w:tr>
    </w:tbl>
    <w:p w14:paraId="70CCBD04" w14:textId="779A4B75" w:rsidR="002269D4" w:rsidRPr="005B358E" w:rsidRDefault="00345676" w:rsidP="005B358E">
      <w:pPr>
        <w:spacing w:after="0" w:line="276" w:lineRule="auto"/>
        <w:contextualSpacing/>
        <w:jc w:val="both"/>
        <w:rPr>
          <w:rFonts w:ascii="Times New Roman" w:hAnsi="Times New Roman"/>
          <w:sz w:val="20"/>
          <w:szCs w:val="24"/>
        </w:rPr>
      </w:pPr>
      <w:r w:rsidRPr="005B358E">
        <w:rPr>
          <w:rFonts w:ascii="Times New Roman" w:hAnsi="Times New Roman"/>
          <w:sz w:val="20"/>
          <w:szCs w:val="24"/>
        </w:rPr>
        <w:t>d</w:t>
      </w:r>
      <w:r w:rsidRPr="005B358E">
        <w:rPr>
          <w:rFonts w:ascii="Times New Roman" w:hAnsi="Times New Roman"/>
          <w:sz w:val="20"/>
          <w:szCs w:val="24"/>
          <w:vertAlign w:val="subscript"/>
        </w:rPr>
        <w:t xml:space="preserve">b </w:t>
      </w:r>
      <w:r w:rsidRPr="005B358E">
        <w:rPr>
          <w:rFonts w:ascii="Times New Roman" w:hAnsi="Times New Roman"/>
          <w:sz w:val="20"/>
          <w:szCs w:val="24"/>
        </w:rPr>
        <w:t>= densidade básica (g/cm³), M</w:t>
      </w:r>
      <w:r w:rsidRPr="005B358E">
        <w:rPr>
          <w:rFonts w:ascii="Times New Roman" w:hAnsi="Times New Roman"/>
          <w:sz w:val="20"/>
          <w:szCs w:val="24"/>
          <w:vertAlign w:val="subscript"/>
        </w:rPr>
        <w:t>s</w:t>
      </w:r>
      <w:r w:rsidRPr="005B358E">
        <w:rPr>
          <w:rFonts w:ascii="Times New Roman" w:hAnsi="Times New Roman"/>
          <w:sz w:val="20"/>
          <w:szCs w:val="24"/>
        </w:rPr>
        <w:t xml:space="preserve"> = massa seca (g), V</w:t>
      </w:r>
      <w:r w:rsidRPr="005B358E">
        <w:rPr>
          <w:rFonts w:ascii="Times New Roman" w:hAnsi="Times New Roman"/>
          <w:sz w:val="20"/>
          <w:szCs w:val="24"/>
          <w:vertAlign w:val="subscript"/>
        </w:rPr>
        <w:t>s</w:t>
      </w:r>
      <w:r w:rsidRPr="005B358E">
        <w:rPr>
          <w:rFonts w:ascii="Times New Roman" w:hAnsi="Times New Roman"/>
          <w:sz w:val="20"/>
          <w:szCs w:val="24"/>
        </w:rPr>
        <w:t xml:space="preserve"> = volume saturado (cm³), P</w:t>
      </w:r>
      <w:r w:rsidRPr="005B358E">
        <w:rPr>
          <w:rFonts w:ascii="Times New Roman" w:hAnsi="Times New Roman"/>
          <w:sz w:val="20"/>
          <w:szCs w:val="24"/>
          <w:vertAlign w:val="subscript"/>
        </w:rPr>
        <w:t>m</w:t>
      </w:r>
      <w:r w:rsidRPr="005B358E">
        <w:rPr>
          <w:rFonts w:ascii="Times New Roman" w:hAnsi="Times New Roman"/>
          <w:sz w:val="20"/>
          <w:szCs w:val="24"/>
        </w:rPr>
        <w:t xml:space="preserve"> = massa da madeira saturada (g), P</w:t>
      </w:r>
      <w:r w:rsidRPr="005B358E">
        <w:rPr>
          <w:rFonts w:ascii="Times New Roman" w:hAnsi="Times New Roman"/>
          <w:sz w:val="20"/>
          <w:szCs w:val="24"/>
          <w:vertAlign w:val="subscript"/>
        </w:rPr>
        <w:t>as</w:t>
      </w:r>
      <w:r w:rsidRPr="005B358E">
        <w:rPr>
          <w:rFonts w:ascii="Times New Roman" w:hAnsi="Times New Roman"/>
          <w:sz w:val="20"/>
          <w:szCs w:val="24"/>
        </w:rPr>
        <w:t xml:space="preserve"> = massa absolutamente seca (g), </w:t>
      </w:r>
      <w:r w:rsidR="003E1E15" w:rsidRPr="005B358E">
        <w:rPr>
          <w:rFonts w:ascii="Times New Roman" w:hAnsi="Times New Roman"/>
          <w:sz w:val="20"/>
          <w:szCs w:val="24"/>
        </w:rPr>
        <w:t>G</w:t>
      </w:r>
      <w:r w:rsidR="003E1E15" w:rsidRPr="005B358E">
        <w:rPr>
          <w:rFonts w:ascii="Times New Roman" w:hAnsi="Times New Roman"/>
          <w:sz w:val="20"/>
          <w:szCs w:val="24"/>
          <w:vertAlign w:val="subscript"/>
        </w:rPr>
        <w:t>s</w:t>
      </w:r>
      <w:r w:rsidR="003E1E15" w:rsidRPr="005B358E">
        <w:rPr>
          <w:rFonts w:ascii="Times New Roman" w:hAnsi="Times New Roman"/>
          <w:sz w:val="20"/>
          <w:szCs w:val="24"/>
        </w:rPr>
        <w:t xml:space="preserve"> = densidade real da madeira (1,53 g/cm³)</w:t>
      </w:r>
      <w:r w:rsidR="005B358E" w:rsidRPr="005B358E">
        <w:rPr>
          <w:rFonts w:ascii="Times New Roman" w:hAnsi="Times New Roman"/>
          <w:sz w:val="20"/>
          <w:szCs w:val="24"/>
        </w:rPr>
        <w:t>.</w:t>
      </w:r>
    </w:p>
    <w:p w14:paraId="700114EF" w14:textId="77777777" w:rsidR="00B27D96" w:rsidRPr="005B358E" w:rsidRDefault="00B27D9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F4682D3" w14:textId="77777777" w:rsidR="00B27D96" w:rsidRPr="005B358E" w:rsidRDefault="00B27D96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Para avaliar a semelhança entre os dois métodos de determinação da densidade básica da madeira, os dados foram submetidos à análise de variância (teste F), com o emprego do software SISVAR (FERREIRA, 2008). </w:t>
      </w:r>
    </w:p>
    <w:p w14:paraId="45F78128" w14:textId="77777777" w:rsidR="00B27D96" w:rsidRPr="005B358E" w:rsidRDefault="00B27D9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157B20D" w14:textId="77777777" w:rsidR="003B218B" w:rsidRPr="005B358E" w:rsidRDefault="003B218B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ABDCB45" w14:textId="77777777" w:rsidR="00BD5AFB" w:rsidRPr="005B358E" w:rsidRDefault="00B27D96" w:rsidP="005B358E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358E">
        <w:rPr>
          <w:rFonts w:ascii="Times New Roman" w:hAnsi="Times New Roman"/>
          <w:b/>
          <w:sz w:val="24"/>
          <w:szCs w:val="24"/>
        </w:rPr>
        <w:t>RESULTADOS E DISCUSSÕES</w:t>
      </w:r>
    </w:p>
    <w:p w14:paraId="4B84B091" w14:textId="77777777" w:rsidR="00BD5AFB" w:rsidRPr="005B358E" w:rsidRDefault="00BD5AFB" w:rsidP="005B358E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39000DDD" w14:textId="0A5EB977" w:rsidR="00BD5AFB" w:rsidRPr="005B358E" w:rsidRDefault="00BD5AFB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As determinações dos valores de densidade básica, para ambos os métodos, estão expressas </w:t>
      </w:r>
      <w:r w:rsidR="00345676" w:rsidRPr="005B358E">
        <w:rPr>
          <w:rFonts w:ascii="Times New Roman" w:hAnsi="Times New Roman"/>
          <w:sz w:val="24"/>
          <w:szCs w:val="24"/>
        </w:rPr>
        <w:t>conforme apresentado na Tabela 2</w:t>
      </w:r>
      <w:r w:rsidRPr="005B358E">
        <w:rPr>
          <w:rFonts w:ascii="Times New Roman" w:hAnsi="Times New Roman"/>
          <w:sz w:val="24"/>
          <w:szCs w:val="24"/>
        </w:rPr>
        <w:t xml:space="preserve">.  </w:t>
      </w:r>
    </w:p>
    <w:p w14:paraId="1104416F" w14:textId="77777777" w:rsidR="00BD5AFB" w:rsidRPr="005B358E" w:rsidRDefault="00BD5AFB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0D648382" w14:textId="19C8E639" w:rsidR="00BD5AFB" w:rsidRPr="005B358E" w:rsidRDefault="00BD5AFB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Tabela </w:t>
      </w:r>
      <w:r w:rsidR="00345676" w:rsidRPr="005B358E">
        <w:rPr>
          <w:rFonts w:ascii="Times New Roman" w:hAnsi="Times New Roman"/>
          <w:sz w:val="24"/>
          <w:szCs w:val="24"/>
        </w:rPr>
        <w:t>2</w:t>
      </w:r>
      <w:r w:rsidR="00942634" w:rsidRPr="005B358E">
        <w:rPr>
          <w:rFonts w:ascii="Times New Roman" w:hAnsi="Times New Roman"/>
          <w:sz w:val="24"/>
          <w:szCs w:val="24"/>
        </w:rPr>
        <w:t xml:space="preserve"> – Tabela dos dados de</w:t>
      </w:r>
      <w:r w:rsidRPr="005B358E">
        <w:rPr>
          <w:rFonts w:ascii="Times New Roman" w:hAnsi="Times New Roman"/>
          <w:sz w:val="24"/>
          <w:szCs w:val="24"/>
        </w:rPr>
        <w:t xml:space="preserve"> densidade</w:t>
      </w:r>
      <w:r w:rsidR="00942634" w:rsidRPr="005B358E">
        <w:rPr>
          <w:rFonts w:ascii="Times New Roman" w:hAnsi="Times New Roman"/>
          <w:sz w:val="24"/>
          <w:szCs w:val="24"/>
        </w:rPr>
        <w:t xml:space="preserve"> básica.</w:t>
      </w:r>
      <w:r w:rsidRPr="005B358E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elaSimples21"/>
        <w:tblW w:w="5000" w:type="pct"/>
        <w:tblLook w:val="04A0" w:firstRow="1" w:lastRow="0" w:firstColumn="1" w:lastColumn="0" w:noHBand="0" w:noVBand="1"/>
      </w:tblPr>
      <w:tblGrid>
        <w:gridCol w:w="1796"/>
        <w:gridCol w:w="3821"/>
        <w:gridCol w:w="2886"/>
      </w:tblGrid>
      <w:tr w:rsidR="003B218B" w:rsidRPr="005B358E" w14:paraId="64B45D28" w14:textId="77777777" w:rsidTr="003B2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 w:val="restart"/>
            <w:vAlign w:val="center"/>
          </w:tcPr>
          <w:p w14:paraId="71202A8A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A0CF6A0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 w:val="0"/>
                <w:sz w:val="24"/>
                <w:szCs w:val="24"/>
              </w:rPr>
              <w:t>Repetição</w:t>
            </w:r>
          </w:p>
        </w:tc>
        <w:tc>
          <w:tcPr>
            <w:tcW w:w="3944" w:type="pct"/>
            <w:gridSpan w:val="2"/>
            <w:vAlign w:val="center"/>
          </w:tcPr>
          <w:p w14:paraId="5E5E5A20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 w:val="0"/>
                <w:sz w:val="24"/>
                <w:szCs w:val="24"/>
              </w:rPr>
              <w:t>Densidade (g/cm³)</w:t>
            </w:r>
          </w:p>
        </w:tc>
      </w:tr>
      <w:tr w:rsidR="003B218B" w:rsidRPr="005B358E" w14:paraId="30E367C4" w14:textId="77777777" w:rsidTr="003B2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Merge/>
            <w:vAlign w:val="center"/>
          </w:tcPr>
          <w:p w14:paraId="7666B812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247" w:type="pct"/>
            <w:vAlign w:val="center"/>
          </w:tcPr>
          <w:p w14:paraId="5DB083FF" w14:textId="5A207840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Método </w:t>
            </w:r>
            <w:r w:rsidR="00942634" w:rsidRPr="005B358E">
              <w:rPr>
                <w:rFonts w:ascii="Times New Roman" w:hAnsi="Times New Roman" w:cs="Times New Roman"/>
                <w:bCs/>
                <w:sz w:val="24"/>
                <w:szCs w:val="24"/>
              </w:rPr>
              <w:t>de Deslocamento e Pesagem</w:t>
            </w:r>
          </w:p>
        </w:tc>
        <w:tc>
          <w:tcPr>
            <w:tcW w:w="1697" w:type="pct"/>
            <w:vAlign w:val="center"/>
          </w:tcPr>
          <w:p w14:paraId="57C4B869" w14:textId="4A761E23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Método </w:t>
            </w:r>
            <w:r w:rsidR="00942634" w:rsidRPr="005B358E">
              <w:rPr>
                <w:rFonts w:ascii="Times New Roman" w:hAnsi="Times New Roman" w:cs="Times New Roman"/>
                <w:bCs/>
                <w:sz w:val="24"/>
                <w:szCs w:val="24"/>
              </w:rPr>
              <w:t>de Máximo Teor de Umidade</w:t>
            </w:r>
          </w:p>
        </w:tc>
      </w:tr>
      <w:tr w:rsidR="003B218B" w:rsidRPr="005B358E" w14:paraId="429BA9CE" w14:textId="77777777" w:rsidTr="003B218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tcBorders>
              <w:top w:val="nil"/>
              <w:bottom w:val="nil"/>
            </w:tcBorders>
            <w:vAlign w:val="center"/>
          </w:tcPr>
          <w:p w14:paraId="1F1098F5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247" w:type="pct"/>
            <w:tcBorders>
              <w:top w:val="nil"/>
              <w:bottom w:val="nil"/>
            </w:tcBorders>
            <w:vAlign w:val="center"/>
          </w:tcPr>
          <w:p w14:paraId="5AC89ECF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0,532</w:t>
            </w:r>
          </w:p>
        </w:tc>
        <w:tc>
          <w:tcPr>
            <w:tcW w:w="1697" w:type="pct"/>
            <w:tcBorders>
              <w:top w:val="nil"/>
              <w:bottom w:val="nil"/>
            </w:tcBorders>
            <w:vAlign w:val="center"/>
          </w:tcPr>
          <w:p w14:paraId="5D8140B1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0,664</w:t>
            </w:r>
          </w:p>
        </w:tc>
      </w:tr>
      <w:tr w:rsidR="003B218B" w:rsidRPr="005B358E" w14:paraId="6C5D0EB0" w14:textId="77777777" w:rsidTr="003B2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Align w:val="center"/>
          </w:tcPr>
          <w:p w14:paraId="68CE2611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2247" w:type="pct"/>
            <w:vAlign w:val="center"/>
          </w:tcPr>
          <w:p w14:paraId="47973909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0,503</w:t>
            </w:r>
          </w:p>
        </w:tc>
        <w:tc>
          <w:tcPr>
            <w:tcW w:w="1697" w:type="pct"/>
            <w:vAlign w:val="center"/>
          </w:tcPr>
          <w:p w14:paraId="0F73E677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0,528</w:t>
            </w:r>
          </w:p>
        </w:tc>
      </w:tr>
      <w:tr w:rsidR="003B218B" w:rsidRPr="005B358E" w14:paraId="5EA310E0" w14:textId="77777777" w:rsidTr="003B218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tcBorders>
              <w:top w:val="nil"/>
              <w:bottom w:val="nil"/>
            </w:tcBorders>
            <w:vAlign w:val="center"/>
          </w:tcPr>
          <w:p w14:paraId="49095D43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2247" w:type="pct"/>
            <w:tcBorders>
              <w:top w:val="nil"/>
              <w:bottom w:val="nil"/>
            </w:tcBorders>
            <w:vAlign w:val="center"/>
          </w:tcPr>
          <w:p w14:paraId="074BBFC4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0,527</w:t>
            </w:r>
          </w:p>
        </w:tc>
        <w:tc>
          <w:tcPr>
            <w:tcW w:w="1697" w:type="pct"/>
            <w:tcBorders>
              <w:top w:val="nil"/>
              <w:bottom w:val="nil"/>
            </w:tcBorders>
            <w:vAlign w:val="center"/>
          </w:tcPr>
          <w:p w14:paraId="00086F50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0,818</w:t>
            </w:r>
          </w:p>
        </w:tc>
      </w:tr>
      <w:tr w:rsidR="003B218B" w:rsidRPr="005B358E" w14:paraId="21FBC026" w14:textId="77777777" w:rsidTr="003B2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vAlign w:val="center"/>
          </w:tcPr>
          <w:p w14:paraId="30CB3FCA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 w:val="0"/>
                <w:sz w:val="24"/>
                <w:szCs w:val="24"/>
              </w:rPr>
              <w:t>Média</w:t>
            </w:r>
          </w:p>
        </w:tc>
        <w:tc>
          <w:tcPr>
            <w:tcW w:w="2247" w:type="pct"/>
            <w:vAlign w:val="center"/>
          </w:tcPr>
          <w:p w14:paraId="005AE468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0,521</w:t>
            </w:r>
          </w:p>
        </w:tc>
        <w:tc>
          <w:tcPr>
            <w:tcW w:w="1697" w:type="pct"/>
            <w:vAlign w:val="center"/>
          </w:tcPr>
          <w:p w14:paraId="39F909DA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0,670</w:t>
            </w:r>
          </w:p>
        </w:tc>
      </w:tr>
      <w:tr w:rsidR="003B218B" w:rsidRPr="005B358E" w14:paraId="591AF945" w14:textId="77777777" w:rsidTr="003B218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" w:type="pct"/>
            <w:tcBorders>
              <w:top w:val="nil"/>
            </w:tcBorders>
            <w:vAlign w:val="center"/>
          </w:tcPr>
          <w:p w14:paraId="52072C66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b w:val="0"/>
                <w:sz w:val="24"/>
                <w:szCs w:val="24"/>
              </w:rPr>
              <w:t>CV (%)</w:t>
            </w:r>
          </w:p>
        </w:tc>
        <w:tc>
          <w:tcPr>
            <w:tcW w:w="2247" w:type="pct"/>
            <w:tcBorders>
              <w:top w:val="nil"/>
            </w:tcBorders>
            <w:vAlign w:val="center"/>
          </w:tcPr>
          <w:p w14:paraId="783F208A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1697" w:type="pct"/>
            <w:tcBorders>
              <w:top w:val="nil"/>
            </w:tcBorders>
            <w:vAlign w:val="center"/>
          </w:tcPr>
          <w:p w14:paraId="28D04605" w14:textId="77777777" w:rsidR="00BD5AFB" w:rsidRPr="005B358E" w:rsidRDefault="00BD5AFB" w:rsidP="005B358E">
            <w:pPr>
              <w:widowControl w:val="0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58E">
              <w:rPr>
                <w:rFonts w:ascii="Times New Roman" w:hAnsi="Times New Roman" w:cs="Times New Roman"/>
                <w:sz w:val="24"/>
                <w:szCs w:val="24"/>
              </w:rPr>
              <w:t>21,68</w:t>
            </w:r>
          </w:p>
        </w:tc>
      </w:tr>
    </w:tbl>
    <w:p w14:paraId="45ACF216" w14:textId="1838D070" w:rsidR="00AE68DE" w:rsidRPr="005B358E" w:rsidRDefault="00942634" w:rsidP="005B358E">
      <w:pPr>
        <w:spacing w:after="0" w:line="276" w:lineRule="auto"/>
        <w:contextualSpacing/>
        <w:jc w:val="both"/>
        <w:rPr>
          <w:rFonts w:ascii="Times New Roman" w:hAnsi="Times New Roman"/>
          <w:sz w:val="20"/>
          <w:szCs w:val="24"/>
        </w:rPr>
      </w:pPr>
      <w:r w:rsidRPr="005B358E">
        <w:rPr>
          <w:rFonts w:ascii="Times New Roman" w:hAnsi="Times New Roman"/>
          <w:sz w:val="20"/>
          <w:szCs w:val="24"/>
        </w:rPr>
        <w:t>CV = coeficiente de variação</w:t>
      </w:r>
    </w:p>
    <w:p w14:paraId="056806E9" w14:textId="77777777" w:rsidR="00BE381C" w:rsidRPr="005B358E" w:rsidRDefault="00BE381C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1DBE6052" w14:textId="77777777" w:rsidR="00BD5AFB" w:rsidRPr="005B358E" w:rsidRDefault="00BD5AFB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As amostras de cedro estão classificadas como madeira de densidade média (0,51 g/cm³ a 0,72 g/cm³), conforme proposto pelos estudos de Melo et al. (1990); Vale et al. (2002, 2005); Coradin et al. (2010); Silveira et al. (2013).</w:t>
      </w:r>
    </w:p>
    <w:p w14:paraId="2B81EC07" w14:textId="5819FC3B" w:rsidR="00BD5AFB" w:rsidRPr="005B358E" w:rsidRDefault="00BD5AFB" w:rsidP="005B358E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>Em análise, pode-se observar que o valo</w:t>
      </w:r>
      <w:r w:rsidR="005B358E" w:rsidRPr="005B358E">
        <w:rPr>
          <w:rFonts w:ascii="Times New Roman" w:hAnsi="Times New Roman"/>
          <w:sz w:val="24"/>
          <w:szCs w:val="24"/>
        </w:rPr>
        <w:t>r médio da densidade básica do M</w:t>
      </w:r>
      <w:r w:rsidRPr="005B358E">
        <w:rPr>
          <w:rFonts w:ascii="Times New Roman" w:hAnsi="Times New Roman"/>
          <w:sz w:val="24"/>
          <w:szCs w:val="24"/>
        </w:rPr>
        <w:t xml:space="preserve">étodo de </w:t>
      </w:r>
      <w:r w:rsidR="00BE381C" w:rsidRPr="005B358E">
        <w:rPr>
          <w:rFonts w:ascii="Times New Roman" w:hAnsi="Times New Roman"/>
          <w:sz w:val="24"/>
          <w:szCs w:val="24"/>
        </w:rPr>
        <w:t>Deslocamento e Pesagem</w:t>
      </w:r>
      <w:r w:rsidRPr="005B358E">
        <w:rPr>
          <w:rFonts w:ascii="Times New Roman" w:hAnsi="Times New Roman"/>
          <w:sz w:val="24"/>
          <w:szCs w:val="24"/>
        </w:rPr>
        <w:t xml:space="preserve"> é inferior qua</w:t>
      </w:r>
      <w:r w:rsidR="005B358E" w:rsidRPr="005B358E">
        <w:rPr>
          <w:rFonts w:ascii="Times New Roman" w:hAnsi="Times New Roman"/>
          <w:sz w:val="24"/>
          <w:szCs w:val="24"/>
        </w:rPr>
        <w:t>ndo comparado ao M</w:t>
      </w:r>
      <w:r w:rsidR="00BE381C" w:rsidRPr="005B358E">
        <w:rPr>
          <w:rFonts w:ascii="Times New Roman" w:hAnsi="Times New Roman"/>
          <w:sz w:val="24"/>
          <w:szCs w:val="24"/>
        </w:rPr>
        <w:t>étodo do Máximo Teor de Umidade</w:t>
      </w:r>
      <w:r w:rsidRPr="005B358E">
        <w:rPr>
          <w:rFonts w:ascii="Times New Roman" w:hAnsi="Times New Roman"/>
          <w:sz w:val="24"/>
          <w:szCs w:val="24"/>
        </w:rPr>
        <w:t>, 0,521 e 0,670 g/cm³ respectivamente. Já quanto aos valores de Coeficiente de Variação (CV), observa-se uma grande discrepância entre os dados, s</w:t>
      </w:r>
      <w:r w:rsidR="00BE381C" w:rsidRPr="005B358E">
        <w:rPr>
          <w:rFonts w:ascii="Times New Roman" w:hAnsi="Times New Roman"/>
          <w:sz w:val="24"/>
          <w:szCs w:val="24"/>
        </w:rPr>
        <w:t>endo 2,96% (Método de Des</w:t>
      </w:r>
      <w:r w:rsidR="005B358E" w:rsidRPr="005B358E">
        <w:rPr>
          <w:rFonts w:ascii="Times New Roman" w:hAnsi="Times New Roman"/>
          <w:sz w:val="24"/>
          <w:szCs w:val="24"/>
        </w:rPr>
        <w:t>locamento e Pesagem) e 21,68% (M</w:t>
      </w:r>
      <w:r w:rsidR="00BE381C" w:rsidRPr="005B358E">
        <w:rPr>
          <w:rFonts w:ascii="Times New Roman" w:hAnsi="Times New Roman"/>
          <w:sz w:val="24"/>
          <w:szCs w:val="24"/>
        </w:rPr>
        <w:t>étodo do Máximo Teor de Umidade</w:t>
      </w:r>
      <w:r w:rsidRPr="005B358E">
        <w:rPr>
          <w:rFonts w:ascii="Times New Roman" w:hAnsi="Times New Roman"/>
          <w:sz w:val="24"/>
          <w:szCs w:val="24"/>
        </w:rPr>
        <w:t>).</w:t>
      </w:r>
    </w:p>
    <w:p w14:paraId="08F3A690" w14:textId="2511F7BA" w:rsidR="00475E30" w:rsidRPr="005B358E" w:rsidRDefault="00BD5AFB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ab/>
        <w:t xml:space="preserve">Pela análise do Quadro de ANOVA, identificou-se não haver diferenças significativas entre os métodos, visto que o Fcalc &lt; Ftab, ou seja, do ponto de vista </w:t>
      </w:r>
      <w:r w:rsidRPr="005B358E">
        <w:rPr>
          <w:rFonts w:ascii="Times New Roman" w:hAnsi="Times New Roman"/>
          <w:sz w:val="24"/>
          <w:szCs w:val="24"/>
        </w:rPr>
        <w:lastRenderedPageBreak/>
        <w:t xml:space="preserve">estatístico a hipótese nula é aceita, em que a mesma expressa a equivalência de ambos os métodos. Uma vez que os métodos se apresentam estatisticamente iguais, não há necessidade de se realizar demais testes para determinar as diferenças entre eles. </w:t>
      </w:r>
    </w:p>
    <w:p w14:paraId="52176260" w14:textId="77777777" w:rsidR="003B218B" w:rsidRPr="005B358E" w:rsidRDefault="003B218B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09FE66E" w14:textId="77777777" w:rsidR="003B218B" w:rsidRPr="005B358E" w:rsidRDefault="003B218B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625D01E" w14:textId="5663D72E" w:rsidR="003B218B" w:rsidRPr="005B358E" w:rsidRDefault="003B218B" w:rsidP="005B358E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358E">
        <w:rPr>
          <w:rFonts w:ascii="Times New Roman" w:hAnsi="Times New Roman"/>
          <w:b/>
          <w:sz w:val="24"/>
          <w:szCs w:val="24"/>
        </w:rPr>
        <w:t>CONCLUSÃO</w:t>
      </w:r>
    </w:p>
    <w:p w14:paraId="4F42D355" w14:textId="77777777" w:rsidR="003B218B" w:rsidRPr="005B358E" w:rsidRDefault="003B218B" w:rsidP="005B358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ab/>
      </w:r>
    </w:p>
    <w:p w14:paraId="1959ACFC" w14:textId="77777777" w:rsidR="00B9054D" w:rsidRPr="00B9054D" w:rsidRDefault="00942634" w:rsidP="00B9054D">
      <w:pPr>
        <w:spacing w:after="0" w:line="276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BE1312">
        <w:rPr>
          <w:rFonts w:ascii="Times New Roman" w:hAnsi="Times New Roman"/>
          <w:sz w:val="24"/>
          <w:szCs w:val="24"/>
        </w:rPr>
        <w:t xml:space="preserve">Através da </w:t>
      </w:r>
      <w:r w:rsidR="00BE1312" w:rsidRPr="00BE1312">
        <w:rPr>
          <w:rFonts w:ascii="Times New Roman" w:hAnsi="Times New Roman"/>
          <w:sz w:val="24"/>
          <w:szCs w:val="24"/>
        </w:rPr>
        <w:t xml:space="preserve">utilização dos métodos </w:t>
      </w:r>
      <w:r w:rsidR="00BE1312" w:rsidRPr="00BE1312">
        <w:rPr>
          <w:rFonts w:ascii="Times New Roman" w:hAnsi="Times New Roman"/>
          <w:sz w:val="24"/>
          <w:szCs w:val="24"/>
        </w:rPr>
        <w:t xml:space="preserve">de Máximo Teor de Umidade </w:t>
      </w:r>
      <w:r w:rsidR="00BE1312" w:rsidRPr="00BE1312">
        <w:rPr>
          <w:rFonts w:ascii="Times New Roman" w:hAnsi="Times New Roman"/>
          <w:sz w:val="24"/>
          <w:szCs w:val="24"/>
        </w:rPr>
        <w:t>e</w:t>
      </w:r>
      <w:r w:rsidR="00BE1312">
        <w:rPr>
          <w:rFonts w:ascii="Times New Roman" w:hAnsi="Times New Roman"/>
          <w:sz w:val="24"/>
          <w:szCs w:val="24"/>
        </w:rPr>
        <w:t xml:space="preserve"> </w:t>
      </w:r>
      <w:r w:rsidR="00BE1312" w:rsidRPr="00BE1312">
        <w:rPr>
          <w:rFonts w:ascii="Times New Roman" w:hAnsi="Times New Roman"/>
          <w:sz w:val="24"/>
          <w:szCs w:val="24"/>
        </w:rPr>
        <w:t>de Deslocamento e Pesagem</w:t>
      </w:r>
      <w:r w:rsidR="00EC7C98">
        <w:rPr>
          <w:rFonts w:ascii="Times New Roman" w:hAnsi="Times New Roman"/>
          <w:sz w:val="24"/>
          <w:szCs w:val="24"/>
        </w:rPr>
        <w:t xml:space="preserve"> </w:t>
      </w:r>
      <w:r w:rsidR="00BE1312" w:rsidRPr="00BE1312">
        <w:rPr>
          <w:rFonts w:ascii="Times New Roman" w:hAnsi="Times New Roman"/>
          <w:sz w:val="24"/>
          <w:szCs w:val="24"/>
        </w:rPr>
        <w:t xml:space="preserve">foi possível determinar os valores de densidade média do </w:t>
      </w:r>
      <w:r w:rsidR="00BE1312" w:rsidRPr="00BE1312">
        <w:rPr>
          <w:rFonts w:ascii="Times New Roman" w:hAnsi="Times New Roman"/>
          <w:sz w:val="24"/>
          <w:szCs w:val="24"/>
        </w:rPr>
        <w:t>cedro (</w:t>
      </w:r>
      <w:proofErr w:type="spellStart"/>
      <w:r w:rsidR="00BE1312" w:rsidRPr="00BE1312">
        <w:rPr>
          <w:rFonts w:ascii="Times New Roman" w:hAnsi="Times New Roman"/>
          <w:i/>
          <w:iCs/>
          <w:sz w:val="24"/>
          <w:szCs w:val="24"/>
        </w:rPr>
        <w:t>Cedrella</w:t>
      </w:r>
      <w:proofErr w:type="spellEnd"/>
      <w:r w:rsidR="00BE1312" w:rsidRPr="00BE1312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BE1312" w:rsidRPr="00BE1312">
        <w:rPr>
          <w:rFonts w:ascii="Times New Roman" w:hAnsi="Times New Roman"/>
          <w:i/>
          <w:iCs/>
          <w:sz w:val="24"/>
          <w:szCs w:val="24"/>
        </w:rPr>
        <w:t>fissilis</w:t>
      </w:r>
      <w:proofErr w:type="spellEnd"/>
      <w:r w:rsidR="00BE1312" w:rsidRPr="00BE1312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BE1312" w:rsidRPr="00BE1312">
        <w:rPr>
          <w:rFonts w:ascii="Times New Roman" w:hAnsi="Times New Roman"/>
          <w:sz w:val="24"/>
          <w:szCs w:val="24"/>
        </w:rPr>
        <w:t>Vell</w:t>
      </w:r>
      <w:proofErr w:type="spellEnd"/>
      <w:r w:rsidR="00BE1312" w:rsidRPr="00BE1312">
        <w:rPr>
          <w:rFonts w:ascii="Times New Roman" w:hAnsi="Times New Roman"/>
          <w:i/>
          <w:iCs/>
          <w:sz w:val="24"/>
          <w:szCs w:val="24"/>
        </w:rPr>
        <w:t>)</w:t>
      </w:r>
      <w:r w:rsidR="00B9054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B9054D" w:rsidRPr="00EC7C98">
        <w:rPr>
          <w:rFonts w:ascii="Times New Roman" w:hAnsi="Times New Roman"/>
          <w:sz w:val="24"/>
          <w:szCs w:val="24"/>
          <w:shd w:val="clear" w:color="auto" w:fill="FFFFFF"/>
        </w:rPr>
        <w:t>estando dentro do intervalo de 0,51 a 0,72</w:t>
      </w:r>
      <w:r w:rsidR="00B9054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14:paraId="72D3EFAE" w14:textId="77777777" w:rsidR="003B218B" w:rsidRPr="005B358E" w:rsidRDefault="003B218B" w:rsidP="00BE406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1A179CD" w14:textId="77777777" w:rsidR="003B218B" w:rsidRPr="005B358E" w:rsidRDefault="003B218B" w:rsidP="005B358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217AF01" w14:textId="79F8D2DC" w:rsidR="003B218B" w:rsidRPr="005B358E" w:rsidRDefault="003B218B" w:rsidP="005B358E">
      <w:pPr>
        <w:spacing w:after="0" w:line="276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B358E">
        <w:rPr>
          <w:rFonts w:ascii="Times New Roman" w:hAnsi="Times New Roman"/>
          <w:b/>
          <w:sz w:val="24"/>
          <w:szCs w:val="24"/>
        </w:rPr>
        <w:t>REFERÊNCIAS BIBLIOGRÁFICAS</w:t>
      </w:r>
    </w:p>
    <w:p w14:paraId="3A6B701B" w14:textId="77777777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9F591C7" w14:textId="77777777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6B8A1DC" w14:textId="257633C3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CNCFlora. </w:t>
      </w:r>
      <w:r w:rsidRPr="005B358E">
        <w:rPr>
          <w:rFonts w:ascii="Times New Roman" w:hAnsi="Times New Roman"/>
          <w:b/>
          <w:bCs/>
          <w:i/>
          <w:iCs/>
          <w:sz w:val="24"/>
          <w:szCs w:val="24"/>
        </w:rPr>
        <w:t>Cedrela fissilis</w:t>
      </w:r>
      <w:r w:rsidRPr="005B358E">
        <w:rPr>
          <w:rFonts w:ascii="Times New Roman" w:hAnsi="Times New Roman"/>
          <w:b/>
          <w:bCs/>
          <w:sz w:val="24"/>
          <w:szCs w:val="24"/>
        </w:rPr>
        <w:t xml:space="preserve"> in Lista Vermelha da flora brasileira</w:t>
      </w:r>
      <w:r w:rsidRPr="005B358E">
        <w:rPr>
          <w:rFonts w:ascii="Times New Roman" w:hAnsi="Times New Roman"/>
          <w:sz w:val="24"/>
          <w:szCs w:val="24"/>
        </w:rPr>
        <w:t xml:space="preserve"> versão 2012.2 Centro Nacional de Conservação da Flora. Disponível em &lt;http://cncflora.jbrj.gov.br/portal/pt-br/profile/Cedrela fissilis&gt;. Acesso em 15 ago. </w:t>
      </w:r>
      <w:r w:rsidR="00BE381C" w:rsidRPr="005B358E">
        <w:rPr>
          <w:rFonts w:ascii="Times New Roman" w:hAnsi="Times New Roman"/>
          <w:sz w:val="24"/>
          <w:szCs w:val="24"/>
        </w:rPr>
        <w:t>de</w:t>
      </w:r>
      <w:r w:rsidRPr="005B358E">
        <w:rPr>
          <w:rFonts w:ascii="Times New Roman" w:hAnsi="Times New Roman"/>
          <w:sz w:val="24"/>
          <w:szCs w:val="24"/>
        </w:rPr>
        <w:t xml:space="preserve"> 2020.</w:t>
      </w:r>
    </w:p>
    <w:p w14:paraId="79AF849B" w14:textId="77777777" w:rsidR="003E1E15" w:rsidRPr="005B358E" w:rsidRDefault="003E1E15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D7F1A6E" w14:textId="49898AFE" w:rsidR="003E1E15" w:rsidRPr="005B358E" w:rsidRDefault="003E1E15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FERREIRA, D. SISVAR: Um programa para análises e ensino de estatística. </w:t>
      </w:r>
      <w:r w:rsidRPr="005B358E">
        <w:rPr>
          <w:rFonts w:ascii="Times New Roman" w:hAnsi="Times New Roman"/>
          <w:b/>
          <w:sz w:val="24"/>
          <w:szCs w:val="24"/>
        </w:rPr>
        <w:t>Revista Symposium</w:t>
      </w:r>
      <w:r w:rsidRPr="005B358E">
        <w:rPr>
          <w:rFonts w:ascii="Times New Roman" w:hAnsi="Times New Roman"/>
          <w:sz w:val="24"/>
          <w:szCs w:val="24"/>
        </w:rPr>
        <w:t>, v.</w:t>
      </w:r>
      <w:r w:rsidR="00942634" w:rsidRPr="005B358E">
        <w:rPr>
          <w:rFonts w:ascii="Times New Roman" w:hAnsi="Times New Roman"/>
          <w:sz w:val="24"/>
          <w:szCs w:val="24"/>
        </w:rPr>
        <w:t>6, p.36-41, 2008.</w:t>
      </w:r>
    </w:p>
    <w:p w14:paraId="261AE8E5" w14:textId="77777777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165665D" w14:textId="77777777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KÖPPEN, W. Climatologia: </w:t>
      </w:r>
      <w:r w:rsidRPr="005B358E">
        <w:rPr>
          <w:rFonts w:ascii="Times New Roman" w:hAnsi="Times New Roman"/>
          <w:b/>
          <w:sz w:val="24"/>
          <w:szCs w:val="24"/>
        </w:rPr>
        <w:t>con um estudio de los climas de la tierra</w:t>
      </w:r>
      <w:r w:rsidRPr="005B358E">
        <w:rPr>
          <w:rFonts w:ascii="Times New Roman" w:hAnsi="Times New Roman"/>
          <w:sz w:val="24"/>
          <w:szCs w:val="24"/>
        </w:rPr>
        <w:t>. México: FCE, 1948. p.482-487.</w:t>
      </w:r>
    </w:p>
    <w:p w14:paraId="7B07EA2C" w14:textId="77777777" w:rsidR="003E1E15" w:rsidRPr="005B358E" w:rsidRDefault="003E1E15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FA36935" w14:textId="77777777" w:rsidR="003E1E15" w:rsidRPr="005B358E" w:rsidRDefault="003E1E15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MELO, J. E.; CORADIN, V. R.; MENDES, J. C. </w:t>
      </w:r>
      <w:r w:rsidRPr="005B358E">
        <w:rPr>
          <w:rFonts w:ascii="Times New Roman" w:hAnsi="Times New Roman"/>
          <w:b/>
          <w:sz w:val="24"/>
          <w:szCs w:val="24"/>
        </w:rPr>
        <w:t>Classes de densidade para madeiras da Amazônia brasileira</w:t>
      </w:r>
      <w:r w:rsidRPr="005B358E">
        <w:rPr>
          <w:rFonts w:ascii="Times New Roman" w:hAnsi="Times New Roman"/>
          <w:sz w:val="24"/>
          <w:szCs w:val="24"/>
        </w:rPr>
        <w:t>. In: CONGRESSO FLORESTAL BRASILEIRO, 6., 1990, Campos do Jordão. Anais...Campos do Jordão, 1990. v. 3. p. 695-705.</w:t>
      </w:r>
    </w:p>
    <w:p w14:paraId="47FB786D" w14:textId="77777777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47C14C" w14:textId="77777777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MORESCHI, J.C. </w:t>
      </w:r>
      <w:r w:rsidRPr="005B358E">
        <w:rPr>
          <w:rFonts w:ascii="Times New Roman" w:hAnsi="Times New Roman"/>
          <w:b/>
          <w:bCs/>
          <w:sz w:val="24"/>
          <w:szCs w:val="24"/>
        </w:rPr>
        <w:t>Propriedades da madeira</w:t>
      </w:r>
      <w:r w:rsidRPr="005B358E">
        <w:rPr>
          <w:rFonts w:ascii="Times New Roman" w:hAnsi="Times New Roman"/>
          <w:sz w:val="24"/>
          <w:szCs w:val="24"/>
        </w:rPr>
        <w:t>, 4ª edição, Curitiba, 2005.</w:t>
      </w:r>
    </w:p>
    <w:p w14:paraId="2BA3D580" w14:textId="77777777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73ADE05" w14:textId="539592A0" w:rsidR="00E91A26" w:rsidRPr="005B358E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TRUGILHO, P. F. </w:t>
      </w:r>
      <w:r w:rsidRPr="005B358E">
        <w:rPr>
          <w:rFonts w:ascii="Times New Roman" w:hAnsi="Times New Roman"/>
          <w:i/>
          <w:iCs/>
          <w:sz w:val="24"/>
          <w:szCs w:val="24"/>
        </w:rPr>
        <w:t>et al</w:t>
      </w:r>
      <w:r w:rsidRPr="005B358E">
        <w:rPr>
          <w:rFonts w:ascii="Times New Roman" w:hAnsi="Times New Roman"/>
          <w:sz w:val="24"/>
          <w:szCs w:val="24"/>
        </w:rPr>
        <w:t>.</w:t>
      </w:r>
      <w:r w:rsidRPr="005B358E">
        <w:rPr>
          <w:rFonts w:ascii="Times New Roman" w:hAnsi="Times New Roman"/>
          <w:b/>
          <w:bCs/>
          <w:sz w:val="24"/>
          <w:szCs w:val="24"/>
        </w:rPr>
        <w:t xml:space="preserve"> Comparação de métodos de determinação da densidade básica em madeira</w:t>
      </w:r>
      <w:r w:rsidRPr="005B358E">
        <w:rPr>
          <w:rFonts w:ascii="Times New Roman" w:hAnsi="Times New Roman"/>
          <w:sz w:val="24"/>
          <w:szCs w:val="24"/>
        </w:rPr>
        <w:t>, 1990. Disponível em: &lt;https://www.scielo.br/pdf/aa/v20/1809-4392-aa-20-0307.pdf&gt; Acesso em: 23 de ago. de 2020.</w:t>
      </w:r>
    </w:p>
    <w:p w14:paraId="6D5A6DA6" w14:textId="77777777" w:rsidR="00BE381C" w:rsidRPr="005B358E" w:rsidRDefault="00BE381C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2DE3C2" w14:textId="449E52E2" w:rsidR="00E91A26" w:rsidRDefault="00E91A26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B358E">
        <w:rPr>
          <w:rFonts w:ascii="Times New Roman" w:hAnsi="Times New Roman"/>
          <w:sz w:val="24"/>
          <w:szCs w:val="24"/>
        </w:rPr>
        <w:t xml:space="preserve">VALÉRIO, A. F.; WATZLAWICK, L. F.; SILVESTRE, R.; KOEBLER, H. S. </w:t>
      </w:r>
      <w:r w:rsidRPr="005B358E">
        <w:rPr>
          <w:rFonts w:ascii="Times New Roman" w:hAnsi="Times New Roman"/>
          <w:b/>
          <w:bCs/>
          <w:sz w:val="24"/>
          <w:szCs w:val="24"/>
        </w:rPr>
        <w:t>Determinação da densidade básica da madeira de cedro (</w:t>
      </w:r>
      <w:r w:rsidRPr="005B358E">
        <w:rPr>
          <w:rFonts w:ascii="Times New Roman" w:hAnsi="Times New Roman"/>
          <w:b/>
          <w:bCs/>
          <w:i/>
          <w:sz w:val="24"/>
          <w:szCs w:val="24"/>
        </w:rPr>
        <w:t>Cedrela fissilis</w:t>
      </w:r>
      <w:r w:rsidRPr="005B358E">
        <w:rPr>
          <w:rFonts w:ascii="Times New Roman" w:hAnsi="Times New Roman"/>
          <w:b/>
          <w:bCs/>
          <w:sz w:val="24"/>
          <w:szCs w:val="24"/>
        </w:rPr>
        <w:t xml:space="preserve"> Vell.) ao longo do fuste</w:t>
      </w:r>
      <w:r w:rsidRPr="005B358E">
        <w:rPr>
          <w:rFonts w:ascii="Times New Roman" w:hAnsi="Times New Roman"/>
          <w:sz w:val="24"/>
          <w:szCs w:val="24"/>
        </w:rPr>
        <w:t>. Pesquisa Aplicada &amp; Agrotecnologia, Guarapuava, v. 1, n. 1, 2008.</w:t>
      </w:r>
    </w:p>
    <w:p w14:paraId="248AD6EE" w14:textId="77777777" w:rsidR="003E1E15" w:rsidRDefault="003E1E15" w:rsidP="005B358E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3E1E15" w:rsidSect="009E3693">
      <w:headerReference w:type="default" r:id="rId7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F8470" w14:textId="77777777" w:rsidR="00C253C8" w:rsidRDefault="00C253C8" w:rsidP="009E3693">
      <w:pPr>
        <w:spacing w:after="0" w:line="240" w:lineRule="auto"/>
      </w:pPr>
      <w:r>
        <w:separator/>
      </w:r>
    </w:p>
  </w:endnote>
  <w:endnote w:type="continuationSeparator" w:id="0">
    <w:p w14:paraId="16E1E5D2" w14:textId="77777777" w:rsidR="00C253C8" w:rsidRDefault="00C253C8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3530A" w14:textId="77777777" w:rsidR="00C253C8" w:rsidRDefault="00C253C8" w:rsidP="009E3693">
      <w:pPr>
        <w:spacing w:after="0" w:line="240" w:lineRule="auto"/>
      </w:pPr>
      <w:r>
        <w:separator/>
      </w:r>
    </w:p>
  </w:footnote>
  <w:footnote w:type="continuationSeparator" w:id="0">
    <w:p w14:paraId="2AB6E195" w14:textId="77777777" w:rsidR="00C253C8" w:rsidRDefault="00C253C8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693"/>
    <w:rsid w:val="000027A5"/>
    <w:rsid w:val="00010ED3"/>
    <w:rsid w:val="00015E22"/>
    <w:rsid w:val="00035299"/>
    <w:rsid w:val="00066DE9"/>
    <w:rsid w:val="00070AFD"/>
    <w:rsid w:val="00074DC2"/>
    <w:rsid w:val="000B1A9A"/>
    <w:rsid w:val="000C55C6"/>
    <w:rsid w:val="00140FAB"/>
    <w:rsid w:val="00160289"/>
    <w:rsid w:val="002269D4"/>
    <w:rsid w:val="002504FE"/>
    <w:rsid w:val="0025694E"/>
    <w:rsid w:val="0027647A"/>
    <w:rsid w:val="00294E65"/>
    <w:rsid w:val="002A3B47"/>
    <w:rsid w:val="002F7651"/>
    <w:rsid w:val="0031768B"/>
    <w:rsid w:val="00322C25"/>
    <w:rsid w:val="0033346A"/>
    <w:rsid w:val="0033635E"/>
    <w:rsid w:val="00336D75"/>
    <w:rsid w:val="00345676"/>
    <w:rsid w:val="00381282"/>
    <w:rsid w:val="0039550A"/>
    <w:rsid w:val="003B218B"/>
    <w:rsid w:val="003C4D7C"/>
    <w:rsid w:val="003E1E15"/>
    <w:rsid w:val="004121DA"/>
    <w:rsid w:val="004238CC"/>
    <w:rsid w:val="00430B35"/>
    <w:rsid w:val="004320F6"/>
    <w:rsid w:val="004654D9"/>
    <w:rsid w:val="00475E30"/>
    <w:rsid w:val="00491D39"/>
    <w:rsid w:val="004952BE"/>
    <w:rsid w:val="004A4739"/>
    <w:rsid w:val="004C6F75"/>
    <w:rsid w:val="004D6D31"/>
    <w:rsid w:val="004E35E5"/>
    <w:rsid w:val="00521835"/>
    <w:rsid w:val="00527494"/>
    <w:rsid w:val="00555702"/>
    <w:rsid w:val="0055666D"/>
    <w:rsid w:val="0056769F"/>
    <w:rsid w:val="0059195A"/>
    <w:rsid w:val="005A3CCA"/>
    <w:rsid w:val="005B358E"/>
    <w:rsid w:val="005E6BEE"/>
    <w:rsid w:val="00615053"/>
    <w:rsid w:val="0061543B"/>
    <w:rsid w:val="006265C2"/>
    <w:rsid w:val="00685245"/>
    <w:rsid w:val="00690DB4"/>
    <w:rsid w:val="006C703E"/>
    <w:rsid w:val="006D41B3"/>
    <w:rsid w:val="006E5D0E"/>
    <w:rsid w:val="00702A16"/>
    <w:rsid w:val="007A2389"/>
    <w:rsid w:val="007A28F6"/>
    <w:rsid w:val="007D5091"/>
    <w:rsid w:val="007D6EBB"/>
    <w:rsid w:val="00814767"/>
    <w:rsid w:val="00840C1E"/>
    <w:rsid w:val="00843A34"/>
    <w:rsid w:val="00844C08"/>
    <w:rsid w:val="00846FBD"/>
    <w:rsid w:val="00861508"/>
    <w:rsid w:val="00864E94"/>
    <w:rsid w:val="00866FCD"/>
    <w:rsid w:val="008718F3"/>
    <w:rsid w:val="0087209A"/>
    <w:rsid w:val="008729A6"/>
    <w:rsid w:val="0088047E"/>
    <w:rsid w:val="00882501"/>
    <w:rsid w:val="00892BB4"/>
    <w:rsid w:val="00895F49"/>
    <w:rsid w:val="008E185A"/>
    <w:rsid w:val="008F0D2A"/>
    <w:rsid w:val="008F1DB3"/>
    <w:rsid w:val="00921BF8"/>
    <w:rsid w:val="00925FF3"/>
    <w:rsid w:val="0093700C"/>
    <w:rsid w:val="00942634"/>
    <w:rsid w:val="009B1E38"/>
    <w:rsid w:val="009B7EA1"/>
    <w:rsid w:val="009E1919"/>
    <w:rsid w:val="009E3693"/>
    <w:rsid w:val="00A10CFA"/>
    <w:rsid w:val="00A23A89"/>
    <w:rsid w:val="00A92B04"/>
    <w:rsid w:val="00AE68DE"/>
    <w:rsid w:val="00B20649"/>
    <w:rsid w:val="00B27D96"/>
    <w:rsid w:val="00B32BB9"/>
    <w:rsid w:val="00B75EBD"/>
    <w:rsid w:val="00B9054D"/>
    <w:rsid w:val="00BD5AFB"/>
    <w:rsid w:val="00BD79A7"/>
    <w:rsid w:val="00BE1312"/>
    <w:rsid w:val="00BE381C"/>
    <w:rsid w:val="00BE4064"/>
    <w:rsid w:val="00C17D03"/>
    <w:rsid w:val="00C253C8"/>
    <w:rsid w:val="00C30A85"/>
    <w:rsid w:val="00C367A1"/>
    <w:rsid w:val="00C8640E"/>
    <w:rsid w:val="00CB0497"/>
    <w:rsid w:val="00CB1655"/>
    <w:rsid w:val="00CB3B40"/>
    <w:rsid w:val="00CE2C16"/>
    <w:rsid w:val="00D54108"/>
    <w:rsid w:val="00D72B57"/>
    <w:rsid w:val="00D7399F"/>
    <w:rsid w:val="00D900F4"/>
    <w:rsid w:val="00D94EEE"/>
    <w:rsid w:val="00DB2D62"/>
    <w:rsid w:val="00DB4314"/>
    <w:rsid w:val="00DC03CF"/>
    <w:rsid w:val="00DD6D8E"/>
    <w:rsid w:val="00E17377"/>
    <w:rsid w:val="00E242EA"/>
    <w:rsid w:val="00E3403F"/>
    <w:rsid w:val="00E91A26"/>
    <w:rsid w:val="00E91F1D"/>
    <w:rsid w:val="00EC7C98"/>
    <w:rsid w:val="00F07CA0"/>
    <w:rsid w:val="00F25A02"/>
    <w:rsid w:val="00F555BA"/>
    <w:rsid w:val="00F85A27"/>
    <w:rsid w:val="00FD4CC8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  <w15:docId w15:val="{D030C8A9-21BA-4B40-8BC3-4FC200D8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352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4E35E5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03529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elaSimples21">
    <w:name w:val="Tabela Simples 21"/>
    <w:basedOn w:val="Tabelanormal"/>
    <w:uiPriority w:val="42"/>
    <w:rsid w:val="00BD5AFB"/>
    <w:pPr>
      <w:suppressAutoHyphens/>
    </w:pPr>
    <w:rPr>
      <w:rFonts w:cs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character" w:styleId="Hyperlink">
    <w:name w:val="Hyperlink"/>
    <w:basedOn w:val="Fontepargpadro"/>
    <w:uiPriority w:val="99"/>
    <w:unhideWhenUsed/>
    <w:rsid w:val="00E91A26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226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3E1E1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EF136-FE7D-445D-B536-BF032E62C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4</Pages>
  <Words>1357</Words>
  <Characters>7328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Lidiane</cp:lastModifiedBy>
  <cp:revision>24</cp:revision>
  <cp:lastPrinted>2020-10-03T12:36:00Z</cp:lastPrinted>
  <dcterms:created xsi:type="dcterms:W3CDTF">2020-09-01T17:39:00Z</dcterms:created>
  <dcterms:modified xsi:type="dcterms:W3CDTF">2020-10-23T22:15:00Z</dcterms:modified>
</cp:coreProperties>
</file>