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D4F84" w14:textId="6B298025" w:rsidR="008D1986" w:rsidRDefault="008D1986" w:rsidP="00166539">
      <w:pPr>
        <w:pStyle w:val="Endereo"/>
        <w:suppressLineNumbers/>
        <w:spacing w:before="0" w:after="240" w:line="276" w:lineRule="auto"/>
        <w:ind w:right="-32"/>
        <w:jc w:val="center"/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</w:pPr>
      <w:r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>E</w:t>
      </w:r>
      <w:r w:rsidRPr="002D0867"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 xml:space="preserve">stimativas de parâmetros genéticos e </w:t>
      </w:r>
      <w:r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>seleção</w:t>
      </w:r>
      <w:r w:rsidRPr="002D0867"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 xml:space="preserve"> em </w:t>
      </w:r>
      <w:r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>um teste de progênies</w:t>
      </w:r>
      <w:r w:rsidRPr="002D0867"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 xml:space="preserve"> de</w:t>
      </w:r>
      <w:r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 xml:space="preserve"> meio irmãos de</w:t>
      </w:r>
      <w:r w:rsidRPr="002D0867">
        <w:rPr>
          <w:rFonts w:ascii="Times New Roman" w:hAnsi="Times New Roman" w:cs="Times New Roman"/>
          <w:b/>
          <w:caps w:val="0"/>
          <w:color w:val="000000" w:themeColor="text1"/>
          <w:spacing w:val="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  <w:t>T</w:t>
      </w:r>
      <w:r w:rsidRPr="002D0867"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  <w:t>ectona</w:t>
      </w:r>
      <w:proofErr w:type="spellEnd"/>
      <w:r w:rsidRPr="002D0867"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  <w:t xml:space="preserve"> </w:t>
      </w:r>
      <w:proofErr w:type="spellStart"/>
      <w:r w:rsidRPr="002D0867"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  <w:t>grandis</w:t>
      </w:r>
      <w:proofErr w:type="spellEnd"/>
      <w:r>
        <w:rPr>
          <w:rFonts w:ascii="Times New Roman" w:hAnsi="Times New Roman" w:cs="Times New Roman"/>
          <w:b/>
          <w:i/>
          <w:iCs/>
          <w:caps w:val="0"/>
          <w:color w:val="000000" w:themeColor="text1"/>
          <w:spacing w:val="0"/>
          <w:sz w:val="28"/>
        </w:rPr>
        <w:t xml:space="preserve"> </w:t>
      </w:r>
    </w:p>
    <w:p w14:paraId="2B357456" w14:textId="77777777" w:rsidR="005C5C74" w:rsidRDefault="005C5C74" w:rsidP="005C5C7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Ana Carolina Pereira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Mallú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Loyane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Arenhart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Pirolla</w:t>
      </w:r>
      <w:r>
        <w:rPr>
          <w:rFonts w:ascii="Times New Roman" w:hAnsi="Times New Roman"/>
          <w:b/>
          <w:sz w:val="24"/>
          <w:szCs w:val="24"/>
          <w:vertAlign w:val="superscript"/>
        </w:rPr>
        <w:t>1,2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Irivan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Gonçalves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, Daniele Aparecida Alvarenga Arriel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</w:p>
    <w:p w14:paraId="3CBCE102" w14:textId="77777777" w:rsidR="005C5C74" w:rsidRDefault="005C5C74" w:rsidP="005C5C7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10D46E" w14:textId="77777777" w:rsidR="005C5C74" w:rsidRDefault="005C5C74" w:rsidP="005C5C74">
      <w:pPr>
        <w:spacing w:after="0" w:line="276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 xml:space="preserve">Universidade Federal de Mato Grosso, Cuiabá, Mato Grosso; </w:t>
      </w:r>
      <w:r>
        <w:rPr>
          <w:rFonts w:ascii="Times New Roman" w:hAnsi="Times New Roman"/>
          <w:szCs w:val="24"/>
          <w:vertAlign w:val="superscript"/>
        </w:rPr>
        <w:t xml:space="preserve">2 </w:t>
      </w:r>
      <w:r>
        <w:rPr>
          <w:rFonts w:ascii="Times New Roman" w:hAnsi="Times New Roman"/>
          <w:szCs w:val="24"/>
        </w:rPr>
        <w:t xml:space="preserve">PROTECA, Cuiabá, Mato Grosso; </w:t>
      </w:r>
      <w:r>
        <w:rPr>
          <w:rFonts w:ascii="Times New Roman" w:hAnsi="Times New Roman"/>
          <w:szCs w:val="24"/>
          <w:vertAlign w:val="superscript"/>
        </w:rPr>
        <w:t>3</w:t>
      </w:r>
      <w:r>
        <w:rPr>
          <w:rFonts w:ascii="Times New Roman" w:hAnsi="Times New Roman"/>
          <w:szCs w:val="24"/>
        </w:rPr>
        <w:t>Universidade Federal de Uberlândia, Monte Carmelo, Minas Gerais. (carolpereira1297@gmail.com)</w:t>
      </w:r>
    </w:p>
    <w:p w14:paraId="628C5865" w14:textId="77777777" w:rsidR="00166539" w:rsidRPr="00166539" w:rsidRDefault="00166539" w:rsidP="005C5C74">
      <w:pPr>
        <w:pStyle w:val="Endereo"/>
        <w:suppressLineNumbers/>
        <w:spacing w:before="0" w:after="240" w:line="276" w:lineRule="auto"/>
        <w:ind w:right="-32"/>
        <w:rPr>
          <w:rFonts w:ascii="Times New Roman" w:hAnsi="Times New Roman" w:cs="Times New Roman"/>
          <w:b/>
          <w:color w:val="000000" w:themeColor="text1"/>
          <w:spacing w:val="0"/>
          <w:sz w:val="28"/>
        </w:rPr>
      </w:pPr>
    </w:p>
    <w:p w14:paraId="000070E5" w14:textId="77777777" w:rsidR="008D1986" w:rsidRPr="00E064E7" w:rsidRDefault="008D1986" w:rsidP="00D2313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>
        <w:rPr>
          <w:rFonts w:ascii="Times New Roman" w:hAnsi="Times New Roman"/>
          <w:bCs/>
          <w:sz w:val="24"/>
          <w:szCs w:val="24"/>
        </w:rPr>
        <w:t xml:space="preserve">O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objetivo do trabalho foi estimar parâmetros genéticos e praticar a seleção individual em um teste de progênies de </w:t>
      </w:r>
      <w:proofErr w:type="spellStart"/>
      <w:r w:rsidRPr="00433B41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T</w:t>
      </w:r>
      <w:r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ectona</w:t>
      </w:r>
      <w:proofErr w:type="spellEnd"/>
      <w:r w:rsidRPr="00433B41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433B41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grandis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no município de São José dos Quatro Marcos, Mato Grosso, Brasil.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O teste foi instalado em janeiro de 2019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sob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delineamento de blocos incompletos,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oito plantas por parcela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em espaçamento de 3,8 x 3,8 m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e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19 tratamentos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Com 15 meses de idade as progênies foram avaliadas quanto aos caracteres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diâmetro à altura do peito (DAP)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e altura total (HT)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 O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efeito de progênie foi significativo ao nível de 1% para as variáveis DAP e HT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 esses caracteres apresentaram </w:t>
      </w:r>
      <w:r w:rsidRPr="00E064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magnitude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alta</w:t>
      </w:r>
      <w:r w:rsidRPr="00E064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para os parâmetros genéticos herdabilidade média de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progênies,</w:t>
      </w:r>
      <w:r w:rsidRPr="00E064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acurácia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herdabilidade no sentido restrito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 O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 valores de 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CVgi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foram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próximos aos valores de 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CVe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, indicando uma situação favorável a seleção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O ganho com a seleção dos cinco melhores indivíduos (clones potenciais) foi de 35,70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% para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DAP e 44,97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% para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HT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0072AB">
        <w:rPr>
          <w:rFonts w:ascii="Times New Roman" w:eastAsia="Times New Roman" w:hAnsi="Times New Roman"/>
          <w:sz w:val="24"/>
          <w:szCs w:val="24"/>
          <w:lang w:eastAsia="pt-BR"/>
        </w:rPr>
        <w:t>Existe variabilidade genética para as variáveis DAP e HT.</w:t>
      </w:r>
      <w:r w:rsidRPr="000072AB" w:rsidDel="00ED2EF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0072AB">
        <w:rPr>
          <w:rFonts w:ascii="Times New Roman" w:eastAsia="Times New Roman" w:hAnsi="Times New Roman"/>
          <w:sz w:val="24"/>
          <w:szCs w:val="24"/>
          <w:lang w:eastAsia="pt-BR"/>
        </w:rPr>
        <w:t>Logo, é possível maximizar os ganhos genéticos sob seleção na sequência do programa de melhoramento.</w:t>
      </w:r>
    </w:p>
    <w:p w14:paraId="2BF7B112" w14:textId="77777777" w:rsidR="008D1986" w:rsidRDefault="008D1986" w:rsidP="008D19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Palavras-chave: </w:t>
      </w:r>
      <w:r w:rsidRPr="00E064E7">
        <w:rPr>
          <w:rFonts w:ascii="Times New Roman" w:hAnsi="Times New Roman"/>
          <w:sz w:val="24"/>
          <w:szCs w:val="24"/>
        </w:rPr>
        <w:t>melhoramento florestal, teca, espécie madeireira.</w:t>
      </w:r>
    </w:p>
    <w:p w14:paraId="5850DC00" w14:textId="77777777" w:rsidR="008D1986" w:rsidRDefault="008D1986" w:rsidP="008D19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114D92C" w14:textId="77777777" w:rsidR="008D1986" w:rsidRDefault="008D1986" w:rsidP="008D19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7DC396A" w14:textId="77777777" w:rsidR="008D1986" w:rsidRPr="00696BE5" w:rsidRDefault="008D1986" w:rsidP="008D1986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693557A" w14:textId="77777777" w:rsidR="008D1986" w:rsidRPr="007646CE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espécie </w:t>
      </w:r>
      <w:proofErr w:type="spellStart"/>
      <w:r w:rsidRPr="007646CE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Tectona</w:t>
      </w:r>
      <w:proofErr w:type="spellEnd"/>
      <w:r w:rsidRPr="007646CE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7646CE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grandis</w:t>
      </w:r>
      <w:proofErr w:type="spellEnd"/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ocupa n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o Brasil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uma área plantada de cerca de 94 mil ha (IBÁ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2019), concentrada principalmente nos estados de Mato Grosso, Pará e Roraima (ABRAF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2013). </w:t>
      </w:r>
    </w:p>
    <w:p w14:paraId="7D42E51C" w14:textId="77777777" w:rsidR="008D1986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A condução de programas de melhoramento genético visando a obtenção de indivíduos superiores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pode levar ao aumento da produtividade e da qualidade da madeira de teca (COSTA </w:t>
      </w:r>
      <w:r w:rsidRPr="002B73A6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et al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2015). Entretanto, no país, ainda são escassos estudos de melhoramento da espécie, sobretudo que avaliem o desenvolvimento de novos materiais genéticos melhorados (COSTA </w:t>
      </w:r>
      <w:r w:rsidRPr="002B73A6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et al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2007).</w:t>
      </w:r>
    </w:p>
    <w:p w14:paraId="0A5C616E" w14:textId="77777777" w:rsidR="008D1986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Recentemente foram aprovados no país os descritores mínimos para viabilizar o processo de proteção de cultivares de teca (Ato nº 9, de 3 de agosto de 2020), conforme requerido pela lei de proteção de cultivares (Lei n° 9.456, de 25 de abril de 1997). Tal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 xml:space="preserve">fato é um grande incentivo para os programas de melhoramento da espécie no país, uma vez que garante proteção intelectual aos detentores dos materiais genéticos desenvolvidos. </w:t>
      </w:r>
    </w:p>
    <w:p w14:paraId="15126EFD" w14:textId="77777777" w:rsidR="008D1986" w:rsidRPr="007646CE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realização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de testes genéticos, como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testes de progênies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 é primordial em programas de melhoramento. Estes testes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utilizam indivíduos </w:t>
      </w:r>
      <w:r>
        <w:rPr>
          <w:rFonts w:ascii="Times New Roman" w:hAnsi="Times New Roman"/>
          <w:bCs/>
          <w:color w:val="000000" w:themeColor="text1"/>
        </w:rPr>
        <w:t xml:space="preserve">oriundos de materiais já selecionados e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possibilita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m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estimativa de parâmetros genéticos essenciais para orientar os sucessivos ciclos de seleção no programa de </w:t>
      </w:r>
      <w:r w:rsidRPr="000072AB">
        <w:rPr>
          <w:rFonts w:ascii="Times New Roman" w:hAnsi="Times New Roman"/>
          <w:bCs/>
          <w:color w:val="000000" w:themeColor="text1"/>
          <w:sz w:val="24"/>
          <w:szCs w:val="24"/>
        </w:rPr>
        <w:t>melhoramento (VENCOVSKY; BARRIGA, 1992).</w:t>
      </w: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</w:t>
      </w:r>
    </w:p>
    <w:p w14:paraId="7F3891F5" w14:textId="77777777" w:rsidR="008D1986" w:rsidRPr="00433B41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Dessa forma, o objetivo do trabalho foi estimar parâmetros genéticos e praticar a seleção individual em um teste de progênies de </w:t>
      </w:r>
      <w:r w:rsidRPr="005E323B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T. </w:t>
      </w:r>
      <w:proofErr w:type="spellStart"/>
      <w:r w:rsidRPr="005E323B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grandis</w:t>
      </w:r>
      <w:proofErr w:type="spellEnd"/>
      <w:r w:rsidRPr="007646CE">
        <w:rPr>
          <w:rFonts w:ascii="Times New Roman" w:hAnsi="Times New Roman"/>
          <w:bCs/>
          <w:color w:val="000000" w:themeColor="text1"/>
          <w:sz w:val="24"/>
          <w:szCs w:val="24"/>
        </w:rPr>
        <w:t>, com 15 meses de idade, no município de São José dos Quatro Marcos, Mato Grosso, Brasil.</w:t>
      </w:r>
    </w:p>
    <w:p w14:paraId="38447118" w14:textId="77777777" w:rsidR="008D1986" w:rsidRDefault="008D1986" w:rsidP="008D198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4B380C2" w14:textId="77777777" w:rsidR="008D1986" w:rsidRDefault="008D1986" w:rsidP="008D19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55F608D" w14:textId="77777777" w:rsidR="008D1986" w:rsidRPr="00696BE5" w:rsidRDefault="008D1986" w:rsidP="008D1986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1707E568" w14:textId="77777777" w:rsidR="008D1986" w:rsidRPr="00C55C87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O teste de progênies de meios irmãos foi instalado em janeiro de 2019, no município de São José dos Quatro Marcos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Mato Grosso. O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replantio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f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oi realizado em março d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o mesmo ano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. O experimento foi instalado sob delineamento de blocos incompletos, em espaçamento de 3,8 x 3,8 m, com 19 tratamentos (18 progênies e um clone comercial como testemunha), nove blocos e oito plantas por parcela.</w:t>
      </w:r>
    </w:p>
    <w:p w14:paraId="24F874A4" w14:textId="563E3B3E" w:rsidR="008D1986" w:rsidRPr="00C55C87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Com 15 meses de idade (abril de 2020), as progênies foram avaliadas quanto aos caracteres: diâmetro à altura do peito (DAP), em cm, por meio de fita graduada à 1,30 m acima do nível do solo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 altura total (HT), em metros com o uso de clinômetro</w:t>
      </w:r>
      <w:r w:rsidR="00FE24D6">
        <w:rPr>
          <w:rFonts w:ascii="Times New Roman" w:hAnsi="Times New Roman"/>
          <w:bCs/>
          <w:color w:val="000000" w:themeColor="text1"/>
          <w:sz w:val="24"/>
          <w:szCs w:val="24"/>
        </w:rPr>
        <w:t>-Haglöf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6A9F7158" w14:textId="77777777" w:rsidR="008D1986" w:rsidRPr="00C55C87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As estimativas dos componentes de variância e parâmetros genéticos foram obtidas através do procedimento REML/BLUP, empregando-se o software estatístico R, através dos pacotes: </w:t>
      </w:r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lme4, </w:t>
      </w:r>
      <w:proofErr w:type="spellStart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lmerTest</w:t>
      </w:r>
      <w:proofErr w:type="spellEnd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dplyr</w:t>
      </w:r>
      <w:proofErr w:type="spellEnd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writexl</w:t>
      </w:r>
      <w:proofErr w:type="spellEnd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 e ggplot2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. Para as análises foi utilizado o modelo misto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dado por: </w:t>
      </w:r>
      <w:proofErr w:type="spellStart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Y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ijk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= µ+ b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+ t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+ (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tb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e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ijk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em que, </w:t>
      </w:r>
      <w:proofErr w:type="spellStart"/>
      <w:r w:rsidRPr="00C55C87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Y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ijk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é o valor fenotípico; µ é o termo fixo da média geral do caráter em análise; b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é o efeito fixo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bloco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t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j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é o efeito aleatório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da progênie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; (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tb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é o efeito aleatório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da interação entre progênie e bloco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; </w:t>
      </w:r>
      <w:proofErr w:type="spellStart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e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  <w:vertAlign w:val="subscript"/>
        </w:rPr>
        <w:t>ijk</w:t>
      </w:r>
      <w:proofErr w:type="spellEnd"/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é o efeito do erro experimental.</w:t>
      </w:r>
    </w:p>
    <w:p w14:paraId="01CC3EE6" w14:textId="77777777" w:rsidR="008D1986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A fim de se praticar a seleção dos potenciais clones, foi feito o ranqueamento d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os </w:t>
      </w:r>
      <w:proofErr w:type="spellStart"/>
      <w:r w:rsidRPr="00D2313B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blups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55C87">
        <w:rPr>
          <w:rFonts w:ascii="Times New Roman" w:hAnsi="Times New Roman"/>
          <w:bCs/>
          <w:color w:val="000000" w:themeColor="text1"/>
          <w:sz w:val="24"/>
          <w:szCs w:val="24"/>
        </w:rPr>
        <w:t>individuais para as variáveis diâmetro a altura do peito (DAP) e altura total (HT) e foram selecionados os cinco melhores indivíduos do experimento.</w:t>
      </w:r>
    </w:p>
    <w:p w14:paraId="1395AFAF" w14:textId="77777777" w:rsidR="008D1986" w:rsidRDefault="008D1986" w:rsidP="008D1986">
      <w:pPr>
        <w:spacing w:before="40" w:after="40" w:line="276" w:lineRule="auto"/>
        <w:ind w:firstLine="72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708193E8" w14:textId="77777777" w:rsidR="008D1986" w:rsidRPr="00B548D1" w:rsidRDefault="008D1986" w:rsidP="008D1986">
      <w:pPr>
        <w:spacing w:before="40" w:after="40" w:line="276" w:lineRule="auto"/>
        <w:ind w:firstLine="72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36141921" w14:textId="77777777" w:rsidR="008D1986" w:rsidRPr="00615520" w:rsidRDefault="008D1986" w:rsidP="008D1986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C14C58E" w14:textId="77777777" w:rsidR="008D1986" w:rsidRPr="00433B41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Verificou-se que o efeito de progênie foi significativo ao nível de 1% de significância para as variáveis DAP (5,04x 10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-16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 e HT (2,2x10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-16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o que indica que há variabilidade genética, e consequente, possibilidade de seleção para estas variáveis.</w:t>
      </w:r>
    </w:p>
    <w:p w14:paraId="03EBA5C4" w14:textId="77777777" w:rsidR="008D1986" w:rsidRPr="00433B41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As acurácias estimadas (Tabela 1) foram de alta magnitude (RESENDE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DUARTE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2007) para as variáveis DAP (0,95) e HT (0,96). Consequentemente, verificam-se altos valores de herdabilidade média de progênies no teste para as variáveis estudadas (Tabela 1).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Valores próximos de herdabilidade média de progênies são descritos em um estudo com progênies de irmãos completos de eucalipto aos seis anos,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os quais foram de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0,86 para DAP e 0,85 para HT (NOGUEIRA </w:t>
      </w:r>
      <w:r w:rsidRPr="002B73A6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et al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2019).</w:t>
      </w:r>
    </w:p>
    <w:p w14:paraId="02430721" w14:textId="77777777" w:rsidR="008D1986" w:rsidRPr="00433B41" w:rsidRDefault="008D1986" w:rsidP="008D1986">
      <w:pPr>
        <w:spacing w:before="40" w:after="40" w:line="276" w:lineRule="auto"/>
        <w:ind w:firstLine="72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607535EF" w14:textId="77777777" w:rsidR="008D1986" w:rsidRPr="00433B41" w:rsidRDefault="008D1986" w:rsidP="008D1986">
      <w:pPr>
        <w:spacing w:before="40" w:after="4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A29B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Tabela 1.</w:t>
      </w:r>
      <w:r w:rsidRPr="00433B4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Estimativa de parâmetros genéticos para diâmetro a altura do peito (DAP) e altura total (HT) e um teste de progênies de </w:t>
      </w:r>
      <w:proofErr w:type="spellStart"/>
      <w:r w:rsidRPr="00433B4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meio-irmãos</w:t>
      </w:r>
      <w:proofErr w:type="spellEnd"/>
      <w:r w:rsidRPr="00433B4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teca com 15 meses.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3"/>
        <w:gridCol w:w="1032"/>
        <w:gridCol w:w="878"/>
      </w:tblGrid>
      <w:tr w:rsidR="008D1986" w:rsidRPr="007B513A" w14:paraId="1B2F2739" w14:textId="77777777" w:rsidTr="00D60A35">
        <w:trPr>
          <w:trHeight w:val="229"/>
          <w:jc w:val="center"/>
        </w:trPr>
        <w:tc>
          <w:tcPr>
            <w:tcW w:w="387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ED78" w14:textId="77777777" w:rsidR="008D1986" w:rsidRPr="00D60A35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60A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Parâmetros 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BE55" w14:textId="77777777" w:rsidR="008D1986" w:rsidRPr="00D60A35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60A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DAP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9E7D06" w14:textId="77777777" w:rsidR="008D1986" w:rsidRPr="00D60A35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60A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HT</w:t>
            </w:r>
          </w:p>
        </w:tc>
      </w:tr>
      <w:tr w:rsidR="008D1986" w:rsidRPr="007B513A" w14:paraId="47647DCB" w14:textId="77777777" w:rsidTr="00D60A35">
        <w:trPr>
          <w:trHeight w:val="229"/>
          <w:jc w:val="center"/>
        </w:trPr>
        <w:tc>
          <w:tcPr>
            <w:tcW w:w="3877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14:paraId="7B007997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Genética</w:t>
            </w:r>
          </w:p>
        </w:tc>
        <w:tc>
          <w:tcPr>
            <w:tcW w:w="6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856C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0,147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bottom"/>
          </w:tcPr>
          <w:p w14:paraId="721C6BE7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0,142</w:t>
            </w:r>
          </w:p>
        </w:tc>
      </w:tr>
      <w:tr w:rsidR="008D1986" w:rsidRPr="007B513A" w14:paraId="2EC34012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53ABEC4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Genética Aditiva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69B5663A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0,586</w:t>
            </w:r>
          </w:p>
        </w:tc>
        <w:tc>
          <w:tcPr>
            <w:tcW w:w="516" w:type="pct"/>
            <w:vAlign w:val="bottom"/>
          </w:tcPr>
          <w:p w14:paraId="6F1FB72E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0,566</w:t>
            </w:r>
          </w:p>
        </w:tc>
      </w:tr>
      <w:tr w:rsidR="008D1986" w:rsidRPr="007B513A" w14:paraId="513FD752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37DBCCC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entre progênies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59C091CF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0,024</w:t>
            </w:r>
          </w:p>
        </w:tc>
        <w:tc>
          <w:tcPr>
            <w:tcW w:w="516" w:type="pct"/>
            <w:vAlign w:val="bottom"/>
          </w:tcPr>
          <w:p w14:paraId="4BA698C7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0,034</w:t>
            </w:r>
          </w:p>
        </w:tc>
      </w:tr>
      <w:tr w:rsidR="008D1986" w:rsidRPr="007B513A" w14:paraId="0217605D" w14:textId="77777777" w:rsidTr="00D60A35">
        <w:trPr>
          <w:trHeight w:val="20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9343424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dentro de progênies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02C10A45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0,822</w:t>
            </w:r>
          </w:p>
        </w:tc>
        <w:tc>
          <w:tcPr>
            <w:tcW w:w="516" w:type="pct"/>
            <w:vAlign w:val="bottom"/>
          </w:tcPr>
          <w:p w14:paraId="42B3AD97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0,438</w:t>
            </w:r>
          </w:p>
        </w:tc>
      </w:tr>
      <w:tr w:rsidR="008D1986" w:rsidRPr="007B513A" w14:paraId="0F711501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5D8867B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Fenotípica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6EAC0D73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0,992</w:t>
            </w:r>
          </w:p>
        </w:tc>
        <w:tc>
          <w:tcPr>
            <w:tcW w:w="516" w:type="pct"/>
            <w:vAlign w:val="bottom"/>
          </w:tcPr>
          <w:p w14:paraId="598CF3C8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0,613</w:t>
            </w:r>
          </w:p>
        </w:tc>
      </w:tr>
      <w:tr w:rsidR="008D1986" w:rsidRPr="007B513A" w14:paraId="0699CCA2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03F7693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no sentido restrito (h2i)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1DB48327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0,591</w:t>
            </w:r>
          </w:p>
        </w:tc>
        <w:tc>
          <w:tcPr>
            <w:tcW w:w="516" w:type="pct"/>
            <w:vAlign w:val="bottom"/>
          </w:tcPr>
          <w:p w14:paraId="311826EB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0,923</w:t>
            </w:r>
          </w:p>
        </w:tc>
      </w:tr>
      <w:tr w:rsidR="008D1986" w:rsidRPr="007B513A" w14:paraId="12B1A047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54C0C5C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dentro de progênies (h2d)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61831763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0,535</w:t>
            </w:r>
          </w:p>
        </w:tc>
        <w:tc>
          <w:tcPr>
            <w:tcW w:w="516" w:type="pct"/>
            <w:vAlign w:val="bottom"/>
          </w:tcPr>
          <w:p w14:paraId="7D25155E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0,97</w:t>
            </w:r>
          </w:p>
        </w:tc>
      </w:tr>
      <w:tr w:rsidR="008D1986" w:rsidRPr="007B513A" w14:paraId="763967B9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435E7146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média de progênies (h2m)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192C6E16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0,913</w:t>
            </w:r>
          </w:p>
        </w:tc>
        <w:tc>
          <w:tcPr>
            <w:tcW w:w="516" w:type="pct"/>
            <w:vAlign w:val="bottom"/>
          </w:tcPr>
          <w:p w14:paraId="58880BCC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0,935</w:t>
            </w:r>
          </w:p>
        </w:tc>
      </w:tr>
      <w:tr w:rsidR="008D1986" w:rsidRPr="007B513A" w14:paraId="305EA11C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34D2383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genético aditivo (</w:t>
            </w:r>
            <w:proofErr w:type="spellStart"/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CVgi</w:t>
            </w:r>
            <w:proofErr w:type="spellEnd"/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11582372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16,067</w:t>
            </w:r>
          </w:p>
        </w:tc>
        <w:tc>
          <w:tcPr>
            <w:tcW w:w="516" w:type="pct"/>
            <w:vAlign w:val="bottom"/>
          </w:tcPr>
          <w:p w14:paraId="7D54917F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18,07</w:t>
            </w:r>
          </w:p>
        </w:tc>
      </w:tr>
      <w:tr w:rsidR="008D1986" w:rsidRPr="007B513A" w14:paraId="3CA58660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9577F45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experimental (</w:t>
            </w:r>
            <w:proofErr w:type="spellStart"/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CVe</w:t>
            </w:r>
            <w:proofErr w:type="spellEnd"/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6CBA5A92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19,019</w:t>
            </w:r>
          </w:p>
        </w:tc>
        <w:tc>
          <w:tcPr>
            <w:tcW w:w="516" w:type="pct"/>
            <w:vAlign w:val="bottom"/>
          </w:tcPr>
          <w:p w14:paraId="44319171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15,89</w:t>
            </w:r>
          </w:p>
        </w:tc>
      </w:tr>
      <w:tr w:rsidR="008D1986" w:rsidRPr="007B513A" w14:paraId="76915F04" w14:textId="77777777" w:rsidTr="00D60A35">
        <w:trPr>
          <w:trHeight w:val="229"/>
          <w:jc w:val="center"/>
        </w:trPr>
        <w:tc>
          <w:tcPr>
            <w:tcW w:w="3877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520E10D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Acurácia na seleção de progênies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14:paraId="496670D6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0,955</w:t>
            </w:r>
          </w:p>
        </w:tc>
        <w:tc>
          <w:tcPr>
            <w:tcW w:w="516" w:type="pct"/>
            <w:vAlign w:val="bottom"/>
          </w:tcPr>
          <w:p w14:paraId="7A0395A9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0,967</w:t>
            </w:r>
          </w:p>
        </w:tc>
      </w:tr>
      <w:tr w:rsidR="008D1986" w:rsidRPr="007B513A" w14:paraId="273E7E6F" w14:textId="77777777" w:rsidTr="00D60A35">
        <w:trPr>
          <w:trHeight w:val="229"/>
          <w:jc w:val="center"/>
        </w:trPr>
        <w:tc>
          <w:tcPr>
            <w:tcW w:w="387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0893" w14:textId="77777777" w:rsidR="008D1986" w:rsidRPr="00D60A35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60A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Média Geral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CD70" w14:textId="77777777" w:rsidR="008D1986" w:rsidRPr="007B513A" w:rsidRDefault="008D1986" w:rsidP="00C67A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4,766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619F4" w14:textId="77777777" w:rsidR="008D1986" w:rsidRPr="007B513A" w:rsidRDefault="008D1986" w:rsidP="00C67AD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7B513A">
              <w:rPr>
                <w:rFonts w:ascii="Times New Roman" w:hAnsi="Times New Roman"/>
                <w:color w:val="000000"/>
                <w:sz w:val="24"/>
                <w:szCs w:val="24"/>
              </w:rPr>
              <w:t>4,164</w:t>
            </w:r>
          </w:p>
        </w:tc>
      </w:tr>
    </w:tbl>
    <w:p w14:paraId="2385252B" w14:textId="77777777" w:rsidR="008D1986" w:rsidRPr="00433B41" w:rsidRDefault="008D1986" w:rsidP="008D1986">
      <w:pPr>
        <w:spacing w:before="40" w:after="40" w:line="276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45EFA8FB" w14:textId="77777777" w:rsidR="008D1986" w:rsidRPr="00433B41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As estimativas de herdabilidade no sentido restrito foram de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alta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magnitude para </w:t>
      </w:r>
      <w:r w:rsidRPr="007354A5">
        <w:rPr>
          <w:rFonts w:ascii="Times New Roman" w:hAnsi="Times New Roman"/>
          <w:bCs/>
          <w:color w:val="000000" w:themeColor="text1"/>
          <w:sz w:val="24"/>
          <w:szCs w:val="24"/>
        </w:rPr>
        <w:t>DAP (0,59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 e HT (0,92) (Tabela 1</w:t>
      </w:r>
      <w:r w:rsidRPr="007354A5">
        <w:rPr>
          <w:rFonts w:ascii="Times New Roman" w:hAnsi="Times New Roman"/>
          <w:bCs/>
          <w:color w:val="000000" w:themeColor="text1"/>
          <w:sz w:val="24"/>
          <w:szCs w:val="24"/>
        </w:rPr>
        <w:t>) (</w:t>
      </w:r>
      <w:bookmarkStart w:id="0" w:name="_Hlk51788625"/>
      <w:r w:rsidRPr="007354A5">
        <w:rPr>
          <w:rFonts w:ascii="Times New Roman" w:hAnsi="Times New Roman"/>
          <w:bCs/>
          <w:color w:val="000000" w:themeColor="text1"/>
          <w:sz w:val="24"/>
          <w:szCs w:val="24"/>
        </w:rPr>
        <w:t>RESENDE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 2002b</w:t>
      </w:r>
      <w:bookmarkEnd w:id="0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Valores inferiores de herdabilidade no sentido restrito são relatados para DAP (0,39) em um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teste de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progênies de teca de polinização aberta na Costa Rica aos sete anos de idade (</w:t>
      </w:r>
      <w:r w:rsidRPr="007354A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MURILLO </w:t>
      </w:r>
      <w:r w:rsidRPr="007354A5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et al</w:t>
      </w:r>
      <w:r w:rsidRPr="007354A5">
        <w:rPr>
          <w:rFonts w:ascii="Times New Roman" w:hAnsi="Times New Roman"/>
          <w:bCs/>
          <w:color w:val="000000" w:themeColor="text1"/>
          <w:sz w:val="24"/>
          <w:szCs w:val="24"/>
        </w:rPr>
        <w:t>., 2019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O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s valores de herdabilidade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no sentido restrito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indicam um bom controle genético para a seleção, permitindo assim, selecionar plantas individuais superiores.</w:t>
      </w:r>
    </w:p>
    <w:p w14:paraId="16326E2B" w14:textId="77777777" w:rsidR="008D1986" w:rsidRPr="00433B41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Os resultados para o coeficiente de variação genético aditivo (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CVgi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) sugerem possibilidades de ganhos no programa de melhoramento (Tabela 1). Valores semelhantes são relatados em um teste de progênies de teca aos três meses de idade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em que os valores do coeficiente de variação genotípica foram de 11,2% para diâmetro do coleto (COSTA </w:t>
      </w:r>
      <w:r w:rsidRPr="002B73A6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et al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2015</w:t>
      </w:r>
      <w:r w:rsidRPr="00433B41">
        <w:rPr>
          <w:rStyle w:val="Refdecomentrio"/>
          <w:rFonts w:ascii="Times New Roman" w:hAnsi="Times New Roman"/>
          <w:sz w:val="24"/>
          <w:szCs w:val="24"/>
        </w:rPr>
        <w:t>).</w:t>
      </w:r>
    </w:p>
    <w:p w14:paraId="27B917F4" w14:textId="77777777" w:rsidR="008D1986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Já o coeficiente de variação experimental (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CVe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 foi de 19% para DAP e 15% para HT (Tabela 1). Esses resultados apontam uma boa precisão experimental, uma vez que os valores de 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CVgi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são próximos aos valores de </w:t>
      </w:r>
      <w:proofErr w:type="spellStart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CVe</w:t>
      </w:r>
      <w:proofErr w:type="spellEnd"/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, indicando uma situação favorável a seleção (VENCOVSKY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BARRIGA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1992).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02D8A531" w14:textId="77777777" w:rsidR="008D1986" w:rsidRPr="00A00348" w:rsidRDefault="008D1986" w:rsidP="00774209">
      <w:pPr>
        <w:spacing w:before="40" w:after="40" w:line="276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B41">
        <w:rPr>
          <w:rFonts w:ascii="Times New Roman" w:hAnsi="Times New Roman"/>
          <w:bCs/>
          <w:color w:val="000000" w:themeColor="text1"/>
          <w:sz w:val="24"/>
          <w:szCs w:val="24"/>
        </w:rPr>
        <w:t>O ganho com a seleção dos cinco melhores indivíduos (clones potenciais) foi de 35,70% para diâmetro a altura do peito (DAP) e 44,97% para altura total (HT)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F878A1">
        <w:rPr>
          <w:rFonts w:ascii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Na seleção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dos cinco melhores indivíduos foram identificados materiais que se sobressaíram a testemunha comercial para as duas variáveis estudadas.</w:t>
      </w:r>
    </w:p>
    <w:p w14:paraId="4C45E918" w14:textId="77777777" w:rsidR="008D1986" w:rsidRDefault="008D1986" w:rsidP="008D1986">
      <w:pPr>
        <w:spacing w:before="240"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10C2293" w14:textId="77777777" w:rsidR="008D1986" w:rsidRDefault="008D1986" w:rsidP="008D1986">
      <w:pPr>
        <w:pStyle w:val="PargrafodaLista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  <w:bookmarkStart w:id="1" w:name="_Hlk51781974"/>
    </w:p>
    <w:p w14:paraId="39973E9D" w14:textId="70FA946F" w:rsidR="008D1986" w:rsidRDefault="008D1986" w:rsidP="008D1986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696BE5">
        <w:rPr>
          <w:rFonts w:ascii="Times New Roman" w:eastAsia="Times New Roman" w:hAnsi="Times New Roman"/>
          <w:sz w:val="24"/>
          <w:szCs w:val="24"/>
          <w:lang w:eastAsia="pt-BR"/>
        </w:rPr>
        <w:t>Existe variabilidade genética para as variáveis DAP e HT</w:t>
      </w:r>
      <w:bookmarkEnd w:id="1"/>
      <w:r w:rsidRPr="00696BE5">
        <w:rPr>
          <w:rFonts w:ascii="Times New Roman" w:eastAsia="Times New Roman" w:hAnsi="Times New Roman"/>
          <w:sz w:val="24"/>
          <w:szCs w:val="24"/>
          <w:lang w:eastAsia="pt-BR"/>
        </w:rPr>
        <w:t>. Logo, é possível maximizar os ganhos genéticos sob seleção na sequência do programa de melhoramento. Há ganhos com a seleção individual para as variáveis DAP e HT .</w:t>
      </w:r>
    </w:p>
    <w:p w14:paraId="7A49E55F" w14:textId="77777777" w:rsidR="008D1986" w:rsidRPr="002D1466" w:rsidRDefault="008D1986" w:rsidP="008D1986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7FF173A1" w14:textId="77777777" w:rsidR="008D1986" w:rsidRDefault="008D1986" w:rsidP="008D1986">
      <w:pPr>
        <w:pStyle w:val="PargrafodaLista"/>
        <w:numPr>
          <w:ilvl w:val="0"/>
          <w:numId w:val="1"/>
        </w:numPr>
        <w:spacing w:before="24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6CEDED15" w14:textId="77777777" w:rsidR="008D1986" w:rsidRPr="0001543E" w:rsidRDefault="008D1986" w:rsidP="008D19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ABRAF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>. Anuário Estatístico da ABRAF 2013 – ano base 2012, Brasília, 2013.</w:t>
      </w:r>
    </w:p>
    <w:p w14:paraId="7EAD39BC" w14:textId="77777777" w:rsidR="008D1986" w:rsidRPr="0001543E" w:rsidRDefault="008D1986" w:rsidP="008D198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BRASIL. </w:t>
      </w:r>
      <w:r w:rsidRPr="0001543E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Lei n° 9.456, de 25 de abril de 1997. </w:t>
      </w: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Presidência da República</w:t>
      </w: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br/>
        <w:t xml:space="preserve">Casa Civil. 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Brasília, DF, 25 de Abril de 1997. </w:t>
      </w:r>
    </w:p>
    <w:p w14:paraId="568CCBEB" w14:textId="77777777" w:rsidR="008D1986" w:rsidRPr="0001543E" w:rsidRDefault="008D1986" w:rsidP="008D1986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>BRASIL.</w:t>
      </w:r>
      <w:r w:rsidRPr="0001543E">
        <w:rPr>
          <w:sz w:val="24"/>
          <w:szCs w:val="24"/>
        </w:rPr>
        <w:t xml:space="preserve"> 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Ato nº 9, de 3 de agosto de 2020. </w:t>
      </w: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Diário Oficial da União.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 Brasília, DF, 4 de agosto de 2020. Seção 1, p. 1.</w:t>
      </w:r>
    </w:p>
    <w:p w14:paraId="7277E27D" w14:textId="77777777" w:rsidR="008D1986" w:rsidRPr="0001543E" w:rsidRDefault="008D1986" w:rsidP="008D19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43E">
        <w:rPr>
          <w:rFonts w:ascii="Times New Roman" w:hAnsi="Times New Roman"/>
          <w:sz w:val="24"/>
          <w:szCs w:val="24"/>
        </w:rPr>
        <w:t>COSTA, R. B.; RESENDE, M. D. V.; SILVA, V. S. M. Experimentação e seleção no melhoramento genético de Teca (</w:t>
      </w:r>
      <w:proofErr w:type="spellStart"/>
      <w:r w:rsidRPr="0001543E">
        <w:rPr>
          <w:rFonts w:ascii="Times New Roman" w:hAnsi="Times New Roman"/>
          <w:i/>
          <w:iCs/>
          <w:sz w:val="24"/>
          <w:szCs w:val="24"/>
        </w:rPr>
        <w:t>Tectona</w:t>
      </w:r>
      <w:proofErr w:type="spellEnd"/>
      <w:r w:rsidRPr="0001543E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1543E">
        <w:rPr>
          <w:rFonts w:ascii="Times New Roman" w:hAnsi="Times New Roman"/>
          <w:i/>
          <w:iCs/>
          <w:sz w:val="24"/>
          <w:szCs w:val="24"/>
        </w:rPr>
        <w:t>grandis</w:t>
      </w:r>
      <w:proofErr w:type="spellEnd"/>
      <w:r w:rsidRPr="0001543E">
        <w:rPr>
          <w:rFonts w:ascii="Times New Roman" w:hAnsi="Times New Roman"/>
          <w:sz w:val="24"/>
          <w:szCs w:val="24"/>
        </w:rPr>
        <w:t xml:space="preserve"> L. f.). </w:t>
      </w:r>
      <w:r w:rsidRPr="0001543E">
        <w:rPr>
          <w:rFonts w:ascii="Times New Roman" w:hAnsi="Times New Roman"/>
          <w:b/>
          <w:bCs/>
          <w:sz w:val="24"/>
          <w:szCs w:val="24"/>
        </w:rPr>
        <w:t>Floresta e Ambiente</w:t>
      </w:r>
      <w:r w:rsidRPr="0001543E">
        <w:rPr>
          <w:rFonts w:ascii="Times New Roman" w:hAnsi="Times New Roman"/>
          <w:i/>
          <w:iCs/>
          <w:sz w:val="24"/>
          <w:szCs w:val="24"/>
        </w:rPr>
        <w:t>,</w:t>
      </w:r>
      <w:r w:rsidRPr="0001543E">
        <w:rPr>
          <w:rFonts w:ascii="Times New Roman" w:hAnsi="Times New Roman"/>
          <w:sz w:val="24"/>
          <w:szCs w:val="24"/>
        </w:rPr>
        <w:t xml:space="preserve"> v. 14, n. 1, p. 76-92, 2007. </w:t>
      </w:r>
    </w:p>
    <w:p w14:paraId="7C38D9BB" w14:textId="77777777" w:rsidR="008D1986" w:rsidRPr="0001543E" w:rsidRDefault="008D1986" w:rsidP="008D198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43E">
        <w:rPr>
          <w:rFonts w:ascii="Times New Roman" w:hAnsi="Times New Roman"/>
          <w:sz w:val="24"/>
          <w:szCs w:val="24"/>
        </w:rPr>
        <w:t xml:space="preserve">COSTA, R. B.; MARTINEZ, D. T.; CHICHORRO, J. F.; BAUER, M. O.; CEZANA, D. P.; SOUZA, T. R. Desempenho de progênies no </w:t>
      </w:r>
      <w:proofErr w:type="spellStart"/>
      <w:r w:rsidRPr="0001543E">
        <w:rPr>
          <w:rFonts w:ascii="Times New Roman" w:hAnsi="Times New Roman"/>
          <w:sz w:val="24"/>
          <w:szCs w:val="24"/>
        </w:rPr>
        <w:t>pré</w:t>
      </w:r>
      <w:proofErr w:type="spellEnd"/>
      <w:r w:rsidRPr="0001543E">
        <w:rPr>
          <w:rFonts w:ascii="Times New Roman" w:hAnsi="Times New Roman"/>
          <w:sz w:val="24"/>
          <w:szCs w:val="24"/>
        </w:rPr>
        <w:t xml:space="preserve">- melhoramento de </w:t>
      </w:r>
      <w:proofErr w:type="spellStart"/>
      <w:r w:rsidRPr="0001543E">
        <w:rPr>
          <w:rFonts w:ascii="Times New Roman" w:hAnsi="Times New Roman"/>
          <w:i/>
          <w:iCs/>
          <w:sz w:val="24"/>
          <w:szCs w:val="24"/>
        </w:rPr>
        <w:t>Tectona</w:t>
      </w:r>
      <w:proofErr w:type="spellEnd"/>
      <w:r w:rsidRPr="0001543E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1543E">
        <w:rPr>
          <w:rFonts w:ascii="Times New Roman" w:hAnsi="Times New Roman"/>
          <w:i/>
          <w:iCs/>
          <w:sz w:val="24"/>
          <w:szCs w:val="24"/>
        </w:rPr>
        <w:t>grandis</w:t>
      </w:r>
      <w:proofErr w:type="spellEnd"/>
      <w:r w:rsidRPr="0001543E">
        <w:rPr>
          <w:rFonts w:ascii="Times New Roman" w:hAnsi="Times New Roman"/>
          <w:sz w:val="24"/>
          <w:szCs w:val="24"/>
        </w:rPr>
        <w:t xml:space="preserve"> L. f no estado do Espírito Santo. </w:t>
      </w:r>
      <w:proofErr w:type="spellStart"/>
      <w:r w:rsidRPr="0001543E">
        <w:rPr>
          <w:rFonts w:ascii="Times New Roman" w:hAnsi="Times New Roman"/>
          <w:b/>
          <w:bCs/>
          <w:sz w:val="24"/>
          <w:szCs w:val="24"/>
        </w:rPr>
        <w:t>Scientia</w:t>
      </w:r>
      <w:proofErr w:type="spellEnd"/>
      <w:r w:rsidRPr="0001543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543E">
        <w:rPr>
          <w:rFonts w:ascii="Times New Roman" w:hAnsi="Times New Roman"/>
          <w:b/>
          <w:bCs/>
          <w:sz w:val="24"/>
          <w:szCs w:val="24"/>
        </w:rPr>
        <w:t>florestalis</w:t>
      </w:r>
      <w:proofErr w:type="spellEnd"/>
      <w:r w:rsidRPr="0001543E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01543E">
        <w:rPr>
          <w:rFonts w:ascii="Times New Roman" w:hAnsi="Times New Roman"/>
          <w:sz w:val="24"/>
          <w:szCs w:val="24"/>
        </w:rPr>
        <w:t>v.</w:t>
      </w:r>
      <w:r w:rsidRPr="0001543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1543E">
        <w:rPr>
          <w:rFonts w:ascii="Times New Roman" w:hAnsi="Times New Roman"/>
          <w:sz w:val="24"/>
          <w:szCs w:val="24"/>
        </w:rPr>
        <w:t xml:space="preserve">43, p. 211-216, 2015. </w:t>
      </w:r>
    </w:p>
    <w:p w14:paraId="2C05D2BF" w14:textId="77777777" w:rsidR="008D1986" w:rsidRPr="00FE24D6" w:rsidRDefault="008D1986" w:rsidP="008D1986">
      <w:pPr>
        <w:spacing w:before="24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01543E">
        <w:rPr>
          <w:rFonts w:ascii="Times New Roman" w:hAnsi="Times New Roman"/>
          <w:sz w:val="24"/>
          <w:szCs w:val="24"/>
        </w:rPr>
        <w:t xml:space="preserve">IBA, </w:t>
      </w:r>
      <w:r w:rsidRPr="0001543E">
        <w:rPr>
          <w:rFonts w:ascii="Times New Roman" w:hAnsi="Times New Roman"/>
          <w:b/>
          <w:bCs/>
          <w:sz w:val="24"/>
          <w:szCs w:val="24"/>
        </w:rPr>
        <w:t>Indústria Brasileira de Árvores</w:t>
      </w:r>
      <w:r w:rsidRPr="0001543E">
        <w:rPr>
          <w:rFonts w:ascii="Times New Roman" w:hAnsi="Times New Roman"/>
          <w:sz w:val="24"/>
          <w:szCs w:val="24"/>
        </w:rPr>
        <w:t xml:space="preserve">.  Relatório IBA 2019. </w:t>
      </w:r>
      <w:r w:rsidRPr="00FE24D6">
        <w:rPr>
          <w:rFonts w:ascii="Times New Roman" w:hAnsi="Times New Roman"/>
          <w:sz w:val="24"/>
          <w:szCs w:val="24"/>
          <w:lang w:val="en-GB"/>
        </w:rPr>
        <w:t>Brasília: IBA.</w:t>
      </w:r>
    </w:p>
    <w:p w14:paraId="7672ADF1" w14:textId="77777777" w:rsidR="008D1986" w:rsidRPr="0001543E" w:rsidRDefault="008D1986" w:rsidP="008D198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24D6">
        <w:rPr>
          <w:rFonts w:ascii="Times New Roman" w:hAnsi="Times New Roman"/>
          <w:sz w:val="24"/>
          <w:szCs w:val="24"/>
          <w:lang w:val="en-GB"/>
        </w:rPr>
        <w:t>MURILLO, O.; RESENDE, M. D. V.; BADILLA, Y.; GAMBOA, J. P. Genotype by environment interaction and teak (</w:t>
      </w:r>
      <w:r w:rsidRPr="00FE24D6">
        <w:rPr>
          <w:rFonts w:ascii="Times New Roman" w:hAnsi="Times New Roman"/>
          <w:i/>
          <w:iCs/>
          <w:sz w:val="24"/>
          <w:szCs w:val="24"/>
          <w:lang w:val="en-GB"/>
        </w:rPr>
        <w:t>Tectona grandis</w:t>
      </w:r>
      <w:r w:rsidRPr="00FE24D6">
        <w:rPr>
          <w:rFonts w:ascii="Times New Roman" w:hAnsi="Times New Roman"/>
          <w:sz w:val="24"/>
          <w:szCs w:val="24"/>
          <w:lang w:val="en-GB"/>
        </w:rPr>
        <w:t xml:space="preserve"> L.) selection in Costa Rica. </w:t>
      </w:r>
      <w:proofErr w:type="spellStart"/>
      <w:r w:rsidRPr="0001543E">
        <w:rPr>
          <w:rFonts w:ascii="Times New Roman" w:hAnsi="Times New Roman"/>
          <w:b/>
          <w:bCs/>
          <w:sz w:val="24"/>
          <w:szCs w:val="24"/>
        </w:rPr>
        <w:t>Silvae</w:t>
      </w:r>
      <w:proofErr w:type="spellEnd"/>
      <w:r w:rsidRPr="0001543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1543E">
        <w:rPr>
          <w:rFonts w:ascii="Times New Roman" w:hAnsi="Times New Roman"/>
          <w:b/>
          <w:bCs/>
          <w:sz w:val="24"/>
          <w:szCs w:val="24"/>
        </w:rPr>
        <w:t>Genetica</w:t>
      </w:r>
      <w:proofErr w:type="spellEnd"/>
      <w:r w:rsidRPr="0001543E">
        <w:rPr>
          <w:rFonts w:ascii="Times New Roman" w:hAnsi="Times New Roman"/>
          <w:sz w:val="24"/>
          <w:szCs w:val="24"/>
        </w:rPr>
        <w:t>, v. 68, p. 116-121, 2019.</w:t>
      </w:r>
    </w:p>
    <w:p w14:paraId="2887FE79" w14:textId="77777777" w:rsidR="008D1986" w:rsidRPr="0001543E" w:rsidRDefault="008D1986" w:rsidP="008D1986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NOGUEIRA, T. A. P. C.; NUNES, A. C. P.; SANTOS, G. A.; TAKAHASHI, E. K.; RESENDE, M. D. V.; CORRADI, I. S. Estimativa de parâmetros genéticos em progênies de irmãos completos de eucalipto e otimização de seleção. </w:t>
      </w:r>
      <w:proofErr w:type="spellStart"/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Scientia</w:t>
      </w:r>
      <w:proofErr w:type="spellEnd"/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Forestalis</w:t>
      </w:r>
      <w:proofErr w:type="spellEnd"/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>, v. 47, n. 123, p. 451-462, 2019.</w:t>
      </w:r>
    </w:p>
    <w:p w14:paraId="043A2E9E" w14:textId="77777777" w:rsidR="008D1986" w:rsidRPr="0001543E" w:rsidRDefault="008D1986" w:rsidP="008D1986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RESENDE, M. D. V. de. </w:t>
      </w: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Genética biométrica e estatística no melhoramento de plantas perenes.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 Brasília: Embrapa Informação Tecnológica. 2002b, 975 p.</w:t>
      </w:r>
    </w:p>
    <w:p w14:paraId="471B21E3" w14:textId="77777777" w:rsidR="008D1986" w:rsidRPr="0001543E" w:rsidRDefault="008D1986" w:rsidP="008D1986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 xml:space="preserve">RESENDE, M. D. V.; DUARTE, J. B. Precisão e controle de qualidade em experimentos de avaliação de cultivares. </w:t>
      </w:r>
      <w:r w:rsidRPr="0001543E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Pesquisa Agropecuária Tropical</w:t>
      </w:r>
      <w:r w:rsidRPr="0001543E">
        <w:rPr>
          <w:rFonts w:ascii="Times New Roman" w:eastAsia="Times New Roman" w:hAnsi="Times New Roman"/>
          <w:sz w:val="24"/>
          <w:szCs w:val="24"/>
          <w:lang w:eastAsia="pt-BR"/>
        </w:rPr>
        <w:t>, v. 37. p.182-194, 2007.</w:t>
      </w:r>
    </w:p>
    <w:p w14:paraId="76EFEE08" w14:textId="77777777" w:rsidR="008D1986" w:rsidRPr="0001543E" w:rsidRDefault="008D1986" w:rsidP="008D1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1543E">
        <w:rPr>
          <w:rFonts w:ascii="Times New Roman" w:hAnsi="Times New Roman"/>
          <w:color w:val="000000" w:themeColor="text1"/>
          <w:sz w:val="24"/>
          <w:szCs w:val="24"/>
        </w:rPr>
        <w:t xml:space="preserve">VENCOVSKY, R.; BARRIGA, P. </w:t>
      </w:r>
      <w:r w:rsidRPr="0001543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Genética biométrica no </w:t>
      </w:r>
      <w:proofErr w:type="spellStart"/>
      <w:r w:rsidRPr="0001543E">
        <w:rPr>
          <w:rFonts w:ascii="Times New Roman" w:hAnsi="Times New Roman"/>
          <w:b/>
          <w:bCs/>
          <w:color w:val="000000" w:themeColor="text1"/>
          <w:sz w:val="24"/>
          <w:szCs w:val="24"/>
        </w:rPr>
        <w:t>fitomelhoramento</w:t>
      </w:r>
      <w:proofErr w:type="spellEnd"/>
      <w:r w:rsidRPr="0001543E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01543E">
        <w:rPr>
          <w:rFonts w:ascii="Times New Roman" w:hAnsi="Times New Roman"/>
          <w:color w:val="000000" w:themeColor="text1"/>
          <w:sz w:val="24"/>
          <w:szCs w:val="24"/>
        </w:rPr>
        <w:t xml:space="preserve"> Ribeirão Preto: Sociedade Brasileira de Genética. 1992, 496 p.</w:t>
      </w:r>
    </w:p>
    <w:sectPr w:rsidR="008D1986" w:rsidRPr="0001543E" w:rsidSect="00662174">
      <w:headerReference w:type="default" r:id="rId7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6A0D8" w14:textId="77777777" w:rsidR="005B24D6" w:rsidRDefault="005B24D6">
      <w:pPr>
        <w:spacing w:after="0" w:line="240" w:lineRule="auto"/>
      </w:pPr>
      <w:r>
        <w:separator/>
      </w:r>
    </w:p>
  </w:endnote>
  <w:endnote w:type="continuationSeparator" w:id="0">
    <w:p w14:paraId="4C68C8B8" w14:textId="77777777" w:rsidR="005B24D6" w:rsidRDefault="005B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0689B" w14:textId="77777777" w:rsidR="005B24D6" w:rsidRDefault="005B24D6">
      <w:pPr>
        <w:spacing w:after="0" w:line="240" w:lineRule="auto"/>
      </w:pPr>
      <w:r>
        <w:separator/>
      </w:r>
    </w:p>
  </w:footnote>
  <w:footnote w:type="continuationSeparator" w:id="0">
    <w:p w14:paraId="00051444" w14:textId="77777777" w:rsidR="005B24D6" w:rsidRDefault="005B2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BB0AD" w14:textId="77777777" w:rsidR="0028395B" w:rsidRDefault="00166539" w:rsidP="00A966AF">
    <w:pPr>
      <w:pStyle w:val="Cabealho"/>
    </w:pPr>
    <w:r>
      <w:rPr>
        <w:noProof/>
        <w:lang w:eastAsia="pt-BR"/>
      </w:rPr>
      <w:drawing>
        <wp:inline distT="0" distB="0" distL="0" distR="0" wp14:anchorId="1537ED80" wp14:editId="1D9F04B8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305BBC9" w14:textId="77777777" w:rsidR="006761D1" w:rsidRPr="00A966AF" w:rsidRDefault="00C03FE0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86"/>
    <w:rsid w:val="00135885"/>
    <w:rsid w:val="00166539"/>
    <w:rsid w:val="001B732E"/>
    <w:rsid w:val="00241D08"/>
    <w:rsid w:val="004B6B83"/>
    <w:rsid w:val="005B24D6"/>
    <w:rsid w:val="005C5C74"/>
    <w:rsid w:val="00774209"/>
    <w:rsid w:val="00823F34"/>
    <w:rsid w:val="008D1986"/>
    <w:rsid w:val="009F3ABF"/>
    <w:rsid w:val="00A047C8"/>
    <w:rsid w:val="00AF32AA"/>
    <w:rsid w:val="00C03FE0"/>
    <w:rsid w:val="00D2313B"/>
    <w:rsid w:val="00D537C3"/>
    <w:rsid w:val="00D60A35"/>
    <w:rsid w:val="00F17013"/>
    <w:rsid w:val="00FE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8BD1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98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9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86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8D1986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D1986"/>
    <w:pPr>
      <w:ind w:left="720"/>
      <w:contextualSpacing/>
    </w:pPr>
  </w:style>
  <w:style w:type="paragraph" w:customStyle="1" w:styleId="Endereo">
    <w:name w:val="Endereço"/>
    <w:basedOn w:val="Normal"/>
    <w:uiPriority w:val="2"/>
    <w:qFormat/>
    <w:rsid w:val="008D1986"/>
    <w:pPr>
      <w:spacing w:before="160" w:after="600" w:line="240" w:lineRule="auto"/>
      <w:ind w:right="3024"/>
      <w:contextualSpacing/>
    </w:pPr>
    <w:rPr>
      <w:rFonts w:asciiTheme="minorHAnsi" w:eastAsiaTheme="minorHAnsi" w:hAnsiTheme="minorHAnsi" w:cstheme="minorBidi"/>
      <w:caps/>
      <w:color w:val="7F7F7F" w:themeColor="text1" w:themeTint="80"/>
      <w:spacing w:val="28"/>
      <w:sz w:val="24"/>
      <w:szCs w:val="24"/>
      <w:lang w:eastAsia="ja-JP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2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4D6"/>
    <w:rPr>
      <w:rFonts w:ascii="Segoe UI" w:eastAsia="Calibr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823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F34"/>
    <w:rPr>
      <w:rFonts w:ascii="Calibri" w:eastAsia="Calibri" w:hAnsi="Calibri" w:cs="Times New Roma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170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1701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70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701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5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1476</Words>
  <Characters>7973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2020-10-23T13:06:00Z</dcterms:created>
  <dcterms:modified xsi:type="dcterms:W3CDTF">2020-10-23T13:08:00Z</dcterms:modified>
</cp:coreProperties>
</file>