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858" w:rsidRPr="00881DBF" w:rsidRDefault="009E1858" w:rsidP="009E1858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ABORDAGEM DIAGNÓSTICA DA LEISHMANIOSE VISCERAL CANINA BASEADA EM EVIDÊNCIAS</w:t>
      </w:r>
    </w:p>
    <w:p w:rsidR="00B94C38" w:rsidRDefault="0076161A" w:rsidP="00B94C38">
      <w:pPr>
        <w:pStyle w:val="Textodecomentri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Ana Alice Martins Cunha</w:t>
      </w:r>
      <w:r w:rsidR="00B94C38"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 xml:space="preserve">*, Luiza </w:t>
      </w:r>
      <w:proofErr w:type="spellStart"/>
      <w:r>
        <w:rPr>
          <w:rFonts w:ascii="Arial" w:hAnsi="Arial" w:cs="Arial"/>
          <w:b/>
          <w:bCs/>
          <w:color w:val="auto"/>
        </w:rPr>
        <w:t>Weinert</w:t>
      </w:r>
      <w:proofErr w:type="spellEnd"/>
      <w:r>
        <w:rPr>
          <w:rFonts w:ascii="Arial" w:hAnsi="Arial" w:cs="Arial"/>
          <w:b/>
          <w:bCs/>
          <w:color w:val="auto"/>
        </w:rPr>
        <w:t xml:space="preserve"> Karaim</w:t>
      </w:r>
      <w:r w:rsidR="00B94C38">
        <w:rPr>
          <w:rFonts w:ascii="Arial" w:hAnsi="Arial" w:cs="Arial"/>
          <w:b/>
          <w:bCs/>
          <w:color w:val="auto"/>
          <w:vertAlign w:val="superscript"/>
        </w:rPr>
        <w:t>1</w:t>
      </w:r>
      <w:r w:rsidR="00B94C38">
        <w:rPr>
          <w:rFonts w:ascii="Arial" w:hAnsi="Arial" w:cs="Arial"/>
          <w:b/>
          <w:bCs/>
          <w:color w:val="auto"/>
        </w:rPr>
        <w:t xml:space="preserve">, e </w:t>
      </w:r>
      <w:r w:rsidR="00377D81">
        <w:rPr>
          <w:rFonts w:ascii="Arial" w:hAnsi="Arial" w:cs="Arial"/>
          <w:b/>
          <w:bCs/>
          <w:color w:val="auto"/>
        </w:rPr>
        <w:t>Bruno Generoso Faria</w:t>
      </w:r>
      <w:r w:rsidR="00B94C38">
        <w:rPr>
          <w:rFonts w:ascii="Arial" w:hAnsi="Arial" w:cs="Arial"/>
          <w:b/>
          <w:bCs/>
          <w:color w:val="auto"/>
          <w:vertAlign w:val="superscript"/>
        </w:rPr>
        <w:t>3</w:t>
      </w:r>
      <w:r w:rsidR="00B94C38">
        <w:rPr>
          <w:rFonts w:ascii="Arial" w:hAnsi="Arial" w:cs="Arial"/>
          <w:b/>
          <w:bCs/>
          <w:color w:val="auto"/>
        </w:rPr>
        <w:t>.</w:t>
      </w:r>
    </w:p>
    <w:p w:rsidR="00B94C38" w:rsidRDefault="00B94C38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 xml:space="preserve">Graduando em Medicina Veterinária – </w:t>
      </w:r>
      <w:proofErr w:type="spellStart"/>
      <w:r>
        <w:rPr>
          <w:rFonts w:ascii="Arial" w:hAnsi="Arial" w:cs="Arial"/>
          <w:i/>
          <w:iCs/>
          <w:color w:val="auto"/>
          <w:sz w:val="14"/>
          <w:szCs w:val="18"/>
        </w:rPr>
        <w:t>UniBH</w:t>
      </w:r>
      <w:proofErr w:type="spellEnd"/>
      <w:r>
        <w:rPr>
          <w:rFonts w:ascii="Arial" w:hAnsi="Arial" w:cs="Arial"/>
          <w:i/>
          <w:iCs/>
          <w:color w:val="auto"/>
          <w:sz w:val="14"/>
          <w:szCs w:val="18"/>
        </w:rPr>
        <w:t xml:space="preserve"> – Belo Horizonte/MG – Brasil – *Contato: </w:t>
      </w:r>
      <w:r w:rsidR="0076161A">
        <w:rPr>
          <w:rFonts w:ascii="Arial" w:hAnsi="Arial" w:cs="Arial"/>
          <w:i/>
          <w:iCs/>
          <w:color w:val="auto"/>
          <w:sz w:val="14"/>
          <w:szCs w:val="18"/>
        </w:rPr>
        <w:t>anaalicemartins2309@gmail.com</w:t>
      </w:r>
    </w:p>
    <w:p w:rsidR="00B94C38" w:rsidRDefault="00B13353" w:rsidP="00B94C38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  <w:t>2</w:t>
      </w:r>
      <w:r w:rsidR="00B94C38">
        <w:rPr>
          <w:rFonts w:ascii="Arial" w:hAnsi="Arial" w:cs="Arial"/>
          <w:i/>
          <w:iCs/>
          <w:color w:val="auto"/>
          <w:sz w:val="14"/>
          <w:szCs w:val="18"/>
        </w:rPr>
        <w:t>Professor</w:t>
      </w:r>
      <w:r w:rsidR="009E1858">
        <w:rPr>
          <w:rFonts w:ascii="Arial" w:hAnsi="Arial" w:cs="Arial"/>
          <w:i/>
          <w:iCs/>
          <w:color w:val="auto"/>
          <w:sz w:val="14"/>
          <w:szCs w:val="18"/>
        </w:rPr>
        <w:t xml:space="preserve"> de Medicina Veterinária – </w:t>
      </w:r>
      <w:proofErr w:type="spellStart"/>
      <w:r w:rsidR="009E1858">
        <w:rPr>
          <w:rFonts w:ascii="Arial" w:hAnsi="Arial" w:cs="Arial"/>
          <w:i/>
          <w:iCs/>
          <w:color w:val="auto"/>
          <w:sz w:val="14"/>
          <w:szCs w:val="18"/>
        </w:rPr>
        <w:t>Unibh</w:t>
      </w:r>
      <w:proofErr w:type="spellEnd"/>
      <w:r w:rsidR="009E1858">
        <w:rPr>
          <w:rFonts w:ascii="Arial" w:hAnsi="Arial" w:cs="Arial"/>
          <w:i/>
          <w:iCs/>
          <w:color w:val="auto"/>
          <w:sz w:val="14"/>
          <w:szCs w:val="18"/>
        </w:rPr>
        <w:t xml:space="preserve"> </w:t>
      </w:r>
      <w:r w:rsidR="00B94C38">
        <w:rPr>
          <w:rFonts w:ascii="Arial" w:hAnsi="Arial" w:cs="Arial"/>
          <w:i/>
          <w:iCs/>
          <w:color w:val="auto"/>
          <w:sz w:val="14"/>
          <w:szCs w:val="18"/>
        </w:rPr>
        <w:t>– Belo Horizonte/MG – Brasil</w:t>
      </w:r>
    </w:p>
    <w:p w:rsidR="006A7E7C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:rsidR="003D6782" w:rsidRPr="003D6782" w:rsidRDefault="003D6782" w:rsidP="003D6782">
      <w:pPr>
        <w:rPr>
          <w:rFonts w:ascii="Arial" w:hAnsi="Arial" w:cs="Arial"/>
        </w:rPr>
        <w:sectPr w:rsidR="003D6782" w:rsidRPr="003D6782" w:rsidSect="00130AD3">
          <w:headerReference w:type="default" r:id="rId7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3D6782">
        <w:rPr>
          <w:b/>
          <w:bCs/>
          <w:color w:val="auto"/>
        </w:rPr>
        <w:t>INTRODUÇÃO</w:t>
      </w: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 Leishmaniose Visceral Canina (LVC) apresenta-se como uma doença de </w:t>
      </w:r>
      <w:r>
        <w:rPr>
          <w:rFonts w:ascii="Arial" w:eastAsia="Arial" w:hAnsi="Arial" w:cs="Arial"/>
          <w:sz w:val="18"/>
          <w:szCs w:val="18"/>
        </w:rPr>
        <w:t>caráter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multissistêmico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e evolução importante, principalmente se considerarmos que o cão doméstico é seu principal reservatório e sua prevalência na </w:t>
      </w:r>
      <w:r>
        <w:rPr>
          <w:rFonts w:ascii="Arial" w:eastAsia="Arial" w:hAnsi="Arial" w:cs="Arial"/>
          <w:sz w:val="18"/>
          <w:szCs w:val="18"/>
        </w:rPr>
        <w:t>região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Belo Horizonte e Região Metropolitana é elevada, sendo necessária uma precisão cada vez maior do diagnóstico da doença para obtenção de sucesso terapêutico. Divergências significativas entre os resultados obtidos através de técnicas utilizadas para o diagnóstico da LVC tem sido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relatadas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por vários autores, sendo, atualmente, um importante tópico de debate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3</w:t>
      </w:r>
      <w:r w:rsidR="004C6EF8">
        <w:rPr>
          <w:rFonts w:ascii="Arial" w:eastAsia="Arial" w:hAnsi="Arial" w:cs="Arial"/>
          <w:b/>
          <w:sz w:val="18"/>
          <w:szCs w:val="18"/>
          <w:vertAlign w:val="superscript"/>
        </w:rPr>
        <w:t>,4</w:t>
      </w:r>
      <w:r>
        <w:rPr>
          <w:rFonts w:ascii="Arial" w:eastAsia="Arial" w:hAnsi="Arial" w:cs="Arial"/>
          <w:color w:val="000000"/>
          <w:sz w:val="18"/>
          <w:szCs w:val="18"/>
        </w:rPr>
        <w:t>. Uma sequência diagnóstica incorreta ou mesmo a utilização de métodos de diagnóstico equivocados podem impactar diretamente na terapêutica estabelecida, afetando assim o prognóstico dos animais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2</w:t>
      </w:r>
      <w:r>
        <w:rPr>
          <w:rFonts w:ascii="Arial" w:eastAsia="Arial" w:hAnsi="Arial" w:cs="Arial"/>
          <w:b/>
          <w:color w:val="000000"/>
          <w:sz w:val="18"/>
          <w:szCs w:val="18"/>
          <w:vertAlign w:val="superscript"/>
        </w:rPr>
        <w:t>,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Da mesma forma, uma correta sequência diagnóstica, pode levar à um maior sucesso </w:t>
      </w:r>
      <w:r>
        <w:rPr>
          <w:rFonts w:ascii="Arial" w:eastAsia="Arial" w:hAnsi="Arial" w:cs="Arial"/>
          <w:sz w:val="18"/>
          <w:szCs w:val="18"/>
        </w:rPr>
        <w:t>terapêutico</w:t>
      </w:r>
      <w:r>
        <w:rPr>
          <w:rFonts w:ascii="Arial" w:eastAsia="Arial" w:hAnsi="Arial" w:cs="Arial"/>
          <w:color w:val="000000"/>
          <w:sz w:val="18"/>
          <w:szCs w:val="18"/>
        </w:rPr>
        <w:t>, melhorando significativamente o prognóstico do animal.</w:t>
      </w: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Objetivou-se a realização de um estudo baseado em uma revisão da literatura sobre os métodos diagnósticos da LVC, visando colaborar com os dados já existentes e conscientizar médicos veterinários e estudantes sobre os métodos existentes e sua correta cronologia de execução.</w:t>
      </w:r>
    </w:p>
    <w:p w:rsidR="0088358C" w:rsidRPr="003D6782" w:rsidRDefault="0088358C" w:rsidP="003D6782">
      <w:pPr>
        <w:pStyle w:val="Corpodetexto2"/>
        <w:jc w:val="both"/>
        <w:rPr>
          <w:b/>
          <w:bCs/>
        </w:rPr>
      </w:pPr>
    </w:p>
    <w:p w:rsidR="003D6782" w:rsidRPr="003D6782" w:rsidRDefault="00426503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MATERIAL</w:t>
      </w:r>
      <w:r w:rsidR="001B4CE9">
        <w:rPr>
          <w:b/>
          <w:bCs/>
        </w:rPr>
        <w:t xml:space="preserve"> E MÉTODOS</w:t>
      </w:r>
    </w:p>
    <w:p w:rsidR="00A63DA2" w:rsidRPr="00B8546D" w:rsidRDefault="00B8546D" w:rsidP="00B8546D">
      <w:pPr>
        <w:jc w:val="both"/>
        <w:rPr>
          <w:rFonts w:ascii="Arial" w:hAnsi="Arial" w:cs="Arial"/>
          <w:sz w:val="18"/>
          <w:szCs w:val="18"/>
        </w:rPr>
      </w:pPr>
      <w:r w:rsidRPr="00B8546D">
        <w:rPr>
          <w:rFonts w:ascii="Arial" w:hAnsi="Arial" w:cs="Arial"/>
          <w:color w:val="000000"/>
          <w:sz w:val="18"/>
          <w:szCs w:val="18"/>
        </w:rPr>
        <w:t>O presente trabalho foi desenvolvido a partir de uma revisão bibliográfica de artigos atuais a respei</w:t>
      </w:r>
      <w:r>
        <w:rPr>
          <w:rFonts w:ascii="Arial" w:hAnsi="Arial" w:cs="Arial"/>
          <w:color w:val="000000"/>
          <w:sz w:val="18"/>
          <w:szCs w:val="18"/>
        </w:rPr>
        <w:t>to dos testes de leishmaniose, </w:t>
      </w:r>
      <w:r w:rsidRPr="00B8546D">
        <w:rPr>
          <w:rFonts w:ascii="Arial" w:hAnsi="Arial" w:cs="Arial"/>
          <w:color w:val="000000"/>
          <w:sz w:val="18"/>
          <w:szCs w:val="18"/>
        </w:rPr>
        <w:t xml:space="preserve">escrevendo os pontos mais relevantes desses métodos de diagnóstico para a clínica médica veterinária. As bases de dados científicos utilizadas foram </w:t>
      </w:r>
      <w:proofErr w:type="spellStart"/>
      <w:r w:rsidRPr="00B8546D">
        <w:rPr>
          <w:rFonts w:ascii="Arial" w:hAnsi="Arial" w:cs="Arial"/>
          <w:color w:val="000000"/>
          <w:sz w:val="18"/>
          <w:szCs w:val="18"/>
        </w:rPr>
        <w:t>Pub</w:t>
      </w:r>
      <w:r>
        <w:rPr>
          <w:rFonts w:ascii="Arial" w:hAnsi="Arial" w:cs="Arial"/>
          <w:color w:val="000000"/>
          <w:sz w:val="18"/>
          <w:szCs w:val="18"/>
        </w:rPr>
        <w:t>vet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Google Acadêmico 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SciELO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</w:t>
      </w:r>
      <w:r w:rsidRPr="00B8546D">
        <w:rPr>
          <w:rFonts w:ascii="Arial" w:hAnsi="Arial" w:cs="Arial"/>
          <w:color w:val="000000"/>
          <w:sz w:val="18"/>
          <w:szCs w:val="18"/>
        </w:rPr>
        <w:t>Utilizando as palavras chaves: “</w:t>
      </w:r>
      <w:r w:rsidRPr="00B8546D">
        <w:rPr>
          <w:rFonts w:ascii="Arial" w:hAnsi="Arial" w:cs="Arial"/>
          <w:iCs/>
          <w:color w:val="222222"/>
          <w:sz w:val="18"/>
          <w:szCs w:val="18"/>
        </w:rPr>
        <w:t>leishmaniose visceral canina”, “diagnóstico”, “exames”.</w:t>
      </w:r>
      <w:r>
        <w:rPr>
          <w:rFonts w:ascii="Arial" w:hAnsi="Arial" w:cs="Arial"/>
          <w:iCs/>
          <w:color w:val="222222"/>
          <w:sz w:val="18"/>
          <w:szCs w:val="18"/>
        </w:rPr>
        <w:t xml:space="preserve"> </w:t>
      </w:r>
      <w:r w:rsidRPr="00B8546D">
        <w:rPr>
          <w:rFonts w:ascii="Arial" w:hAnsi="Arial" w:cs="Arial"/>
          <w:color w:val="000000"/>
          <w:sz w:val="18"/>
          <w:szCs w:val="18"/>
        </w:rPr>
        <w:t>Os artigos apresentavam data de publicação entre 2002 e 2019, nos idiomas português e inglês.</w:t>
      </w:r>
    </w:p>
    <w:p w:rsidR="001B4CE9" w:rsidRDefault="001B4CE9" w:rsidP="003D6782">
      <w:pPr>
        <w:jc w:val="both"/>
        <w:rPr>
          <w:rFonts w:ascii="Arial" w:hAnsi="Arial" w:cs="Arial"/>
          <w:sz w:val="18"/>
        </w:rPr>
      </w:pPr>
    </w:p>
    <w:p w:rsidR="001B4CE9" w:rsidRPr="001B4CE9" w:rsidRDefault="001B4CE9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REVISÃO DE LITERATURA</w:t>
      </w: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Dentre os testes disponíveis para o diagnóstico da LVC, podemos destacar os testes sorológicos, como o </w:t>
      </w:r>
      <w:r>
        <w:rPr>
          <w:rFonts w:ascii="Arial" w:eastAsia="Arial" w:hAnsi="Arial" w:cs="Arial"/>
          <w:color w:val="222222"/>
          <w:sz w:val="18"/>
          <w:szCs w:val="18"/>
        </w:rPr>
        <w:t xml:space="preserve">ELISA (ensaio </w:t>
      </w:r>
      <w:proofErr w:type="spellStart"/>
      <w:r>
        <w:rPr>
          <w:rFonts w:ascii="Arial" w:eastAsia="Arial" w:hAnsi="Arial" w:cs="Arial"/>
          <w:color w:val="222222"/>
          <w:sz w:val="18"/>
          <w:szCs w:val="18"/>
        </w:rPr>
        <w:t>imunoenzimático</w:t>
      </w:r>
      <w:proofErr w:type="spellEnd"/>
      <w:r>
        <w:rPr>
          <w:rFonts w:ascii="Arial" w:eastAsia="Arial" w:hAnsi="Arial" w:cs="Arial"/>
          <w:color w:val="222222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 o RIFI (</w:t>
      </w:r>
      <w:r>
        <w:rPr>
          <w:rFonts w:ascii="Arial" w:eastAsia="Arial" w:hAnsi="Arial" w:cs="Arial"/>
          <w:color w:val="222222"/>
          <w:sz w:val="18"/>
          <w:szCs w:val="18"/>
        </w:rPr>
        <w:t xml:space="preserve">reação de </w:t>
      </w:r>
      <w:proofErr w:type="spellStart"/>
      <w:r>
        <w:rPr>
          <w:rFonts w:ascii="Arial" w:eastAsia="Arial" w:hAnsi="Arial" w:cs="Arial"/>
          <w:color w:val="222222"/>
          <w:sz w:val="18"/>
          <w:szCs w:val="18"/>
        </w:rPr>
        <w:t>imunofluorescência</w:t>
      </w:r>
      <w:proofErr w:type="spellEnd"/>
      <w:r>
        <w:rPr>
          <w:rFonts w:ascii="Arial" w:eastAsia="Arial" w:hAnsi="Arial" w:cs="Arial"/>
          <w:color w:val="222222"/>
          <w:sz w:val="18"/>
          <w:szCs w:val="18"/>
        </w:rPr>
        <w:t xml:space="preserve"> indireta); </w:t>
      </w:r>
      <w:r>
        <w:rPr>
          <w:rFonts w:ascii="Arial" w:eastAsia="Arial" w:hAnsi="Arial" w:cs="Arial"/>
          <w:color w:val="000000"/>
          <w:sz w:val="18"/>
          <w:szCs w:val="18"/>
        </w:rPr>
        <w:t>os parasitológicos, como a identificação direta de parasitas na microscopia e o IMIQ (</w:t>
      </w:r>
      <w:r>
        <w:rPr>
          <w:rFonts w:ascii="Arial" w:eastAsia="Arial" w:hAnsi="Arial" w:cs="Arial"/>
          <w:color w:val="222222"/>
          <w:sz w:val="18"/>
          <w:szCs w:val="18"/>
        </w:rPr>
        <w:t xml:space="preserve">técnica de </w:t>
      </w:r>
      <w:proofErr w:type="spellStart"/>
      <w:r>
        <w:rPr>
          <w:rFonts w:ascii="Arial" w:eastAsia="Arial" w:hAnsi="Arial" w:cs="Arial"/>
          <w:color w:val="222222"/>
          <w:sz w:val="18"/>
          <w:szCs w:val="18"/>
        </w:rPr>
        <w:t>imunohistoquímica</w:t>
      </w:r>
      <w:proofErr w:type="spellEnd"/>
      <w:r>
        <w:rPr>
          <w:rFonts w:ascii="Arial" w:eastAsia="Arial" w:hAnsi="Arial" w:cs="Arial"/>
          <w:color w:val="222222"/>
          <w:sz w:val="18"/>
          <w:szCs w:val="18"/>
        </w:rPr>
        <w:t>); além dos testes moleculares como o PCR (reação em cadeia da polimerase)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3</w:t>
      </w:r>
      <w:r>
        <w:rPr>
          <w:rFonts w:ascii="Arial" w:eastAsia="Arial" w:hAnsi="Arial" w:cs="Arial"/>
          <w:b/>
          <w:color w:val="000000"/>
          <w:sz w:val="18"/>
          <w:szCs w:val="18"/>
          <w:vertAlign w:val="superscript"/>
        </w:rPr>
        <w:t>,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222222"/>
          <w:sz w:val="18"/>
          <w:szCs w:val="18"/>
        </w:rPr>
        <w:t>Os testes mais comuns de diagnóstico estão representados pela figura 1.</w:t>
      </w: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A90D5D2" wp14:editId="4167990E">
            <wp:simplePos x="0" y="0"/>
            <wp:positionH relativeFrom="column">
              <wp:posOffset>712362</wp:posOffset>
            </wp:positionH>
            <wp:positionV relativeFrom="paragraph">
              <wp:posOffset>5811</wp:posOffset>
            </wp:positionV>
            <wp:extent cx="1837055" cy="1017905"/>
            <wp:effectExtent l="0" t="0" r="0" b="0"/>
            <wp:wrapSquare wrapText="bothSides" distT="0" distB="0" distL="114300" distR="114300"/>
            <wp:docPr id="4" name="image2.jpg" descr="C:\Users\aninh\Downloads\WhatsApp Image 2020-09-23 at 11.02.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ninh\Downloads\WhatsApp Image 2020-09-23 at 11.02.54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017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858" w:rsidRDefault="009E1858" w:rsidP="009E1858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9E1858" w:rsidRDefault="009E1858" w:rsidP="009E1858">
      <w:pPr>
        <w:jc w:val="both"/>
        <w:rPr>
          <w:rFonts w:ascii="Arial" w:eastAsia="Arial" w:hAnsi="Arial" w:cs="Arial"/>
          <w:b/>
          <w:sz w:val="18"/>
          <w:szCs w:val="18"/>
        </w:rPr>
      </w:pPr>
    </w:p>
    <w:p w:rsidR="009E1858" w:rsidRDefault="009E1858" w:rsidP="009E1858">
      <w:pPr>
        <w:jc w:val="both"/>
        <w:rPr>
          <w:rFonts w:ascii="Arial" w:eastAsia="Arial" w:hAnsi="Arial" w:cs="Arial"/>
          <w:b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      </w:t>
      </w:r>
    </w:p>
    <w:p w:rsidR="009E1858" w:rsidRDefault="009E1858" w:rsidP="004C6EF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Figura 1: </w:t>
      </w:r>
      <w:r>
        <w:rPr>
          <w:rFonts w:ascii="Arial" w:eastAsia="Arial" w:hAnsi="Arial" w:cs="Arial"/>
          <w:color w:val="222222"/>
          <w:sz w:val="18"/>
          <w:szCs w:val="18"/>
        </w:rPr>
        <w:t>Métodos de diagnóstico mais comuns para LVC.</w:t>
      </w:r>
      <w:r>
        <w:rPr>
          <w:rFonts w:ascii="Arial" w:eastAsia="Arial" w:hAnsi="Arial" w:cs="Arial"/>
          <w:sz w:val="18"/>
          <w:szCs w:val="18"/>
        </w:rPr>
        <w:t xml:space="preserve"> Adaptado de SOLANO, GALLEGO et al. (2011).</w:t>
      </w:r>
    </w:p>
    <w:p w:rsidR="009E1858" w:rsidRDefault="009E1858" w:rsidP="009E1858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Os testes sorológicos são utilizados para a detecção de anticorpos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anti-Leishmania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, sendo mais rotineiramente empregados para triagem devido a sua praticidade, baixo custo</w:t>
      </w:r>
      <w:r>
        <w:rPr>
          <w:rFonts w:ascii="Arial" w:eastAsia="Arial" w:hAnsi="Arial" w:cs="Arial"/>
          <w:color w:val="222222"/>
          <w:sz w:val="18"/>
          <w:szCs w:val="18"/>
        </w:rPr>
        <w:t>, sensibilidade variável e especificidade baixa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3</w:t>
      </w:r>
      <w:r>
        <w:rPr>
          <w:rFonts w:ascii="Arial" w:eastAsia="Arial" w:hAnsi="Arial" w:cs="Arial"/>
          <w:b/>
          <w:color w:val="000000"/>
          <w:sz w:val="18"/>
          <w:szCs w:val="18"/>
          <w:vertAlign w:val="superscript"/>
        </w:rPr>
        <w:t>,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>. Fornecem resultados rápidos e são amplamente empregados nas clínicas médico veterinárias para o diagnóstico da LVC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2</w:t>
      </w:r>
      <w:r>
        <w:rPr>
          <w:rFonts w:ascii="Arial" w:eastAsia="Arial" w:hAnsi="Arial" w:cs="Arial"/>
          <w:b/>
          <w:color w:val="000000"/>
          <w:sz w:val="18"/>
          <w:szCs w:val="18"/>
          <w:vertAlign w:val="superscript"/>
        </w:rPr>
        <w:t>,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Apesar das vantagens, </w:t>
      </w:r>
      <w:r w:rsidR="004C6EF8">
        <w:rPr>
          <w:rFonts w:ascii="Arial" w:eastAsia="Arial" w:hAnsi="Arial" w:cs="Arial"/>
          <w:color w:val="000000"/>
          <w:sz w:val="18"/>
          <w:szCs w:val="18"/>
        </w:rPr>
        <w:t>os métodos sorológicos apresentam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limitações importantes, principalmente relacionadas à sua sensibilidade variável e diferenças entre o tempo de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soroconversão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dos animais, dificultando o diagnóstico definitivo da infecção por LVC, principalmente em cães assintomáticos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Os testes sorológicos podem também apresentar reatividade inespecífica com outras infecções, tais como as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hemoparasitoses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causadas por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B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color w:val="000000"/>
          <w:sz w:val="18"/>
          <w:szCs w:val="18"/>
        </w:rPr>
        <w:t>besia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canis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ou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Erlichia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canis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Os testes parasitológicos possuem técnica baseada na identificação direta do parasita por meio d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microscopia e a partir de tecidos sabidamente infectados</w:t>
      </w:r>
      <w:r>
        <w:rPr>
          <w:rFonts w:ascii="Arial" w:eastAsia="Arial" w:hAnsi="Arial" w:cs="Arial"/>
          <w:sz w:val="18"/>
          <w:szCs w:val="18"/>
        </w:rPr>
        <w:t xml:space="preserve"> como exemplo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medula óssea, os linfonodos, as lesões de pele ou mesmo sangue periférico, sendo considerados de alto padrão de confiabilidade no diagnóstico de LVC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No entanto apresenta a desvantagem de a sensibilidade poder ser reduzida, variando de acordo com a experiência do patologista e também o grau de parasitismo (assintomáticos 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oligossintomáticos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tendem a possuir menos parasitas)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vertAlign w:val="superscript"/>
        </w:rPr>
      </w:pPr>
      <w:r>
        <w:rPr>
          <w:rFonts w:ascii="Arial" w:eastAsia="Arial" w:hAnsi="Arial" w:cs="Arial"/>
          <w:color w:val="222222"/>
          <w:sz w:val="18"/>
          <w:szCs w:val="18"/>
        </w:rPr>
        <w:t>Como forma diagnóstica mais sensível, existem os testes moleculares, sendo baseados na detecção do material genético do parasita. Seu principal representante é a Reação em Cadeia da Polimerase (PCR). Para tanto, são utilizadas amostras colhidas a partir de tecidos, sangue, fluidos corporais e aspirados medulares ou de linfonodos dos animais suspeitos. A PCR é atualmente a técnica mais sensível e específica, sendo o melhor padrão, em conjunto com a identificação direta do parasita, para o diagnóstico da LVC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3</w:t>
      </w:r>
      <w:r>
        <w:rPr>
          <w:rFonts w:ascii="Arial" w:eastAsia="Arial" w:hAnsi="Arial" w:cs="Arial"/>
          <w:color w:val="222222"/>
          <w:sz w:val="18"/>
          <w:szCs w:val="18"/>
        </w:rPr>
        <w:t>. No entanto existe a desvantagem de ainda ser uma técnica onerosa, não fazendo parte da rotina de muitos laboratórios e clínicas veterinárias. Considerando este cenário, foi proposta uma sequência diagnóstica demonstrada pela figura 2, a partir dos estudos propostos pelo Brasileish</w:t>
      </w:r>
      <w:r>
        <w:rPr>
          <w:rFonts w:ascii="Arial" w:eastAsia="Arial" w:hAnsi="Arial" w:cs="Arial"/>
          <w:b/>
          <w:sz w:val="18"/>
          <w:szCs w:val="18"/>
          <w:vertAlign w:val="superscript"/>
        </w:rPr>
        <w:t>1</w:t>
      </w:r>
      <w:r>
        <w:rPr>
          <w:rFonts w:ascii="Arial" w:eastAsia="Arial" w:hAnsi="Arial" w:cs="Arial"/>
          <w:color w:val="222222"/>
          <w:sz w:val="18"/>
          <w:szCs w:val="18"/>
        </w:rPr>
        <w:t xml:space="preserve">, a qual são empregadas as diversas técnicas existentes de maneira otimizada, de modo a sugerir um fluxograma diagnóstico acurado, auxiliando assim os médicos veterinários e aumentando efetivamente a probabilidade de sucesso terapêutico. </w:t>
      </w:r>
    </w:p>
    <w:p w:rsidR="009E1858" w:rsidRDefault="009E1858" w:rsidP="009E1858">
      <w:pPr>
        <w:jc w:val="both"/>
        <w:rPr>
          <w:rFonts w:ascii="Arial" w:eastAsia="Arial" w:hAnsi="Arial" w:cs="Arial"/>
          <w:sz w:val="18"/>
          <w:szCs w:val="18"/>
        </w:rPr>
      </w:pPr>
    </w:p>
    <w:p w:rsidR="009E1858" w:rsidRDefault="009E1858" w:rsidP="009E1858">
      <w:pP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114300" distB="114300" distL="114300" distR="114300" wp14:anchorId="3E6777AA" wp14:editId="22669CD6">
            <wp:extent cx="2467155" cy="1121434"/>
            <wp:effectExtent l="0" t="0" r="9525" b="254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31154" t="35645" r="5050" b="10206"/>
                    <a:stretch>
                      <a:fillRect/>
                    </a:stretch>
                  </pic:blipFill>
                  <pic:spPr>
                    <a:xfrm>
                      <a:off x="0" y="0"/>
                      <a:ext cx="2472232" cy="1123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1858" w:rsidRDefault="009E1858" w:rsidP="009E1858">
      <w:pPr>
        <w:rPr>
          <w:rFonts w:ascii="Arial" w:eastAsia="Arial" w:hAnsi="Arial" w:cs="Arial"/>
          <w:color w:val="000000"/>
          <w:sz w:val="18"/>
          <w:szCs w:val="18"/>
        </w:rPr>
      </w:pPr>
    </w:p>
    <w:p w:rsidR="009E1858" w:rsidRDefault="009E1858" w:rsidP="009E185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18"/>
          <w:szCs w:val="18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  <w:sz w:val="18"/>
          <w:szCs w:val="18"/>
        </w:rPr>
        <w:t>Figura 2:</w:t>
      </w:r>
      <w:r>
        <w:rPr>
          <w:rFonts w:ascii="Arial" w:eastAsia="Arial" w:hAnsi="Arial" w:cs="Arial"/>
          <w:color w:val="222222"/>
          <w:sz w:val="18"/>
          <w:szCs w:val="18"/>
        </w:rPr>
        <w:t xml:space="preserve"> Fluxograma para a abordagem diagnóstica em cães com suspeita de sinais clínicos e / ou anormalidades clínico-patológicas consistente com LVC. </w:t>
      </w:r>
      <w:r>
        <w:rPr>
          <w:rFonts w:ascii="Arial" w:eastAsia="Arial" w:hAnsi="Arial" w:cs="Arial"/>
          <w:sz w:val="18"/>
          <w:szCs w:val="18"/>
        </w:rPr>
        <w:t>Adaptado de SOLANO, GALLEGO et al. (2011).</w:t>
      </w:r>
    </w:p>
    <w:p w:rsidR="009E1858" w:rsidRDefault="009E1858" w:rsidP="009E1858">
      <w:pPr>
        <w:jc w:val="center"/>
        <w:rPr>
          <w:rFonts w:ascii="Arial" w:eastAsia="Arial" w:hAnsi="Arial" w:cs="Arial"/>
          <w:sz w:val="18"/>
          <w:szCs w:val="18"/>
        </w:rPr>
      </w:pPr>
    </w:p>
    <w:p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3D6782">
        <w:rPr>
          <w:b/>
          <w:bCs/>
        </w:rPr>
        <w:t>CON</w:t>
      </w:r>
      <w:r w:rsidR="00073A0F">
        <w:rPr>
          <w:b/>
          <w:bCs/>
        </w:rPr>
        <w:t>SIDERAÇÕES FINAIS</w:t>
      </w:r>
    </w:p>
    <w:p w:rsidR="009E1858" w:rsidRPr="004C6EF8" w:rsidRDefault="004C6EF8" w:rsidP="004C6E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  <w:highlight w:val="white"/>
        </w:rPr>
      </w:pPr>
      <w:r w:rsidRPr="004C6EF8">
        <w:rPr>
          <w:rFonts w:ascii="Arial" w:hAnsi="Arial" w:cs="Arial"/>
          <w:sz w:val="18"/>
          <w:szCs w:val="18"/>
          <w:shd w:val="clear" w:color="auto" w:fill="FFFFFF"/>
        </w:rPr>
        <w:t>Devido à grande dispo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nibilidade de testes </w:t>
      </w:r>
      <w:r w:rsidRPr="004C6EF8">
        <w:rPr>
          <w:rFonts w:ascii="Arial" w:hAnsi="Arial" w:cs="Arial"/>
          <w:sz w:val="18"/>
          <w:szCs w:val="18"/>
          <w:shd w:val="clear" w:color="auto" w:fill="FFFFFF"/>
        </w:rPr>
        <w:t xml:space="preserve">e o grande impacto que a doença apresenta em saúde pública, </w:t>
      </w:r>
      <w:r w:rsidRPr="004C6EF8">
        <w:rPr>
          <w:rFonts w:ascii="Arial" w:hAnsi="Arial" w:cs="Arial"/>
          <w:sz w:val="18"/>
          <w:szCs w:val="18"/>
          <w:shd w:val="clear" w:color="auto" w:fill="FFFFFF"/>
        </w:rPr>
        <w:t>a correta</w:t>
      </w:r>
      <w:r w:rsidR="009E1858" w:rsidRPr="004C6EF8">
        <w:rPr>
          <w:rFonts w:ascii="Arial" w:eastAsia="Arial" w:hAnsi="Arial" w:cs="Arial"/>
          <w:sz w:val="18"/>
          <w:szCs w:val="18"/>
        </w:rPr>
        <w:t xml:space="preserve"> abordagem, hierarquizando os testes existentes e sua sequência de execução é de extrema importância para o diagnóstico da LVC.</w:t>
      </w:r>
    </w:p>
    <w:p w:rsidR="009E1858" w:rsidRPr="004C6EF8" w:rsidRDefault="009E1858" w:rsidP="004C6E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  <w:highlight w:val="white"/>
        </w:rPr>
      </w:pPr>
      <w:r w:rsidRPr="004C6EF8">
        <w:rPr>
          <w:rFonts w:ascii="Arial" w:eastAsia="Arial" w:hAnsi="Arial" w:cs="Arial"/>
          <w:sz w:val="18"/>
          <w:szCs w:val="18"/>
          <w:highlight w:val="white"/>
        </w:rPr>
        <w:t>Além disso, a atualização do médico veterinário e a difusão dos estudos encontrados na literatura colaboram com o sucesso no diagnóstico, influindo também no prognóstico do animal.</w:t>
      </w:r>
    </w:p>
    <w:p w:rsidR="003D6782" w:rsidRDefault="003D6782" w:rsidP="003D6782">
      <w:pPr>
        <w:jc w:val="both"/>
        <w:rPr>
          <w:rFonts w:ascii="Arial" w:hAnsi="Arial" w:cs="Arial"/>
          <w:sz w:val="18"/>
        </w:rPr>
      </w:pPr>
    </w:p>
    <w:p w:rsidR="003D6782" w:rsidRPr="003D6782" w:rsidRDefault="00CD3E24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REFERÊNCIAS BIBLIOGRÁFICAS</w:t>
      </w:r>
      <w:bookmarkStart w:id="1" w:name="_GoBack"/>
      <w:bookmarkEnd w:id="1"/>
    </w:p>
    <w:p w:rsidR="00842425" w:rsidRPr="005864D4" w:rsidRDefault="00842425" w:rsidP="003D6782">
      <w:pPr>
        <w:jc w:val="center"/>
        <w:rPr>
          <w:rFonts w:ascii="Arial" w:hAnsi="Arial" w:cs="Arial"/>
          <w:b/>
          <w:sz w:val="18"/>
        </w:rPr>
      </w:pPr>
    </w:p>
    <w:p w:rsidR="00D73006" w:rsidRDefault="00D73006" w:rsidP="00786257">
      <w:pPr>
        <w:jc w:val="center"/>
        <w:rPr>
          <w:rFonts w:ascii="Arial" w:hAnsi="Arial" w:cs="Arial"/>
          <w:b/>
          <w:noProof/>
          <w:sz w:val="18"/>
        </w:rPr>
      </w:pPr>
    </w:p>
    <w:p w:rsidR="00786257" w:rsidRPr="00786257" w:rsidRDefault="00CC0422" w:rsidP="00786257">
      <w:pPr>
        <w:jc w:val="center"/>
        <w:rPr>
          <w:rFonts w:ascii="Arial" w:hAnsi="Arial" w:cs="Arial"/>
          <w:b/>
          <w:sz w:val="1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7FF183C" wp14:editId="20518FB7">
            <wp:simplePos x="0" y="0"/>
            <wp:positionH relativeFrom="margin">
              <wp:align>right</wp:align>
            </wp:positionH>
            <wp:positionV relativeFrom="paragraph">
              <wp:posOffset>589544</wp:posOffset>
            </wp:positionV>
            <wp:extent cx="643255" cy="241935"/>
            <wp:effectExtent l="0" t="0" r="4445" b="5715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241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006" w:rsidRPr="00D73006">
        <w:rPr>
          <w:rFonts w:ascii="Arial" w:hAnsi="Arial" w:cs="Arial"/>
          <w:b/>
          <w:noProof/>
          <w:sz w:val="18"/>
        </w:rPr>
        <w:drawing>
          <wp:inline distT="0" distB="0" distL="0" distR="0">
            <wp:extent cx="720000" cy="720000"/>
            <wp:effectExtent l="0" t="0" r="4445" b="4445"/>
            <wp:docPr id="1" name="Imagem 1" descr="C:\Users\aninh\Downloads\Meu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nh\Downloads\Meu_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9179" r="9459" b="9204"/>
                    <a:stretch/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82" w:rsidRPr="00626EC3" w:rsidRDefault="003D6782" w:rsidP="003D6782">
      <w:pPr>
        <w:jc w:val="center"/>
        <w:rPr>
          <w:rFonts w:ascii="Arial" w:hAnsi="Arial" w:cs="Arial"/>
          <w:b/>
          <w:sz w:val="14"/>
        </w:rPr>
      </w:pPr>
    </w:p>
    <w:sectPr w:rsidR="003D6782" w:rsidRPr="00626EC3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2C4" w:rsidRDefault="007E72C4" w:rsidP="00522953">
      <w:r>
        <w:separator/>
      </w:r>
    </w:p>
  </w:endnote>
  <w:endnote w:type="continuationSeparator" w:id="0">
    <w:p w:rsidR="007E72C4" w:rsidRDefault="007E72C4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2C4" w:rsidRDefault="007E72C4" w:rsidP="00522953">
      <w:r>
        <w:separator/>
      </w:r>
    </w:p>
  </w:footnote>
  <w:footnote w:type="continuationSeparator" w:id="0">
    <w:p w:rsidR="007E72C4" w:rsidRDefault="007E72C4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AD3" w:rsidRPr="00130AD3" w:rsidRDefault="00D06562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5" name="Imagem 1" descr="coloqu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oqu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12E">
      <w:rPr>
        <w:rFonts w:ascii="Arial Rounded MT Bold" w:eastAsia="Arial Unicode MS" w:hAnsi="Arial Rounded MT Bold" w:cs="Arial Unicode MS"/>
        <w:color w:val="002060"/>
        <w:sz w:val="28"/>
      </w:rPr>
      <w:t>V</w:t>
    </w:r>
    <w:r w:rsidR="00130AD3"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:rsidR="006A7E7C" w:rsidRPr="00130AD3" w:rsidRDefault="00130AD3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82"/>
    <w:rsid w:val="00017875"/>
    <w:rsid w:val="00024705"/>
    <w:rsid w:val="0007204F"/>
    <w:rsid w:val="00073A0F"/>
    <w:rsid w:val="000B50B8"/>
    <w:rsid w:val="000D2072"/>
    <w:rsid w:val="00130AD3"/>
    <w:rsid w:val="00134721"/>
    <w:rsid w:val="001A5193"/>
    <w:rsid w:val="001A5C84"/>
    <w:rsid w:val="001B4CE9"/>
    <w:rsid w:val="001D1699"/>
    <w:rsid w:val="001D1C3F"/>
    <w:rsid w:val="00242601"/>
    <w:rsid w:val="0024512E"/>
    <w:rsid w:val="00271C35"/>
    <w:rsid w:val="00285B52"/>
    <w:rsid w:val="00295A0F"/>
    <w:rsid w:val="002C1780"/>
    <w:rsid w:val="002D6B21"/>
    <w:rsid w:val="002E5DFD"/>
    <w:rsid w:val="002F1618"/>
    <w:rsid w:val="00305F4B"/>
    <w:rsid w:val="00343752"/>
    <w:rsid w:val="00367676"/>
    <w:rsid w:val="00371AD9"/>
    <w:rsid w:val="00377D81"/>
    <w:rsid w:val="0039126C"/>
    <w:rsid w:val="003D6782"/>
    <w:rsid w:val="003F132E"/>
    <w:rsid w:val="00411A99"/>
    <w:rsid w:val="00426503"/>
    <w:rsid w:val="004C6EF8"/>
    <w:rsid w:val="00522953"/>
    <w:rsid w:val="00562F2A"/>
    <w:rsid w:val="005773A1"/>
    <w:rsid w:val="005864D4"/>
    <w:rsid w:val="006111A2"/>
    <w:rsid w:val="00615BEE"/>
    <w:rsid w:val="00616238"/>
    <w:rsid w:val="00626EC3"/>
    <w:rsid w:val="006712EC"/>
    <w:rsid w:val="0067418F"/>
    <w:rsid w:val="006A7E7C"/>
    <w:rsid w:val="006E2BF3"/>
    <w:rsid w:val="006E5A25"/>
    <w:rsid w:val="00716350"/>
    <w:rsid w:val="00717CB1"/>
    <w:rsid w:val="0076161A"/>
    <w:rsid w:val="00786257"/>
    <w:rsid w:val="007A1EE5"/>
    <w:rsid w:val="007A6765"/>
    <w:rsid w:val="007C3386"/>
    <w:rsid w:val="007E72C4"/>
    <w:rsid w:val="007F4630"/>
    <w:rsid w:val="00836C55"/>
    <w:rsid w:val="00842425"/>
    <w:rsid w:val="0088358C"/>
    <w:rsid w:val="008C2595"/>
    <w:rsid w:val="00907773"/>
    <w:rsid w:val="009E1858"/>
    <w:rsid w:val="00A212C6"/>
    <w:rsid w:val="00A63DA2"/>
    <w:rsid w:val="00A650D4"/>
    <w:rsid w:val="00A71895"/>
    <w:rsid w:val="00A95EDE"/>
    <w:rsid w:val="00AA68C8"/>
    <w:rsid w:val="00B13353"/>
    <w:rsid w:val="00B8546D"/>
    <w:rsid w:val="00B94C38"/>
    <w:rsid w:val="00C15B7B"/>
    <w:rsid w:val="00C52E0A"/>
    <w:rsid w:val="00C81831"/>
    <w:rsid w:val="00CC0422"/>
    <w:rsid w:val="00CD3E24"/>
    <w:rsid w:val="00D06562"/>
    <w:rsid w:val="00D26400"/>
    <w:rsid w:val="00D73006"/>
    <w:rsid w:val="00ED3F07"/>
    <w:rsid w:val="00EE1D93"/>
    <w:rsid w:val="00F1155C"/>
    <w:rsid w:val="00F13307"/>
    <w:rsid w:val="00F47AFA"/>
    <w:rsid w:val="00F81D04"/>
    <w:rsid w:val="00F95082"/>
    <w:rsid w:val="00FB0B36"/>
    <w:rsid w:val="00FC4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1664A"/>
  <w15:docId w15:val="{6393A546-2B92-4D8A-AB6B-34FB5EEB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C1780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36C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36C55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3F5F9-A164-4F20-8823-A5C0A2B04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895</Words>
  <Characters>4839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 Sadanã</dc:creator>
  <cp:keywords/>
  <dc:description/>
  <cp:lastModifiedBy>aninh</cp:lastModifiedBy>
  <cp:revision>3</cp:revision>
  <dcterms:created xsi:type="dcterms:W3CDTF">2020-10-23T12:17:00Z</dcterms:created>
  <dcterms:modified xsi:type="dcterms:W3CDTF">2020-10-23T12:53:00Z</dcterms:modified>
</cp:coreProperties>
</file>