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DC0" w:rsidRDefault="003C1F3A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PARALISIA DO CARRAPATO EM CÃES: REVISÃO DE LITERATURA</w:t>
      </w:r>
    </w:p>
    <w:p w:rsidR="004C2DC0" w:rsidRDefault="003C1F3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Daniel da Silva Rodrigues</w:t>
      </w:r>
      <w:r>
        <w:rPr>
          <w:rFonts w:ascii="Arial" w:eastAsia="Arial" w:hAnsi="Arial" w:cs="Arial"/>
          <w:b/>
          <w:vertAlign w:val="superscript"/>
        </w:rPr>
        <w:t>1*</w:t>
      </w:r>
      <w:r>
        <w:rPr>
          <w:rFonts w:ascii="Arial" w:eastAsia="Arial" w:hAnsi="Arial" w:cs="Arial"/>
          <w:b/>
        </w:rPr>
        <w:t xml:space="preserve">, Jade </w:t>
      </w:r>
      <w:proofErr w:type="spellStart"/>
      <w:r>
        <w:rPr>
          <w:rFonts w:ascii="Arial" w:eastAsia="Arial" w:hAnsi="Arial" w:cs="Arial"/>
          <w:b/>
        </w:rPr>
        <w:t>Caproni</w:t>
      </w:r>
      <w:proofErr w:type="spellEnd"/>
      <w:r>
        <w:rPr>
          <w:rFonts w:ascii="Arial" w:eastAsia="Arial" w:hAnsi="Arial" w:cs="Arial"/>
          <w:b/>
        </w:rPr>
        <w:t xml:space="preserve"> Corrêa¹, Jéssica Oliveira Pereira da Cruz¹, Natália dos Anjos Pinto¹, </w:t>
      </w:r>
      <w:proofErr w:type="spellStart"/>
      <w:r>
        <w:rPr>
          <w:rFonts w:ascii="Arial" w:eastAsia="Arial" w:hAnsi="Arial" w:cs="Arial"/>
          <w:b/>
        </w:rPr>
        <w:t>Ranielle</w:t>
      </w:r>
      <w:proofErr w:type="spellEnd"/>
      <w:r>
        <w:rPr>
          <w:rFonts w:ascii="Arial" w:eastAsia="Arial" w:hAnsi="Arial" w:cs="Arial"/>
          <w:b/>
        </w:rPr>
        <w:t xml:space="preserve"> Stephanie Toledo Santana¹, Eliane Gonçalves de Melo</w:t>
      </w:r>
      <w:r>
        <w:rPr>
          <w:rFonts w:ascii="Arial" w:eastAsia="Arial" w:hAnsi="Arial" w:cs="Arial"/>
          <w:b/>
          <w:vertAlign w:val="superscript"/>
        </w:rPr>
        <w:t>2</w:t>
      </w:r>
      <w:r>
        <w:rPr>
          <w:rFonts w:ascii="Arial" w:eastAsia="Arial" w:hAnsi="Arial" w:cs="Arial"/>
          <w:b/>
        </w:rPr>
        <w:t>.</w:t>
      </w:r>
    </w:p>
    <w:p w:rsidR="004C2DC0" w:rsidRDefault="003C1F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U</w:t>
      </w:r>
      <w:r>
        <w:rPr>
          <w:rFonts w:ascii="Arial" w:eastAsia="Arial" w:hAnsi="Arial" w:cs="Arial"/>
          <w:i/>
          <w:sz w:val="14"/>
          <w:szCs w:val="14"/>
        </w:rPr>
        <w:t xml:space="preserve">FMG </w:t>
      </w:r>
      <w:r>
        <w:rPr>
          <w:rFonts w:ascii="Arial" w:eastAsia="Arial" w:hAnsi="Arial" w:cs="Arial"/>
          <w:i/>
          <w:color w:val="000000"/>
          <w:sz w:val="14"/>
          <w:szCs w:val="14"/>
        </w:rPr>
        <w:t>– Belo Horizonte/MG – Brasil - Contato: danielrodrigues1998@hotmail.com</w:t>
      </w:r>
    </w:p>
    <w:p w:rsidR="004C2DC0" w:rsidRDefault="003C1F3A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proofErr w:type="gramStart"/>
      <w:r>
        <w:rPr>
          <w:rFonts w:ascii="Arial" w:eastAsia="Arial" w:hAnsi="Arial" w:cs="Arial"/>
          <w:i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Professora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de Medicina Veterinária – </w:t>
      </w:r>
      <w:r>
        <w:rPr>
          <w:rFonts w:ascii="Arial" w:eastAsia="Arial" w:hAnsi="Arial" w:cs="Arial"/>
          <w:i/>
          <w:sz w:val="14"/>
          <w:szCs w:val="14"/>
        </w:rPr>
        <w:t>UFMG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</w:t>
      </w:r>
    </w:p>
    <w:p w:rsidR="004C2DC0" w:rsidRDefault="004C2D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  <w:bookmarkStart w:id="0" w:name="_gjdgxs" w:colFirst="0" w:colLast="0"/>
      <w:bookmarkEnd w:id="0"/>
    </w:p>
    <w:p w:rsidR="004C2DC0" w:rsidRDefault="004C2DC0">
      <w:pPr>
        <w:rPr>
          <w:rFonts w:ascii="Arial" w:eastAsia="Arial" w:hAnsi="Arial" w:cs="Arial"/>
        </w:rPr>
        <w:sectPr w:rsidR="004C2DC0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:rsidR="004C2DC0" w:rsidRDefault="003C1F3A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:rsidR="004C2DC0" w:rsidRDefault="003C1F3A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Os carrapatos são ectoparasitas de grande importância na medicina veterinária, atuando como vetores de diversos patógenos. Algumas espécies podem inocular neurotoxinas em seu hospedeiro, induzindo rapidamente uma paralisia motora flácida e ascendente. Inúm</w:t>
      </w:r>
      <w:r>
        <w:rPr>
          <w:rFonts w:ascii="Arial" w:eastAsia="Arial" w:hAnsi="Arial" w:cs="Arial"/>
          <w:sz w:val="18"/>
          <w:szCs w:val="18"/>
        </w:rPr>
        <w:t xml:space="preserve">eras espécies animais podem ser acometidas, dentre elas destacando-se bovinos, cães e </w:t>
      </w:r>
      <w:proofErr w:type="gramStart"/>
      <w:r>
        <w:rPr>
          <w:rFonts w:ascii="Arial" w:eastAsia="Arial" w:hAnsi="Arial" w:cs="Arial"/>
          <w:sz w:val="18"/>
          <w:szCs w:val="18"/>
        </w:rPr>
        <w:t>humanos.</w:t>
      </w:r>
      <w:proofErr w:type="gramEnd"/>
      <w:r>
        <w:rPr>
          <w:rFonts w:ascii="Arial" w:eastAsia="Arial" w:hAnsi="Arial" w:cs="Arial"/>
          <w:sz w:val="18"/>
          <w:szCs w:val="18"/>
          <w:vertAlign w:val="superscript"/>
        </w:rPr>
        <w:t>1,2</w:t>
      </w:r>
    </w:p>
    <w:p w:rsidR="004C2DC0" w:rsidRDefault="003C1F3A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Estima-se que pelo menos sessenta espécies de carrapatos no mundo possuam a capacidade de produzir a neurotoxina causadora da paralisia. Em relação à doença no cão, as espécies de maior relevância são </w:t>
      </w:r>
      <w:proofErr w:type="spellStart"/>
      <w:r w:rsidRPr="0061012B">
        <w:rPr>
          <w:rFonts w:ascii="Arial" w:eastAsia="Arial" w:hAnsi="Arial" w:cs="Arial"/>
          <w:i/>
          <w:sz w:val="18"/>
          <w:szCs w:val="18"/>
        </w:rPr>
        <w:t>Ixodes</w:t>
      </w:r>
      <w:proofErr w:type="spellEnd"/>
      <w:r w:rsidRPr="0061012B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61012B">
        <w:rPr>
          <w:rFonts w:ascii="Arial" w:eastAsia="Arial" w:hAnsi="Arial" w:cs="Arial"/>
          <w:i/>
          <w:sz w:val="18"/>
          <w:szCs w:val="18"/>
        </w:rPr>
        <w:t>spp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na Austrália, </w:t>
      </w:r>
      <w:proofErr w:type="spellStart"/>
      <w:r w:rsidRPr="0061012B">
        <w:rPr>
          <w:rFonts w:ascii="Arial" w:eastAsia="Arial" w:hAnsi="Arial" w:cs="Arial"/>
          <w:i/>
          <w:sz w:val="18"/>
          <w:szCs w:val="18"/>
        </w:rPr>
        <w:t>Dermacentor</w:t>
      </w:r>
      <w:proofErr w:type="spellEnd"/>
      <w:r w:rsidRPr="0061012B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61012B">
        <w:rPr>
          <w:rFonts w:ascii="Arial" w:eastAsia="Arial" w:hAnsi="Arial" w:cs="Arial"/>
          <w:i/>
          <w:sz w:val="18"/>
          <w:szCs w:val="18"/>
        </w:rPr>
        <w:t>spp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na América do </w:t>
      </w:r>
      <w:r>
        <w:rPr>
          <w:rFonts w:ascii="Arial" w:eastAsia="Arial" w:hAnsi="Arial" w:cs="Arial"/>
          <w:sz w:val="18"/>
          <w:szCs w:val="18"/>
        </w:rPr>
        <w:t xml:space="preserve">Norte e </w:t>
      </w:r>
      <w:proofErr w:type="spellStart"/>
      <w:r w:rsidRPr="0061012B">
        <w:rPr>
          <w:rFonts w:ascii="Arial" w:eastAsia="Arial" w:hAnsi="Arial" w:cs="Arial"/>
          <w:i/>
          <w:sz w:val="18"/>
          <w:szCs w:val="18"/>
        </w:rPr>
        <w:t>Rhipicephalus</w:t>
      </w:r>
      <w:proofErr w:type="spellEnd"/>
      <w:r w:rsidRPr="0061012B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61012B">
        <w:rPr>
          <w:rFonts w:ascii="Arial" w:eastAsia="Arial" w:hAnsi="Arial" w:cs="Arial"/>
          <w:i/>
          <w:sz w:val="18"/>
          <w:szCs w:val="18"/>
        </w:rPr>
        <w:t>sanguineus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na América do </w:t>
      </w:r>
      <w:proofErr w:type="gramStart"/>
      <w:r>
        <w:rPr>
          <w:rFonts w:ascii="Arial" w:eastAsia="Arial" w:hAnsi="Arial" w:cs="Arial"/>
          <w:sz w:val="18"/>
          <w:szCs w:val="18"/>
        </w:rPr>
        <w:t>Sul.</w:t>
      </w:r>
      <w:proofErr w:type="gramEnd"/>
      <w:r>
        <w:rPr>
          <w:rFonts w:ascii="Arial" w:eastAsia="Arial" w:hAnsi="Arial" w:cs="Arial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 O objetivo dessa revisão bibliográfica é discutir as principais características relacionadas à fisiopatologia, diagnóstico e tratamento da paralisia relacionada à picada de carrapato em cães.</w:t>
      </w:r>
    </w:p>
    <w:p w:rsidR="004C2DC0" w:rsidRDefault="004C2D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4C2DC0" w:rsidRDefault="003C1F3A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MÉTODOS</w:t>
      </w:r>
    </w:p>
    <w:p w:rsidR="004C2DC0" w:rsidRDefault="003C1F3A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presente estudo foi realizado por meio da revisão de artigos e livros publicados na área por meio de pesquisa realizada nas plataformas </w:t>
      </w:r>
      <w:r w:rsidRPr="004B06C9">
        <w:rPr>
          <w:rFonts w:ascii="Arial" w:eastAsia="Arial" w:hAnsi="Arial" w:cs="Arial"/>
          <w:i/>
          <w:sz w:val="18"/>
          <w:szCs w:val="18"/>
        </w:rPr>
        <w:t>PUBMED</w:t>
      </w:r>
      <w:r>
        <w:rPr>
          <w:rFonts w:ascii="Arial" w:eastAsia="Arial" w:hAnsi="Arial" w:cs="Arial"/>
          <w:sz w:val="18"/>
          <w:szCs w:val="18"/>
        </w:rPr>
        <w:t xml:space="preserve"> e </w:t>
      </w:r>
      <w:proofErr w:type="spellStart"/>
      <w:proofErr w:type="gramStart"/>
      <w:r w:rsidRPr="004B06C9">
        <w:rPr>
          <w:rFonts w:ascii="Arial" w:eastAsia="Arial" w:hAnsi="Arial" w:cs="Arial"/>
          <w:i/>
          <w:sz w:val="18"/>
          <w:szCs w:val="18"/>
        </w:rPr>
        <w:t>ResearchGate</w:t>
      </w:r>
      <w:proofErr w:type="spellEnd"/>
      <w:proofErr w:type="gramEnd"/>
      <w:r>
        <w:rPr>
          <w:rFonts w:ascii="Arial" w:eastAsia="Arial" w:hAnsi="Arial" w:cs="Arial"/>
          <w:sz w:val="18"/>
          <w:szCs w:val="18"/>
        </w:rPr>
        <w:t>.</w:t>
      </w:r>
    </w:p>
    <w:p w:rsidR="004C2DC0" w:rsidRDefault="004C2DC0">
      <w:pPr>
        <w:jc w:val="both"/>
        <w:rPr>
          <w:rFonts w:ascii="Arial" w:eastAsia="Arial" w:hAnsi="Arial" w:cs="Arial"/>
          <w:sz w:val="18"/>
          <w:szCs w:val="18"/>
        </w:rPr>
      </w:pPr>
    </w:p>
    <w:p w:rsidR="004C2DC0" w:rsidRDefault="003C1F3A">
      <w:pPr>
        <w:pBdr>
          <w:bottom w:val="single" w:sz="4" w:space="1" w:color="000000"/>
        </w:pBd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REVISÃO DE LITERATURA</w:t>
      </w:r>
    </w:p>
    <w:p w:rsidR="004C2DC0" w:rsidRDefault="003C1F3A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prevalência da doença em cães varia ao redor do mundo, sendo a Austrália o continente com maior número de casos relatados, causados principalmente pelo </w:t>
      </w:r>
      <w:proofErr w:type="spellStart"/>
      <w:r w:rsidRPr="0061012B">
        <w:rPr>
          <w:rFonts w:ascii="Arial" w:eastAsia="Arial" w:hAnsi="Arial" w:cs="Arial"/>
          <w:i/>
          <w:sz w:val="18"/>
          <w:szCs w:val="18"/>
        </w:rPr>
        <w:t>Ixodes</w:t>
      </w:r>
      <w:proofErr w:type="spellEnd"/>
      <w:r w:rsidRPr="0061012B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61012B">
        <w:rPr>
          <w:rFonts w:ascii="Arial" w:eastAsia="Arial" w:hAnsi="Arial" w:cs="Arial"/>
          <w:i/>
          <w:sz w:val="18"/>
          <w:szCs w:val="18"/>
        </w:rPr>
        <w:t>holocyclus</w:t>
      </w:r>
      <w:proofErr w:type="spellEnd"/>
      <w:r w:rsidR="0061012B">
        <w:rPr>
          <w:rFonts w:ascii="Arial" w:eastAsia="Arial" w:hAnsi="Arial" w:cs="Arial"/>
          <w:sz w:val="18"/>
          <w:szCs w:val="18"/>
        </w:rPr>
        <w:t xml:space="preserve"> (Fig. </w:t>
      </w:r>
      <w:r w:rsidR="004B06C9">
        <w:rPr>
          <w:rFonts w:ascii="Arial" w:eastAsia="Arial" w:hAnsi="Arial" w:cs="Arial"/>
          <w:sz w:val="18"/>
          <w:szCs w:val="18"/>
        </w:rPr>
        <w:t>1-A)</w:t>
      </w:r>
      <w:r>
        <w:rPr>
          <w:rFonts w:ascii="Arial" w:eastAsia="Arial" w:hAnsi="Arial" w:cs="Arial"/>
          <w:sz w:val="18"/>
          <w:szCs w:val="18"/>
        </w:rPr>
        <w:t>. Na América do Sul, o número de casos relatados é menor, estando esses associados ao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61012B">
        <w:rPr>
          <w:rFonts w:ascii="Arial" w:eastAsia="Arial" w:hAnsi="Arial" w:cs="Arial"/>
          <w:i/>
          <w:sz w:val="18"/>
          <w:szCs w:val="18"/>
        </w:rPr>
        <w:t>Rhipicephalus</w:t>
      </w:r>
      <w:proofErr w:type="spellEnd"/>
      <w:r w:rsidRPr="0061012B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61012B">
        <w:rPr>
          <w:rFonts w:ascii="Arial" w:eastAsia="Arial" w:hAnsi="Arial" w:cs="Arial"/>
          <w:i/>
          <w:sz w:val="18"/>
          <w:szCs w:val="18"/>
        </w:rPr>
        <w:t>sanguineus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conhecido por ser um importante vetor da </w:t>
      </w:r>
      <w:proofErr w:type="spellStart"/>
      <w:r>
        <w:rPr>
          <w:rFonts w:ascii="Arial" w:eastAsia="Arial" w:hAnsi="Arial" w:cs="Arial"/>
          <w:sz w:val="18"/>
          <w:szCs w:val="18"/>
        </w:rPr>
        <w:t>babesiose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 </w:t>
      </w:r>
      <w:proofErr w:type="spellStart"/>
      <w:r>
        <w:rPr>
          <w:rFonts w:ascii="Arial" w:eastAsia="Arial" w:hAnsi="Arial" w:cs="Arial"/>
          <w:sz w:val="18"/>
          <w:szCs w:val="18"/>
        </w:rPr>
        <w:t>erliquiose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canina.</w:t>
      </w:r>
      <w:proofErr w:type="gramEnd"/>
      <w:r>
        <w:rPr>
          <w:rFonts w:ascii="Arial" w:eastAsia="Arial" w:hAnsi="Arial" w:cs="Arial"/>
          <w:sz w:val="18"/>
          <w:szCs w:val="18"/>
          <w:vertAlign w:val="superscript"/>
        </w:rPr>
        <w:t>2, 3</w:t>
      </w:r>
    </w:p>
    <w:p w:rsidR="004C2DC0" w:rsidRDefault="003C1F3A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neurotoxina é produzida principalmente pela fêmea adulta do carrapato em seu período reprodutivo e, raramente, por larvas e ninfas. A inoculação no hos</w:t>
      </w:r>
      <w:r>
        <w:rPr>
          <w:rFonts w:ascii="Arial" w:eastAsia="Arial" w:hAnsi="Arial" w:cs="Arial"/>
          <w:sz w:val="18"/>
          <w:szCs w:val="18"/>
        </w:rPr>
        <w:t>pedeiro ocorre por meio da saliva durante o repasto sanguíneo, atingindo a circulação sistêmica. O mecanismo pelo qual a toxina leva à paralisia ainda não foi bem definido para todas as espécies de carrapatos envolvidos, porém acredita-se que exista uma va</w:t>
      </w:r>
      <w:r>
        <w:rPr>
          <w:rFonts w:ascii="Arial" w:eastAsia="Arial" w:hAnsi="Arial" w:cs="Arial"/>
          <w:sz w:val="18"/>
          <w:szCs w:val="18"/>
        </w:rPr>
        <w:t xml:space="preserve">riedade de efeitos, frequentemente similares aos da toxina botulínica. Sabe-se que a </w:t>
      </w:r>
      <w:proofErr w:type="spellStart"/>
      <w:r>
        <w:rPr>
          <w:rFonts w:ascii="Arial" w:eastAsia="Arial" w:hAnsi="Arial" w:cs="Arial"/>
          <w:sz w:val="18"/>
          <w:szCs w:val="18"/>
        </w:rPr>
        <w:t>holociclotoxina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produzida pelo </w:t>
      </w:r>
      <w:proofErr w:type="spellStart"/>
      <w:r w:rsidRPr="0061012B">
        <w:rPr>
          <w:rFonts w:ascii="Arial" w:eastAsia="Arial" w:hAnsi="Arial" w:cs="Arial"/>
          <w:i/>
          <w:sz w:val="18"/>
          <w:szCs w:val="18"/>
        </w:rPr>
        <w:t>Ixodes</w:t>
      </w:r>
      <w:proofErr w:type="spellEnd"/>
      <w:r w:rsidRPr="0061012B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61012B">
        <w:rPr>
          <w:rFonts w:ascii="Arial" w:eastAsia="Arial" w:hAnsi="Arial" w:cs="Arial"/>
          <w:i/>
          <w:sz w:val="18"/>
          <w:szCs w:val="18"/>
        </w:rPr>
        <w:t>holocyclus</w:t>
      </w:r>
      <w:proofErr w:type="spellEnd"/>
      <w:r>
        <w:rPr>
          <w:rFonts w:ascii="Arial" w:eastAsia="Arial" w:hAnsi="Arial" w:cs="Arial"/>
          <w:sz w:val="18"/>
          <w:szCs w:val="18"/>
        </w:rPr>
        <w:t>, atua em fibras motoras, afetando a transmissão do impulso elétrico e interferindo na liberação da acetilcolina, neurotra</w:t>
      </w:r>
      <w:r>
        <w:rPr>
          <w:rFonts w:ascii="Arial" w:eastAsia="Arial" w:hAnsi="Arial" w:cs="Arial"/>
          <w:sz w:val="18"/>
          <w:szCs w:val="18"/>
        </w:rPr>
        <w:t xml:space="preserve">nsmissor essencial na passagem do impulso nervoso para as células musculares, na junção </w:t>
      </w:r>
      <w:proofErr w:type="gramStart"/>
      <w:r>
        <w:rPr>
          <w:rFonts w:ascii="Arial" w:eastAsia="Arial" w:hAnsi="Arial" w:cs="Arial"/>
          <w:sz w:val="18"/>
          <w:szCs w:val="18"/>
        </w:rPr>
        <w:t>neuromuscular.</w:t>
      </w:r>
      <w:proofErr w:type="gramEnd"/>
      <w:r>
        <w:rPr>
          <w:rFonts w:ascii="Arial" w:eastAsia="Arial" w:hAnsi="Arial" w:cs="Arial"/>
          <w:sz w:val="18"/>
          <w:szCs w:val="18"/>
          <w:vertAlign w:val="superscript"/>
        </w:rPr>
        <w:t>1, 2</w:t>
      </w:r>
    </w:p>
    <w:p w:rsidR="004C2DC0" w:rsidRDefault="003C1F3A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apresentação clínica é uma paralisia flácida aguda e progressiva, iniciando de 5 a 9 dias após a fixação do carrapato</w:t>
      </w:r>
      <w:r w:rsidR="0061012B">
        <w:rPr>
          <w:rFonts w:ascii="Arial" w:eastAsia="Arial" w:hAnsi="Arial" w:cs="Arial"/>
          <w:sz w:val="18"/>
          <w:szCs w:val="18"/>
        </w:rPr>
        <w:t xml:space="preserve"> (Fig.</w:t>
      </w:r>
      <w:r w:rsidR="004B06C9">
        <w:rPr>
          <w:rFonts w:ascii="Arial" w:eastAsia="Arial" w:hAnsi="Arial" w:cs="Arial"/>
          <w:sz w:val="18"/>
          <w:szCs w:val="18"/>
        </w:rPr>
        <w:t xml:space="preserve"> 1-B)</w:t>
      </w:r>
      <w:r>
        <w:rPr>
          <w:rFonts w:ascii="Arial" w:eastAsia="Arial" w:hAnsi="Arial" w:cs="Arial"/>
          <w:sz w:val="18"/>
          <w:szCs w:val="18"/>
        </w:rPr>
        <w:t>. Geralmente inicia-se pelos m</w:t>
      </w:r>
      <w:r>
        <w:rPr>
          <w:rFonts w:ascii="Arial" w:eastAsia="Arial" w:hAnsi="Arial" w:cs="Arial"/>
          <w:sz w:val="18"/>
          <w:szCs w:val="18"/>
        </w:rPr>
        <w:t xml:space="preserve">embros pélvicos e progride para os membros torácicos, progredindo para uma tetraparesia flácida em um período de 12 a 72 horas, com uma visível disfunção respiratória. A velocidade de progressão dos sinais clínicos está diretamente correlacionada ao nível </w:t>
      </w:r>
      <w:r>
        <w:rPr>
          <w:rFonts w:ascii="Arial" w:eastAsia="Arial" w:hAnsi="Arial" w:cs="Arial"/>
          <w:sz w:val="18"/>
          <w:szCs w:val="18"/>
        </w:rPr>
        <w:t>de infestação. Ao exame neurológico, o tônus muscular encontra-se reduzido e os reflexos espinhais diminuídos ou ausentes. Na maioria dos casos os nervos cranianos não estão envolvidos, porém alguns animais podem manifestar alterações na voz, disfagia ou d</w:t>
      </w:r>
      <w:r>
        <w:rPr>
          <w:rFonts w:ascii="Arial" w:eastAsia="Arial" w:hAnsi="Arial" w:cs="Arial"/>
          <w:sz w:val="18"/>
          <w:szCs w:val="18"/>
        </w:rPr>
        <w:t xml:space="preserve">iminuição do tônus mandibular. Pode ainda ocorrer disfunção respiratória, cardiovascular e megaesôfago. A função sensorial e a consciência permanecem íntegras. A principal causa de morte em animais acometidos é a insuficiência </w:t>
      </w:r>
      <w:proofErr w:type="gramStart"/>
      <w:r>
        <w:rPr>
          <w:rFonts w:ascii="Arial" w:eastAsia="Arial" w:hAnsi="Arial" w:cs="Arial"/>
          <w:sz w:val="18"/>
          <w:szCs w:val="18"/>
        </w:rPr>
        <w:t>respiratória.</w:t>
      </w:r>
      <w:proofErr w:type="gramEnd"/>
      <w:r>
        <w:rPr>
          <w:rFonts w:ascii="Arial" w:eastAsia="Arial" w:hAnsi="Arial" w:cs="Arial"/>
          <w:sz w:val="18"/>
          <w:szCs w:val="18"/>
          <w:vertAlign w:val="superscript"/>
        </w:rPr>
        <w:t>1</w:t>
      </w:r>
    </w:p>
    <w:p w:rsidR="004C2DC0" w:rsidRDefault="004C2DC0">
      <w:pPr>
        <w:spacing w:before="240"/>
        <w:rPr>
          <w:rFonts w:ascii="Arial" w:eastAsia="Arial" w:hAnsi="Arial" w:cs="Arial"/>
          <w:b/>
          <w:sz w:val="18"/>
          <w:szCs w:val="18"/>
        </w:rPr>
      </w:pPr>
    </w:p>
    <w:p w:rsidR="004C2DC0" w:rsidRDefault="003C1F3A">
      <w:pPr>
        <w:spacing w:before="2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lastRenderedPageBreak/>
        <w:t>Figura 1:</w:t>
      </w:r>
      <w:r w:rsidR="004B06C9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(A</w:t>
      </w:r>
      <w:r w:rsidRPr="0061012B">
        <w:rPr>
          <w:rFonts w:ascii="Arial" w:eastAsia="Arial" w:hAnsi="Arial" w:cs="Arial"/>
          <w:sz w:val="18"/>
          <w:szCs w:val="18"/>
        </w:rPr>
        <w:t xml:space="preserve">) </w:t>
      </w:r>
      <w:bookmarkStart w:id="1" w:name="_GoBack"/>
      <w:proofErr w:type="spellStart"/>
      <w:r w:rsidRPr="0061012B">
        <w:rPr>
          <w:rFonts w:ascii="Arial" w:eastAsia="Arial" w:hAnsi="Arial" w:cs="Arial"/>
          <w:i/>
          <w:sz w:val="18"/>
          <w:szCs w:val="18"/>
        </w:rPr>
        <w:t>Ixodes</w:t>
      </w:r>
      <w:proofErr w:type="spellEnd"/>
      <w:r w:rsidRPr="0061012B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61012B">
        <w:rPr>
          <w:rFonts w:ascii="Arial" w:eastAsia="Arial" w:hAnsi="Arial" w:cs="Arial"/>
          <w:i/>
          <w:sz w:val="18"/>
          <w:szCs w:val="18"/>
        </w:rPr>
        <w:t>holocyclus</w:t>
      </w:r>
      <w:bookmarkEnd w:id="1"/>
      <w:proofErr w:type="spellEnd"/>
      <w:r>
        <w:rPr>
          <w:rFonts w:ascii="Arial" w:eastAsia="Arial" w:hAnsi="Arial" w:cs="Arial"/>
          <w:sz w:val="18"/>
          <w:szCs w:val="18"/>
        </w:rPr>
        <w:t xml:space="preserve">, carrapato produtor da </w:t>
      </w:r>
      <w:proofErr w:type="spellStart"/>
      <w:r>
        <w:rPr>
          <w:rFonts w:ascii="Arial" w:eastAsia="Arial" w:hAnsi="Arial" w:cs="Arial"/>
          <w:sz w:val="18"/>
          <w:szCs w:val="18"/>
        </w:rPr>
        <w:t>holociclotoxina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 principal responsável pela paralisia do carrapato no continente australiano. (B) Cão apresentando tetraplegia flácida resultante de paralisia do carrapato.</w:t>
      </w:r>
    </w:p>
    <w:p w:rsidR="004C2DC0" w:rsidRDefault="003C1F3A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114300" distB="114300" distL="114300" distR="114300">
            <wp:extent cx="1602855" cy="1268927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2855" cy="12689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sz w:val="18"/>
          <w:szCs w:val="18"/>
        </w:rPr>
        <w:drawing>
          <wp:inline distT="114300" distB="114300" distL="114300" distR="114300">
            <wp:extent cx="1629728" cy="1298258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9728" cy="12982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C2DC0" w:rsidRPr="004B06C9" w:rsidRDefault="003C1F3A">
      <w:pPr>
        <w:jc w:val="center"/>
        <w:rPr>
          <w:rFonts w:ascii="Arial" w:eastAsia="Arial" w:hAnsi="Arial" w:cs="Arial"/>
          <w:sz w:val="18"/>
          <w:szCs w:val="18"/>
        </w:rPr>
      </w:pPr>
      <w:r w:rsidRPr="004B06C9">
        <w:rPr>
          <w:rFonts w:ascii="Arial" w:eastAsia="Arial" w:hAnsi="Arial" w:cs="Arial"/>
          <w:sz w:val="18"/>
          <w:szCs w:val="18"/>
        </w:rPr>
        <w:t>Disponível em: journonews.com/2009/0</w:t>
      </w:r>
      <w:r w:rsidR="004B06C9">
        <w:rPr>
          <w:rFonts w:ascii="Arial" w:eastAsia="Arial" w:hAnsi="Arial" w:cs="Arial"/>
          <w:sz w:val="18"/>
          <w:szCs w:val="18"/>
        </w:rPr>
        <w:t>9/15/tis-</w:t>
      </w:r>
      <w:proofErr w:type="spellStart"/>
      <w:r w:rsidR="004B06C9">
        <w:rPr>
          <w:rFonts w:ascii="Arial" w:eastAsia="Arial" w:hAnsi="Arial" w:cs="Arial"/>
          <w:sz w:val="18"/>
          <w:szCs w:val="18"/>
        </w:rPr>
        <w:t>the</w:t>
      </w:r>
      <w:proofErr w:type="spellEnd"/>
      <w:r w:rsidR="004B06C9">
        <w:rPr>
          <w:rFonts w:ascii="Arial" w:eastAsia="Arial" w:hAnsi="Arial" w:cs="Arial"/>
          <w:sz w:val="18"/>
          <w:szCs w:val="18"/>
        </w:rPr>
        <w:t>-</w:t>
      </w:r>
      <w:proofErr w:type="spellStart"/>
      <w:r w:rsidR="004B06C9">
        <w:rPr>
          <w:rFonts w:ascii="Arial" w:eastAsia="Arial" w:hAnsi="Arial" w:cs="Arial"/>
          <w:sz w:val="18"/>
          <w:szCs w:val="18"/>
        </w:rPr>
        <w:t>season</w:t>
      </w:r>
      <w:proofErr w:type="spellEnd"/>
      <w:r w:rsidR="004B06C9">
        <w:rPr>
          <w:rFonts w:ascii="Arial" w:eastAsia="Arial" w:hAnsi="Arial" w:cs="Arial"/>
          <w:sz w:val="18"/>
          <w:szCs w:val="18"/>
        </w:rPr>
        <w:t>-for-</w:t>
      </w:r>
      <w:proofErr w:type="spellStart"/>
      <w:r w:rsidR="004B06C9">
        <w:rPr>
          <w:rFonts w:ascii="Arial" w:eastAsia="Arial" w:hAnsi="Arial" w:cs="Arial"/>
          <w:sz w:val="18"/>
          <w:szCs w:val="18"/>
        </w:rPr>
        <w:t>ticks</w:t>
      </w:r>
      <w:proofErr w:type="spellEnd"/>
      <w:r w:rsidR="004B06C9">
        <w:rPr>
          <w:rFonts w:ascii="Arial" w:eastAsia="Arial" w:hAnsi="Arial" w:cs="Arial"/>
          <w:sz w:val="18"/>
          <w:szCs w:val="18"/>
        </w:rPr>
        <w:t xml:space="preserve">/ </w:t>
      </w:r>
      <w:r w:rsidRPr="004B06C9">
        <w:rPr>
          <w:rFonts w:ascii="Arial" w:eastAsia="Arial" w:hAnsi="Arial" w:cs="Arial"/>
          <w:sz w:val="18"/>
          <w:szCs w:val="18"/>
        </w:rPr>
        <w:t xml:space="preserve">e </w:t>
      </w:r>
      <w:proofErr w:type="gramStart"/>
      <w:r w:rsidRPr="004B06C9">
        <w:rPr>
          <w:rFonts w:ascii="Arial" w:eastAsia="Arial" w:hAnsi="Arial" w:cs="Arial"/>
          <w:sz w:val="18"/>
          <w:szCs w:val="18"/>
        </w:rPr>
        <w:t>https</w:t>
      </w:r>
      <w:proofErr w:type="gramEnd"/>
      <w:r w:rsidRPr="004B06C9">
        <w:rPr>
          <w:rFonts w:ascii="Arial" w:eastAsia="Arial" w:hAnsi="Arial" w:cs="Arial"/>
          <w:sz w:val="18"/>
          <w:szCs w:val="18"/>
        </w:rPr>
        <w:t>://theconversation.com/tackling-the-tricky-task-of-tick-removal-26306</w:t>
      </w:r>
    </w:p>
    <w:p w:rsidR="004C2DC0" w:rsidRDefault="004C2DC0">
      <w:pPr>
        <w:jc w:val="both"/>
        <w:rPr>
          <w:rFonts w:ascii="Arial" w:eastAsia="Arial" w:hAnsi="Arial" w:cs="Arial"/>
          <w:sz w:val="18"/>
          <w:szCs w:val="18"/>
        </w:rPr>
      </w:pPr>
    </w:p>
    <w:p w:rsidR="004C2DC0" w:rsidRDefault="003C1F3A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Em relação ao diagnóstico, a doença é frequentemente confundida com outras causas de tetraparesia aguda, tais </w:t>
      </w:r>
      <w:r>
        <w:rPr>
          <w:rFonts w:ascii="Arial" w:eastAsia="Arial" w:hAnsi="Arial" w:cs="Arial"/>
          <w:sz w:val="18"/>
          <w:szCs w:val="18"/>
        </w:rPr>
        <w:t xml:space="preserve">como </w:t>
      </w:r>
      <w:proofErr w:type="spellStart"/>
      <w:r>
        <w:rPr>
          <w:rFonts w:ascii="Arial" w:eastAsia="Arial" w:hAnsi="Arial" w:cs="Arial"/>
          <w:sz w:val="18"/>
          <w:szCs w:val="18"/>
        </w:rPr>
        <w:t>polirradiculoneurite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botulismo e miastenia grave. Suspeita-se de paralisia do carrapato com base no histórico, epidemiologia, sinais clínicos, identificação de carrapatos no animal e exclusão de outras afecções do neurônio motor inferior. Achados de </w:t>
      </w:r>
      <w:r>
        <w:rPr>
          <w:rFonts w:ascii="Arial" w:eastAsia="Arial" w:hAnsi="Arial" w:cs="Arial"/>
          <w:sz w:val="18"/>
          <w:szCs w:val="18"/>
        </w:rPr>
        <w:t xml:space="preserve">exames laboratoriais e eletromiografia são inespecíficos. Geralmente estabelece-se um diagnóstico presuntivo por resposta ao </w:t>
      </w:r>
      <w:proofErr w:type="gramStart"/>
      <w:r>
        <w:rPr>
          <w:rFonts w:ascii="Arial" w:eastAsia="Arial" w:hAnsi="Arial" w:cs="Arial"/>
          <w:sz w:val="18"/>
          <w:szCs w:val="18"/>
        </w:rPr>
        <w:t>tratamento.</w:t>
      </w:r>
      <w:proofErr w:type="gramEnd"/>
      <w:r>
        <w:rPr>
          <w:rFonts w:ascii="Arial" w:eastAsia="Arial" w:hAnsi="Arial" w:cs="Arial"/>
          <w:sz w:val="18"/>
          <w:szCs w:val="18"/>
          <w:vertAlign w:val="superscript"/>
        </w:rPr>
        <w:t>1,2</w:t>
      </w:r>
    </w:p>
    <w:p w:rsidR="004C2DC0" w:rsidRDefault="003C1F3A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tratamento consiste primariamente em retirar a causa e fornecer terapia de suporte. A maioria dos animais se recup</w:t>
      </w:r>
      <w:r>
        <w:rPr>
          <w:rFonts w:ascii="Arial" w:eastAsia="Arial" w:hAnsi="Arial" w:cs="Arial"/>
          <w:sz w:val="18"/>
          <w:szCs w:val="18"/>
        </w:rPr>
        <w:t xml:space="preserve">era totalmente de horas a alguns dias após a retirada dos carrapatos, que pode ser feita por catação manual e/ou utilização de carrapaticidas. A terapia suporte visa </w:t>
      </w:r>
      <w:proofErr w:type="gramStart"/>
      <w:r>
        <w:rPr>
          <w:rFonts w:ascii="Arial" w:eastAsia="Arial" w:hAnsi="Arial" w:cs="Arial"/>
          <w:sz w:val="18"/>
          <w:szCs w:val="18"/>
        </w:rPr>
        <w:t>a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manutenção da hidratação, alimentação e oxigenação adequada durante o curso da doença. N</w:t>
      </w:r>
      <w:r>
        <w:rPr>
          <w:rFonts w:ascii="Arial" w:eastAsia="Arial" w:hAnsi="Arial" w:cs="Arial"/>
          <w:sz w:val="18"/>
          <w:szCs w:val="18"/>
        </w:rPr>
        <w:t xml:space="preserve">a Austrália </w:t>
      </w:r>
      <w:proofErr w:type="gramStart"/>
      <w:r>
        <w:rPr>
          <w:rFonts w:ascii="Arial" w:eastAsia="Arial" w:hAnsi="Arial" w:cs="Arial"/>
          <w:sz w:val="18"/>
          <w:szCs w:val="18"/>
        </w:rPr>
        <w:t>existe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comercialmente um soro </w:t>
      </w:r>
      <w:proofErr w:type="spellStart"/>
      <w:r>
        <w:rPr>
          <w:rFonts w:ascii="Arial" w:eastAsia="Arial" w:hAnsi="Arial" w:cs="Arial"/>
          <w:sz w:val="18"/>
          <w:szCs w:val="18"/>
        </w:rPr>
        <w:t>anti-holociclotoxina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que é de eficácia variável. No geral o prognóstico para recuperação completa é favorável quando o diagnóstico correto é estabelecido precocemente. Recomenda-se a adoção de medidas preventivas </w:t>
      </w:r>
      <w:r>
        <w:rPr>
          <w:rFonts w:ascii="Arial" w:eastAsia="Arial" w:hAnsi="Arial" w:cs="Arial"/>
          <w:sz w:val="18"/>
          <w:szCs w:val="18"/>
        </w:rPr>
        <w:t xml:space="preserve">para evitar recorrência, por meio do uso de soluções e/ou coleiras </w:t>
      </w:r>
      <w:proofErr w:type="gramStart"/>
      <w:r>
        <w:rPr>
          <w:rFonts w:ascii="Arial" w:eastAsia="Arial" w:hAnsi="Arial" w:cs="Arial"/>
          <w:sz w:val="18"/>
          <w:szCs w:val="18"/>
        </w:rPr>
        <w:t>acaricidas.</w:t>
      </w:r>
      <w:proofErr w:type="gramEnd"/>
      <w:r>
        <w:rPr>
          <w:rFonts w:ascii="Arial" w:eastAsia="Arial" w:hAnsi="Arial" w:cs="Arial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:rsidR="004C2DC0" w:rsidRDefault="004C2DC0">
      <w:pPr>
        <w:jc w:val="both"/>
        <w:rPr>
          <w:rFonts w:ascii="Arial" w:eastAsia="Arial" w:hAnsi="Arial" w:cs="Arial"/>
          <w:sz w:val="18"/>
          <w:szCs w:val="18"/>
        </w:rPr>
      </w:pPr>
    </w:p>
    <w:p w:rsidR="004C2DC0" w:rsidRDefault="003C1F3A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4C2DC0" w:rsidRDefault="003C1F3A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paralisia do carrapato é uma doença de prevalência variada ao redor do mundo, sendo o continente australiano o local de maior ocorrência. Porém, confor</w:t>
      </w:r>
      <w:r>
        <w:rPr>
          <w:rFonts w:ascii="Arial" w:eastAsia="Arial" w:hAnsi="Arial" w:cs="Arial"/>
          <w:sz w:val="18"/>
          <w:szCs w:val="18"/>
        </w:rPr>
        <w:t xml:space="preserve">me discutido, ocorre em diversos locais e uma ampla variedade de carrapatos pode desencadear a afecção, sendo importante a inclusão da doença como um diagnóstico diferencial para cães com paralisia flácida </w:t>
      </w:r>
      <w:proofErr w:type="gramStart"/>
      <w:r>
        <w:rPr>
          <w:rFonts w:ascii="Arial" w:eastAsia="Arial" w:hAnsi="Arial" w:cs="Arial"/>
          <w:sz w:val="18"/>
          <w:szCs w:val="18"/>
        </w:rPr>
        <w:t>progressiva e histórico compatível</w:t>
      </w:r>
      <w:proofErr w:type="gramEnd"/>
      <w:r>
        <w:rPr>
          <w:rFonts w:ascii="Arial" w:eastAsia="Arial" w:hAnsi="Arial" w:cs="Arial"/>
          <w:sz w:val="18"/>
          <w:szCs w:val="18"/>
        </w:rPr>
        <w:t>. Devido aos sin</w:t>
      </w:r>
      <w:r>
        <w:rPr>
          <w:rFonts w:ascii="Arial" w:eastAsia="Arial" w:hAnsi="Arial" w:cs="Arial"/>
          <w:sz w:val="18"/>
          <w:szCs w:val="18"/>
        </w:rPr>
        <w:t xml:space="preserve">ais clínicos inespecíficos, a doença é provavelmente </w:t>
      </w:r>
      <w:proofErr w:type="spellStart"/>
      <w:r>
        <w:rPr>
          <w:rFonts w:ascii="Arial" w:eastAsia="Arial" w:hAnsi="Arial" w:cs="Arial"/>
          <w:sz w:val="18"/>
          <w:szCs w:val="18"/>
        </w:rPr>
        <w:t>subdiagnosticada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no Brasil. Maiores estudos são ainda necessários para caracterização das toxinas dos diferentes tipos de carrapatos envolvidos, bem como para estabelecimento da epidemiologia da doença e</w:t>
      </w:r>
      <w:r>
        <w:rPr>
          <w:rFonts w:ascii="Arial" w:eastAsia="Arial" w:hAnsi="Arial" w:cs="Arial"/>
          <w:sz w:val="18"/>
          <w:szCs w:val="18"/>
        </w:rPr>
        <w:t>m diferentes países.</w:t>
      </w:r>
    </w:p>
    <w:p w:rsidR="004C2DC0" w:rsidRDefault="003C1F3A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. </w:t>
      </w:r>
    </w:p>
    <w:p w:rsidR="004C2DC0" w:rsidRDefault="003C1F3A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REFERÊNCIAS BIBLIOGRÁFICAS</w:t>
      </w:r>
    </w:p>
    <w:p w:rsidR="004C2DC0" w:rsidRDefault="004C2DC0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:rsidR="004C2DC0" w:rsidRDefault="003C1F3A">
      <w:pPr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noProof/>
        </w:rPr>
        <w:drawing>
          <wp:inline distT="114300" distB="114300" distL="114300" distR="114300">
            <wp:extent cx="720000" cy="720000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4C2DC0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F3A" w:rsidRDefault="003C1F3A">
      <w:r>
        <w:separator/>
      </w:r>
    </w:p>
  </w:endnote>
  <w:endnote w:type="continuationSeparator" w:id="0">
    <w:p w:rsidR="003C1F3A" w:rsidRDefault="003C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F3A" w:rsidRDefault="003C1F3A">
      <w:r>
        <w:separator/>
      </w:r>
    </w:p>
  </w:footnote>
  <w:footnote w:type="continuationSeparator" w:id="0">
    <w:p w:rsidR="003C1F3A" w:rsidRDefault="003C1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DC0" w:rsidRDefault="003C1F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6062345</wp:posOffset>
          </wp:positionH>
          <wp:positionV relativeFrom="paragraph">
            <wp:posOffset>-125728</wp:posOffset>
          </wp:positionV>
          <wp:extent cx="791210" cy="72009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210" cy="720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C2DC0" w:rsidRDefault="003C1F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Ciências </w:t>
    </w:r>
    <w:proofErr w:type="gramStart"/>
    <w:r>
      <w:rPr>
        <w:rFonts w:ascii="Arial Rounded" w:eastAsia="Arial Rounded" w:hAnsi="Arial Rounded" w:cs="Arial Rounded"/>
        <w:b/>
        <w:color w:val="002060"/>
        <w:sz w:val="28"/>
        <w:szCs w:val="28"/>
      </w:rPr>
      <w:t>Agrárias e Meio Ambiente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2DC0"/>
    <w:rsid w:val="003C1F3A"/>
    <w:rsid w:val="004B06C9"/>
    <w:rsid w:val="004C2DC0"/>
    <w:rsid w:val="0061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pBdr>
        <w:bottom w:val="single" w:sz="6" w:space="1" w:color="000000"/>
      </w:pBdr>
      <w:jc w:val="both"/>
      <w:outlineLvl w:val="2"/>
    </w:pPr>
    <w:rPr>
      <w:rFonts w:ascii="Arial" w:eastAsia="Arial" w:hAnsi="Arial" w:cs="Arial"/>
      <w:b/>
      <w:sz w:val="18"/>
      <w:szCs w:val="18"/>
    </w:rPr>
  </w:style>
  <w:style w:type="paragraph" w:styleId="Ttulo4">
    <w:name w:val="heading 4"/>
    <w:basedOn w:val="Normal"/>
    <w:next w:val="Normal"/>
    <w:pPr>
      <w:keepNext/>
      <w:keepLines/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06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pBdr>
        <w:bottom w:val="single" w:sz="6" w:space="1" w:color="000000"/>
      </w:pBdr>
      <w:jc w:val="both"/>
      <w:outlineLvl w:val="2"/>
    </w:pPr>
    <w:rPr>
      <w:rFonts w:ascii="Arial" w:eastAsia="Arial" w:hAnsi="Arial" w:cs="Arial"/>
      <w:b/>
      <w:sz w:val="18"/>
      <w:szCs w:val="18"/>
    </w:rPr>
  </w:style>
  <w:style w:type="paragraph" w:styleId="Ttulo4">
    <w:name w:val="heading 4"/>
    <w:basedOn w:val="Normal"/>
    <w:next w:val="Normal"/>
    <w:pPr>
      <w:keepNext/>
      <w:keepLines/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06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918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Denilson Figueiredo</dc:creator>
  <cp:lastModifiedBy>Denilson Figueiredo</cp:lastModifiedBy>
  <cp:revision>2</cp:revision>
  <dcterms:created xsi:type="dcterms:W3CDTF">2020-10-20T20:38:00Z</dcterms:created>
  <dcterms:modified xsi:type="dcterms:W3CDTF">2020-10-20T20:38:00Z</dcterms:modified>
</cp:coreProperties>
</file>