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TRIPANOSSOMÍASE BOVINA UMA BREVE REVISÃO DOS PRIMEIROS CASOS NOS ESTADOS BRASILEIROS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Henrique Corrêa da Veiga</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Luísa Carolina Silva Silveira</w:t>
      </w:r>
      <w:r w:rsidDel="00000000" w:rsidR="00000000" w:rsidRPr="00000000">
        <w:rPr>
          <w:rFonts w:ascii="Arial" w:cs="Arial" w:eastAsia="Arial" w:hAnsi="Arial"/>
          <w:b w:val="1"/>
          <w:vertAlign w:val="superscript"/>
          <w:rtl w:val="0"/>
        </w:rPr>
        <w:t xml:space="preserve">²</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e Leonardo Costa Tavares Coelho</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Graduando em Medicina Veterinária – UNA – Bom Despacho /MG – Brasil – *Contato: Henriquecveigahc@gmail.com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Médica Veterinária autônoma </w:t>
      </w:r>
      <w:r w:rsidDel="00000000" w:rsidR="00000000" w:rsidRPr="00000000">
        <w:rPr>
          <w:rFonts w:ascii="Arial" w:cs="Arial" w:eastAsia="Arial" w:hAnsi="Arial"/>
          <w:b w:val="0"/>
          <w:smallCaps w:val="0"/>
          <w:strike w:val="0"/>
          <w:color w:val="000000"/>
          <w:sz w:val="14"/>
          <w:szCs w:val="14"/>
          <w:u w:val="none"/>
          <w:shd w:fill="auto" w:val="clear"/>
          <w:vertAlign w:val="baseline"/>
          <w:rtl w:val="0"/>
        </w:rPr>
        <w:t xml:space="preserve">CRMV-MG 22.399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5528"/>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sectPr>
          <w:headerReference r:id="rId6" w:type="default"/>
          <w:pgSz w:h="16838" w:w="11906" w:orient="portrait"/>
          <w:pgMar w:bottom="720" w:top="1560" w:left="426" w:right="424" w:header="426" w:footer="708"/>
          <w:pgNumType w:start="1"/>
        </w:sectPr>
      </w:pP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ab/>
        <w:t xml:space="preserve">3</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Professor de Medicina Veterinária – UNA – Bom Despacho/MG – Brasil</w:t>
      </w:r>
    </w:p>
    <w:p w:rsidR="00000000" w:rsidDel="00000000" w:rsidP="00000000" w:rsidRDefault="00000000" w:rsidRPr="00000000" w14:paraId="00000006">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INTRODUÇÃO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As tripanossomíases apresentam vasto destaque econômico para a pecuária por ocasionarem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preju</w:t>
      </w:r>
      <w:r w:rsidDel="00000000" w:rsidR="00000000" w:rsidRPr="00000000">
        <w:rPr>
          <w:rFonts w:ascii="Arial" w:cs="Arial" w:eastAsia="Arial" w:hAnsi="Arial"/>
          <w:sz w:val="18"/>
          <w:szCs w:val="18"/>
          <w:highlight w:val="white"/>
          <w:rtl w:val="0"/>
        </w:rPr>
        <w:t xml:space="preserve">Í</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zos</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na produção de leite, infertilidade, aborto, orquite, anemia e morte dos animais infectados, as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consequ</w:t>
      </w:r>
      <w:r w:rsidDel="00000000" w:rsidR="00000000" w:rsidRPr="00000000">
        <w:rPr>
          <w:rFonts w:ascii="Arial" w:cs="Arial" w:eastAsia="Arial" w:hAnsi="Arial"/>
          <w:sz w:val="18"/>
          <w:szCs w:val="18"/>
          <w:highlight w:val="white"/>
          <w:rtl w:val="0"/>
        </w:rPr>
        <w:t xml:space="preserve">ê</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ncias</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ecônomicas</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geradas pela tripanosomíase  estão vinculados com a redução da produção, </w:t>
      </w:r>
      <w:r w:rsidDel="00000000" w:rsidR="00000000" w:rsidRPr="00000000">
        <w:rPr>
          <w:rFonts w:ascii="Arial" w:cs="Arial" w:eastAsia="Arial" w:hAnsi="Arial"/>
          <w:sz w:val="18"/>
          <w:szCs w:val="18"/>
          <w:highlight w:val="white"/>
          <w:rtl w:val="0"/>
        </w:rPr>
        <w:t xml:space="preserve">associada</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ao excessivo </w:t>
      </w:r>
      <w:r w:rsidDel="00000000" w:rsidR="00000000" w:rsidRPr="00000000">
        <w:rPr>
          <w:rFonts w:ascii="Arial" w:cs="Arial" w:eastAsia="Arial" w:hAnsi="Arial"/>
          <w:sz w:val="18"/>
          <w:szCs w:val="18"/>
          <w:highlight w:val="white"/>
          <w:rtl w:val="0"/>
        </w:rPr>
        <w:t xml:space="preserve">ocorrência</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de vetores e hospedeiros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vulner</w:t>
      </w:r>
      <w:r w:rsidDel="00000000" w:rsidR="00000000" w:rsidRPr="00000000">
        <w:rPr>
          <w:rFonts w:ascii="Arial" w:cs="Arial" w:eastAsia="Arial" w:hAnsi="Arial"/>
          <w:sz w:val="18"/>
          <w:szCs w:val="18"/>
          <w:highlight w:val="white"/>
          <w:rtl w:val="0"/>
        </w:rPr>
        <w:t xml:space="preserve">á</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veis</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 a imunodeficiencia dos animais acometidos em maior parte subnutridos (GARCÍA et al., 2013)</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Em fêmeas bovinas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cont</w:t>
      </w:r>
      <w:r w:rsidDel="00000000" w:rsidR="00000000" w:rsidRPr="00000000">
        <w:rPr>
          <w:rFonts w:ascii="Arial" w:cs="Arial" w:eastAsia="Arial" w:hAnsi="Arial"/>
          <w:sz w:val="18"/>
          <w:szCs w:val="18"/>
          <w:highlight w:val="white"/>
          <w:rtl w:val="0"/>
        </w:rPr>
        <w:t xml:space="preserve">aminadas</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naturalmente por tripanossomíase, diversas irregularidades reprodutivas já foram citadas. Aborto, repetição de cio, natimortos ou nascimento de crias fracas e anestro temporário ou permanente são as variações repetidamente (Batista et al. 2007, 2008). Em machos, alterações reprodutivas provocado por tripanossomíase são particularmente associadas a lesões do testículo e epidídimo. Em situações crônicas, infertilidade ou mesmo esterilidade são perceptíveis (Sekoni et al. 1990, Adamu et al. 2007). Sekoni et al. (2004) descreveram variações como queda na qualidade do sêmen de zebus infectados, demonstrada por um vigoroso declínio da concentração espermática (oligospermia ou mesmo azoospermia), redução do volume do sêmen, elevação das anormalidades morfológicas espermáticas. Adamu et al. (2007) efetuaram infecção experimental em zebuínos e observaram que as anomalias ao testículo e ao epidídimo são gradativas, agravando-se com o transcorrer da infecção. </w:t>
      </w:r>
    </w:p>
    <w:p w:rsidR="00000000" w:rsidDel="00000000" w:rsidP="00000000" w:rsidRDefault="00000000" w:rsidRPr="00000000" w14:paraId="0000000B">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MATERIAL E MÉTODOS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Todos os artigos utilizados nesta revisão literária foram retirados das plataformas de indexação Pubmed, Scielo, Sciencedirect e </w:t>
      </w:r>
      <w:r w:rsidDel="00000000" w:rsidR="00000000" w:rsidRPr="00000000">
        <w:rPr>
          <w:rFonts w:ascii="Arial" w:cs="Arial" w:eastAsia="Arial" w:hAnsi="Arial"/>
          <w:b w:val="0"/>
          <w:i w:val="0"/>
          <w:smallCaps w:val="0"/>
          <w:strike w:val="0"/>
          <w:color w:val="ffffff"/>
          <w:sz w:val="20"/>
          <w:szCs w:val="20"/>
          <w:u w:val="none"/>
          <w:shd w:fill="006db4"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Taylor &amp; Francis Online.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REVISÃO DE LITERATURA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Tripanossomíases  são patologias ocasionadas por protozoários do gênero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que possuem distribuição cosmopolita e importância econômica na América Latina, Ásia e África.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 vivax</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 evansi</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 equiperdum</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 cruzi</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e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 theileri</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são espécies de relevância médica e veterinária na América do Sul. Além do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 cruzi,</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que é procedente da América do Sul, e do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Trypanosoma theileri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que se encontra em todo o mundo (BATISTA et al., 2008).</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No Brasil o primeiro relato de caso em artigos científicos de Trypanosoma foi documentada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em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1972, por Shaw  e Lainson (1972) que acometeu búfalos no estado do Pará, sendo a primeira descrição  em bovinos identificado apenas em 1995 em Mato Grosso, no qual autores investigaram bovinos zebuínos puros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Bos taurus taurus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 cruzados </w:t>
      </w:r>
      <w:r w:rsidDel="00000000" w:rsidR="00000000" w:rsidRPr="00000000">
        <w:rPr>
          <w:rFonts w:ascii="Arial" w:cs="Arial" w:eastAsia="Arial" w:hAnsi="Arial"/>
          <w:b w:val="0"/>
          <w:i w:val="1"/>
          <w:smallCaps w:val="0"/>
          <w:strike w:val="0"/>
          <w:color w:val="000000"/>
          <w:sz w:val="18"/>
          <w:szCs w:val="18"/>
          <w:highlight w:val="white"/>
          <w:u w:val="none"/>
          <w:vertAlign w:val="baseline"/>
          <w:rtl w:val="0"/>
        </w:rPr>
        <w:t xml:space="preserve">Bos taurus taurus x Bos  taurus  indicus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com idade entre 1 e 9 anos (SILVA et al., 1999). Linhares et al. (2006)   descreveram   pela primeira  vez  episódios de Trypanossoma no  estado  do Tocantins,  os   parasitas   foram  analisados em esfregaços  sanguíneo de nove bovinos  no meio de 16 investigados,  oriundos de um  rebanho  formado por  250 animais da raça  Brahman, que manifestaram sinais   clínicos   de   emagrecimento, edema  de  barbela,  febre  e  palidez  de  mucosa, sendo  estes  bovinos provenientes  do  estado  de  São Paulo de uma região livre do parasito. Em conclusão, os autores associaram  o   surto   ao  ato   da  inserção  de  animais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propensos de  uma  área livre para  uma  área  endêmica,  sendo assim,  não demonstrando resistência ao parasito.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No estado de Minas  Gerais, Carvalho et  al. (2008), identificaram a existência  de  protozoários  flagelados  na forma  de  tripomastigota, característicos  de Trypanosoma  no   esfregaço   de   sangue   de   uma   vaca   que manifestava  perda de visão. Na     Paraíba,     Batista et     al. (2008), relataram dois surtos de tripanossomíase em bovinos, constatados por esfregaços  da capa leucocitária e mediante a resposta em cadeia da polimerase   (PCR).   No primeiro caso, 14   vacas leiteiras,    da    raça    Pardo    Suiço    demonstraram exacerbado declínio  na  produção,  de  15  litros  para  2 litros  de  leite  por dia  em  média, onde quatro exibiam manifestações neurológicas que evoluíram a óbito. Já   o   segundo   surto   aconteceu   em   uma propriedade vizinha onde havia 75 vacas, destas 50  estavam  em  lactação,  10  adoeceram  destas 7 vieram a óbito.O  primeiro  caso  de  tripanossomíase  bovina no estado do Maranhão transcorreu em um bezerro em 2003 e foi relatado por Guerra et al. (2008), onde as tripomastigotas de Trypanosoma foram identificadas em esfregaços de sangue do bezerro que foi infectado no seu ambiente natural, esse que teve o quadro evoluindo a óbito em um curto espaço de tempo. Silva et    al. (2009),    descreveram    a ocorrência  Trypanosoma no   Rio   Grande   do   Sul, detectado por meio  de análise  em  esfregaço sanguíneo e corroborado pela técnica de reação por PCR, em uma vaca,  sem  raça  definida,  de  dois  2,5 anos   de   idade   que   encontrava-se   no   quinto   mês   de prenhez,   que   apresentava  transtornos neurológicos.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Em  Lins, município  do  estado  de São  Paulo, Cadioli  et  al. (2012), realizaram a  primeira narração  de  um  surto  de Trypanosoma. Nesta circunstância, os animais afetados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desenvolveram</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sintomas inespecíficos e três vacas desenvolveram sintomas no sistema nervoso.  Hemoparasitas  flagelados foram  presenciados  em esfregaços  sanguíneos e  a espécie de tripanossoma foi  classificada como T.vivax por   PCR. Os autores atribuíram o surto, a introdução de animais provenientes de uma área endêmica situada no município  de  Ivinhema Trypanosoma, Mato Grosso do Sul, para uma região não endêmica, no caso 8a propriedade rural do município de Lins (SP).</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CONSIDERAÇÕES FINAIS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Diversos cuidados carecem de ser utilizados para impossibilitar a inserção da tripanossomíase no rebanho sendo elas, verificar a compra de bovinos de outras localidades. Execução de quarentena, em animais provenientes de regiões endêmicas. Utilizar agulhas estéreis, em procedimentos como aplicação de ocitocina em vacas leiteiras. Bem como a realização de exames nos animais a fim de identificar o agente envolvidos.</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REFERÊNCIAS BIBLIOGRÁFICAS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1328738</wp:posOffset>
            </wp:positionH>
            <wp:positionV relativeFrom="paragraph">
              <wp:posOffset>150484</wp:posOffset>
            </wp:positionV>
            <wp:extent cx="720000" cy="7200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00" cy="720000"/>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000000"/>
          <w:sz w:val="24"/>
          <w:szCs w:val="24"/>
          <w:highlight w:val="white"/>
          <w:u w:val="none"/>
          <w:vertAlign w:val="baseline"/>
        </w:rPr>
      </w:pPr>
      <w:r w:rsidDel="00000000" w:rsidR="00000000" w:rsidRPr="00000000">
        <w:rPr>
          <w:rtl w:val="0"/>
        </w:rPr>
      </w:r>
    </w:p>
    <w:sectPr>
      <w:type w:val="continuous"/>
      <w:pgSz w:h="16838" w:w="11906" w:orient="portrait"/>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Rounded" w:cs="Arial Rounded" w:eastAsia="Arial Rounded" w:hAnsi="Arial Rounded"/>
        <w:b w:val="1"/>
        <w:i w:val="0"/>
        <w:smallCaps w:val="0"/>
        <w:strike w:val="0"/>
        <w:color w:val="002060"/>
        <w:sz w:val="28"/>
        <w:szCs w:val="28"/>
        <w:u w:val="none"/>
        <w:shd w:fill="auto" w:val="clear"/>
        <w:vertAlign w:val="baseline"/>
      </w:rPr>
    </w:pPr>
    <w:r w:rsidDel="00000000" w:rsidR="00000000" w:rsidRPr="00000000">
      <w:rPr>
        <w:rFonts w:ascii="Arial Rounded" w:cs="Arial Rounded" w:eastAsia="Arial Rounded" w:hAnsi="Arial Rounded"/>
        <w:b w:val="1"/>
        <w:i w:val="0"/>
        <w:smallCaps w:val="0"/>
        <w:strike w:val="0"/>
        <w:color w:val="002060"/>
        <w:sz w:val="28"/>
        <w:szCs w:val="28"/>
        <w:u w:val="none"/>
        <w:shd w:fill="auto" w:val="clear"/>
        <w:vertAlign w:val="baseline"/>
        <w:rtl w:val="0"/>
      </w:rPr>
      <w:t xml:space="preserve">VI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6062345</wp:posOffset>
          </wp:positionH>
          <wp:positionV relativeFrom="paragraph">
            <wp:posOffset>-125725</wp:posOffset>
          </wp:positionV>
          <wp:extent cx="791210" cy="72009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1210" cy="720090"/>
                  </a:xfrm>
                  <a:prstGeom prst="rect"/>
                  <a:ln/>
                </pic:spPr>
              </pic:pic>
            </a:graphicData>
          </a:graphic>
        </wp:anchor>
      </w:draw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Rounded" w:cs="Arial Rounded" w:eastAsia="Arial Rounded" w:hAnsi="Arial Rounded"/>
        <w:b w:val="1"/>
        <w:i w:val="0"/>
        <w:smallCaps w:val="0"/>
        <w:strike w:val="0"/>
        <w:color w:val="002060"/>
        <w:sz w:val="16"/>
        <w:szCs w:val="16"/>
        <w:u w:val="none"/>
        <w:shd w:fill="auto" w:val="clear"/>
        <w:vertAlign w:val="baseline"/>
      </w:rPr>
    </w:pPr>
    <w:r w:rsidDel="00000000" w:rsidR="00000000" w:rsidRPr="00000000">
      <w:rPr>
        <w:rFonts w:ascii="Arial Rounded" w:cs="Arial Rounded" w:eastAsia="Arial Rounded" w:hAnsi="Arial Rounded"/>
        <w:b w:val="1"/>
        <w:i w:val="0"/>
        <w:smallCaps w:val="0"/>
        <w:strike w:val="0"/>
        <w:color w:val="002060"/>
        <w:sz w:val="28"/>
        <w:szCs w:val="28"/>
        <w:u w:val="none"/>
        <w:shd w:fill="auto" w:val="clear"/>
        <w:vertAlign w:val="baseline"/>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pPr>
    <w:rPr>
      <w:rFonts w:ascii="Arial" w:cs="Arial" w:eastAsia="Arial" w:hAnsi="Arial"/>
      <w:b w:val="1"/>
      <w:i w:val="0"/>
      <w:smallCaps w:val="0"/>
      <w:strike w:val="0"/>
      <w:color w:val="000000"/>
      <w:sz w:val="18"/>
      <w:szCs w:val="1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1"/>
      <w:smallCaps w:val="0"/>
      <w:strike w:val="0"/>
      <w:color w:val="2f5496"/>
      <w:sz w:val="20"/>
      <w:szCs w:val="20"/>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