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center"/>
        <w:rPr/>
      </w:pPr>
      <w:r>
        <w:rPr>
          <w:rFonts w:eastAsia="Arial" w:cs="Arial" w:ascii="Arial" w:hAnsi="Arial"/>
          <w:b/>
          <w:sz w:val="28"/>
          <w:szCs w:val="28"/>
        </w:rPr>
        <w:t xml:space="preserve">EFICÁCIA DE FORMULAÇÃO “POUR ON” A BASE DE FLUAZURON 2,5%, CLORPIRIFÓS 7%, CIPERMETRINA 6% E BUTÓXIDO DE PIPERONILA 6% FRENTE A </w:t>
      </w:r>
      <w:r>
        <w:rPr>
          <w:rFonts w:eastAsia="Arial" w:cs="Arial" w:ascii="Arial" w:hAnsi="Arial"/>
          <w:b/>
          <w:i/>
          <w:sz w:val="28"/>
          <w:szCs w:val="28"/>
        </w:rPr>
        <w:t>Haematobia irritans</w:t>
      </w:r>
    </w:p>
    <w:p>
      <w:pPr>
        <w:pStyle w:val="Normal"/>
        <w:spacing w:lineRule="auto" w:line="276" w:before="0" w:after="0"/>
        <w:jc w:val="center"/>
        <w:rPr>
          <w:rFonts w:ascii="Arial" w:hAnsi="Arial" w:eastAsia="Arial" w:cs="Arial"/>
          <w:b/>
          <w:b/>
          <w:i/>
          <w:i/>
        </w:rPr>
      </w:pPr>
      <w:r>
        <w:rPr>
          <w:rFonts w:eastAsia="Arial" w:cs="Arial" w:ascii="Arial" w:hAnsi="Arial"/>
          <w:b/>
          <w:i/>
        </w:rPr>
      </w:r>
    </w:p>
    <w:p>
      <w:pPr>
        <w:pStyle w:val="Normal"/>
        <w:spacing w:lineRule="auto" w:line="276" w:before="0" w:after="0"/>
        <w:jc w:val="center"/>
        <w:rPr/>
      </w:pPr>
      <w:bookmarkStart w:id="0" w:name="_gjdgxs"/>
      <w:bookmarkEnd w:id="0"/>
      <w:r>
        <w:rPr>
          <w:rFonts w:eastAsia="Arial" w:cs="Arial" w:ascii="Arial" w:hAnsi="Arial"/>
          <w:sz w:val="22"/>
          <w:szCs w:val="22"/>
          <w:vertAlign w:val="superscript"/>
        </w:rPr>
        <w:t>1</w:t>
      </w:r>
      <w:r>
        <w:rPr>
          <w:rFonts w:eastAsia="Arial" w:cs="Arial" w:ascii="Arial" w:hAnsi="Arial"/>
          <w:sz w:val="22"/>
          <w:szCs w:val="22"/>
        </w:rPr>
        <w:t xml:space="preserve">ROCHA, Daniela de Oliveira; </w:t>
      </w:r>
      <w:r>
        <w:rPr>
          <w:rFonts w:eastAsia="Arial" w:cs="Arial" w:ascii="Arial" w:hAnsi="Arial"/>
          <w:sz w:val="22"/>
          <w:szCs w:val="22"/>
          <w:vertAlign w:val="superscript"/>
        </w:rPr>
        <w:t>2</w:t>
      </w:r>
      <w:r>
        <w:rPr>
          <w:rFonts w:eastAsia="Arial" w:cs="Arial" w:ascii="Arial" w:hAnsi="Arial"/>
          <w:sz w:val="22"/>
          <w:szCs w:val="22"/>
        </w:rPr>
        <w:t xml:space="preserve">CHAVES, Jéssica Karoline de Oliveira; </w:t>
      </w:r>
      <w:r>
        <w:rPr>
          <w:rFonts w:eastAsia="Arial" w:cs="Arial" w:ascii="Arial" w:hAnsi="Arial"/>
          <w:sz w:val="22"/>
          <w:szCs w:val="22"/>
          <w:vertAlign w:val="superscript"/>
        </w:rPr>
        <w:t>3</w:t>
      </w:r>
      <w:r>
        <w:rPr>
          <w:rFonts w:eastAsia="Arial" w:cs="Arial" w:ascii="Arial" w:hAnsi="Arial"/>
          <w:sz w:val="22"/>
          <w:szCs w:val="22"/>
        </w:rPr>
        <w:t xml:space="preserve">CONCEIÇÃO, Cecília Lopes da; </w:t>
      </w:r>
      <w:r>
        <w:rPr>
          <w:rFonts w:eastAsia="Arial" w:cs="Arial" w:ascii="Arial" w:hAnsi="Arial"/>
          <w:sz w:val="22"/>
          <w:szCs w:val="22"/>
          <w:vertAlign w:val="superscript"/>
        </w:rPr>
        <w:t>1</w:t>
      </w:r>
      <w:r>
        <w:rPr>
          <w:rFonts w:eastAsia="Arial" w:cs="Arial" w:ascii="Arial" w:hAnsi="Arial"/>
          <w:sz w:val="22"/>
          <w:szCs w:val="22"/>
        </w:rPr>
        <w:t xml:space="preserve">INTRIERI, Juliana de Moraes; </w:t>
      </w:r>
      <w:r>
        <w:rPr>
          <w:rFonts w:eastAsia="Arial" w:cs="Arial" w:ascii="Arial" w:hAnsi="Arial"/>
          <w:sz w:val="22"/>
          <w:szCs w:val="22"/>
          <w:vertAlign w:val="superscript"/>
        </w:rPr>
        <w:t>2</w:t>
      </w:r>
      <w:r>
        <w:rPr>
          <w:rFonts w:eastAsia="Arial" w:cs="Arial" w:ascii="Arial" w:hAnsi="Arial"/>
          <w:sz w:val="22"/>
          <w:szCs w:val="22"/>
        </w:rPr>
        <w:t xml:space="preserve">MIRANDA, Fernando Rocha; </w:t>
      </w:r>
      <w:r>
        <w:rPr>
          <w:rFonts w:eastAsia="Arial" w:cs="Arial" w:ascii="Arial" w:hAnsi="Arial"/>
          <w:sz w:val="22"/>
          <w:szCs w:val="22"/>
          <w:vertAlign w:val="superscript"/>
        </w:rPr>
        <w:t>2</w:t>
      </w:r>
      <w:r>
        <w:rPr>
          <w:rFonts w:eastAsia="Arial" w:cs="Arial" w:ascii="Arial" w:hAnsi="Arial"/>
          <w:sz w:val="22"/>
          <w:szCs w:val="22"/>
        </w:rPr>
        <w:t xml:space="preserve">LIMA, Emily Andressa Santos; </w:t>
      </w:r>
      <w:r>
        <w:rPr>
          <w:rFonts w:eastAsia="Arial" w:cs="Arial" w:ascii="Arial" w:hAnsi="Arial"/>
          <w:sz w:val="22"/>
          <w:szCs w:val="22"/>
          <w:vertAlign w:val="superscript"/>
        </w:rPr>
        <w:t>4</w:t>
      </w:r>
      <w:r>
        <w:rPr>
          <w:rFonts w:eastAsia="Arial" w:cs="Arial" w:ascii="Arial" w:hAnsi="Arial"/>
          <w:sz w:val="22"/>
          <w:szCs w:val="22"/>
        </w:rPr>
        <w:t xml:space="preserve">AVELAR, Barbara Rauta; </w:t>
      </w:r>
      <w:r>
        <w:rPr>
          <w:rFonts w:eastAsia="Arial" w:cs="Arial" w:ascii="Arial" w:hAnsi="Arial"/>
          <w:sz w:val="22"/>
          <w:szCs w:val="22"/>
          <w:vertAlign w:val="superscript"/>
        </w:rPr>
        <w:t>5</w:t>
      </w:r>
      <w:r>
        <w:rPr>
          <w:rFonts w:eastAsia="Arial" w:cs="Arial" w:ascii="Arial" w:hAnsi="Arial"/>
          <w:sz w:val="22"/>
          <w:szCs w:val="22"/>
        </w:rPr>
        <w:t>SCOTT, Fabio Barbour</w:t>
      </w:r>
    </w:p>
    <w:p>
      <w:pPr>
        <w:pStyle w:val="Normal"/>
        <w:spacing w:lineRule="auto" w:line="276" w:before="0" w:after="0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spacing w:lineRule="auto" w:line="276" w:before="0" w:after="0"/>
        <w:jc w:val="center"/>
        <w:rPr/>
      </w:pPr>
      <w:r>
        <w:rPr>
          <w:rFonts w:eastAsia="Arial" w:cs="Arial" w:ascii="Arial" w:hAnsi="Arial"/>
          <w:b w:val="false"/>
          <w:sz w:val="22"/>
          <w:szCs w:val="22"/>
          <w:vertAlign w:val="superscript"/>
        </w:rPr>
        <w:t>1</w:t>
      </w:r>
      <w:bookmarkStart w:id="1" w:name="__DdeLink__360_3012493027"/>
      <w:r>
        <w:rPr>
          <w:rFonts w:eastAsia="Arial" w:cs="Arial" w:ascii="Arial" w:hAnsi="Arial"/>
          <w:b w:val="false"/>
          <w:position w:val="0"/>
          <w:sz w:val="22"/>
          <w:sz w:val="22"/>
          <w:szCs w:val="22"/>
          <w:vertAlign w:val="baseline"/>
        </w:rPr>
        <w:t>Graduação em Medicina Veterinária na Universidade Federal Rural do Rio de Janeiro, Bolsista pela Fundação de Apoio à Pesquisa Científica e Tecnológica da UFRRJ</w:t>
      </w:r>
      <w:bookmarkEnd w:id="1"/>
      <w:r>
        <w:rPr>
          <w:rFonts w:eastAsia="Arial" w:cs="Arial" w:ascii="Arial" w:hAnsi="Arial"/>
          <w:b w:val="false"/>
          <w:position w:val="0"/>
          <w:sz w:val="22"/>
          <w:sz w:val="22"/>
          <w:szCs w:val="22"/>
          <w:vertAlign w:val="baseline"/>
        </w:rPr>
        <w:t xml:space="preserve">; </w:t>
      </w:r>
      <w:r>
        <w:rPr>
          <w:rFonts w:eastAsia="Arial" w:cs="Arial" w:ascii="Arial" w:hAnsi="Arial"/>
          <w:b w:val="false"/>
          <w:sz w:val="22"/>
          <w:szCs w:val="22"/>
          <w:vertAlign w:val="superscript"/>
        </w:rPr>
        <w:t>2</w:t>
      </w:r>
      <w:r>
        <w:rPr>
          <w:rFonts w:eastAsia="Arial" w:cs="Arial" w:ascii="Arial" w:hAnsi="Arial"/>
          <w:b w:val="false"/>
          <w:position w:val="0"/>
          <w:sz w:val="22"/>
          <w:sz w:val="22"/>
          <w:szCs w:val="22"/>
          <w:vertAlign w:val="baseline"/>
        </w:rPr>
        <w:t xml:space="preserve">Mestre bolsista CNPq do Programa de Pós-Graduação em Ciências Veterinárias na Universidade Federal Rural do Rio de Janeiro; </w:t>
      </w:r>
      <w:r>
        <w:rPr>
          <w:rFonts w:eastAsia="Arial" w:cs="Arial" w:ascii="Arial" w:hAnsi="Arial"/>
          <w:b w:val="false"/>
          <w:color w:val="000000"/>
          <w:position w:val="0"/>
          <w:sz w:val="22"/>
          <w:sz w:val="22"/>
          <w:szCs w:val="22"/>
          <w:vertAlign w:val="baseline"/>
        </w:rPr>
        <w:t>³</w:t>
      </w:r>
      <w:r>
        <w:rPr>
          <w:rFonts w:eastAsia="Arial" w:cs="Arial" w:ascii="Arial" w:hAnsi="Arial"/>
          <w:b w:val="false"/>
          <w:position w:val="0"/>
          <w:sz w:val="22"/>
          <w:sz w:val="22"/>
          <w:szCs w:val="22"/>
          <w:vertAlign w:val="baseline"/>
        </w:rPr>
        <w:t xml:space="preserve">Doutora bolsista CNPq do Programa de Pós-Graduação em Ciências Veterinárias na Universidade Federal Rural do Rio de Janeiro; </w:t>
      </w:r>
      <w:r>
        <w:rPr>
          <w:rFonts w:eastAsia="Arial" w:cs="Arial" w:ascii="Arial" w:hAnsi="Arial"/>
          <w:b w:val="false"/>
          <w:sz w:val="22"/>
          <w:szCs w:val="22"/>
          <w:vertAlign w:val="superscript"/>
        </w:rPr>
        <w:t>4</w:t>
      </w:r>
      <w:r>
        <w:rPr>
          <w:rFonts w:eastAsia="Arial" w:cs="Arial" w:ascii="Arial" w:hAnsi="Arial"/>
          <w:b w:val="false"/>
          <w:position w:val="0"/>
          <w:sz w:val="22"/>
          <w:sz w:val="22"/>
          <w:szCs w:val="22"/>
          <w:vertAlign w:val="baseline"/>
        </w:rPr>
        <w:t xml:space="preserve">Dr. Estágio em pós-doutoramento do Programa de Pós-Graduação em Ciências Veterinárias na Universidade Federal Rural do Rio de Janeiro; </w:t>
      </w:r>
      <w:r>
        <w:rPr>
          <w:rFonts w:eastAsia="Arial" w:cs="Arial" w:ascii="Arial" w:hAnsi="Arial"/>
          <w:b w:val="false"/>
          <w:sz w:val="22"/>
          <w:szCs w:val="22"/>
          <w:vertAlign w:val="superscript"/>
        </w:rPr>
        <w:t>5</w:t>
      </w:r>
      <w:r>
        <w:rPr>
          <w:rFonts w:eastAsia="Arial" w:cs="Arial" w:ascii="Arial" w:hAnsi="Arial"/>
          <w:b w:val="false"/>
          <w:position w:val="0"/>
          <w:sz w:val="22"/>
          <w:sz w:val="22"/>
          <w:szCs w:val="22"/>
          <w:vertAlign w:val="baseline"/>
        </w:rPr>
        <w:t>Professor associado, D. Sc. Departamento de Parasitologia Animal/Instituto de Veterinária/UFRRJ</w:t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O díptera </w:t>
      </w:r>
      <w:r>
        <w:rPr>
          <w:rFonts w:eastAsia="Arial" w:cs="Arial" w:ascii="Arial" w:hAnsi="Arial"/>
          <w:i/>
          <w:sz w:val="22"/>
          <w:szCs w:val="22"/>
        </w:rPr>
        <w:t>Haematobia irritans,</w:t>
      </w:r>
      <w:r>
        <w:rPr>
          <w:rFonts w:eastAsia="Arial" w:cs="Arial" w:ascii="Arial" w:hAnsi="Arial"/>
          <w:sz w:val="22"/>
          <w:szCs w:val="22"/>
        </w:rPr>
        <w:t xml:space="preserve"> conhecido popularmente como mosca do chifre é responsável por causar diversos danos a pecuária brasileira, como queda na produção de leite e carne, depreciação do couro e transmissão de patógenos, como </w:t>
      </w:r>
      <w:r>
        <w:rPr>
          <w:rFonts w:eastAsia="Arial" w:cs="Arial" w:ascii="Arial" w:hAnsi="Arial"/>
          <w:i/>
          <w:sz w:val="22"/>
          <w:szCs w:val="22"/>
        </w:rPr>
        <w:t>Trypanosoma vivax</w:t>
      </w:r>
      <w:r>
        <w:rPr>
          <w:rFonts w:eastAsia="Arial" w:cs="Arial" w:ascii="Arial" w:hAnsi="Arial"/>
          <w:sz w:val="22"/>
          <w:szCs w:val="22"/>
        </w:rPr>
        <w:t xml:space="preserve">. O objetivo do estudo foi avaliar a eficácia mosquicida de uma formulação a base de fluazuron 2,5%, clorpirifós 7%, cipermetrina 6% e butóxido de piperonila 6%. O estudo ocorreu na área de campo do Laboratório de Quimioterapia Experimental em Parasitologia Veterinária (LQEPV), do Instituto de Veterinária (IV), da Universidade Federal Rural do Rio de Janeiro (UFRRJ), e foi aprovado pela Comissão de Ética no Uso de Animais (CEUA-IV/UFRRJ) sob o número de protocolo 8653260416. Foram selecionados 30 bovinos infestados naturalmente com moscas do chifre, divididos em dois grupos, um grupo tratado (GT) e um grupo controle (GC). O tratamento dos animais pertencentes ao GT foi realizado no dia zero com uma formulação tópica “pour on”, em dose única, 1mL/10kg de peso vivo, na linha do dorso. Os animais do GC permaneceram sem receber tratamento. Para avaliação da eficácia mosquicida os animais foram avaliados quanto a presença de moscas nos dias +1, +3, +7, +14, +21, +28, +35, +42, +49, +56, +63 e +70. A eficácia do produto foi obtida por meio da seguinte formula: Eficácia (%): [(Média de moscas do GC – Média de moscas do GT)/ Média de moscas do GC]*100. Os dados obtidos foram analisados estatisticamente no programa BioStat 5.0, a normalidade foi analisada com o teste de Shapiro-Wilk, quando os dados foram paramétricos utilizou-se Test T e quando foram não paramétricos, Mann Whitney. Todas as análises foram feitas com nível de confiança de 95%. Como resultados obteve-se uma eficácia superior a 95% até o dia +14 e superiores na 90% nos dias +21 e +28 com eficácias observadas de 86,51%,  91,57%, respectivamente. Nas avaliações dos dias +35 até +63 os percentuais de eficácia ficaram entre aproxiamdamente 80 e 50%, diminuindo progressivamente de acordo com os dias de avaliação. O estudo encerrou com 45,49% no dia +70. Em todas as tomadas de tempo os resultados observados no GT diferiram estatisticamente do GC. Conclui-se que a formulação testada é eficaz para o controle de mosca do chifre, por 28 dias de acordo com a recomendação do Ministério da Agricultura Pecuária e Abastecimento, ou seja, com eficácias superiores a 80%. 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Arial" w:cs="Arial" w:ascii="Arial" w:hAnsi="Arial"/>
          <w:sz w:val="22"/>
          <w:szCs w:val="22"/>
        </w:rPr>
        <w:br/>
        <w:t xml:space="preserve">Palavras chave: Mosquicida, mosca do chifre, controle </w:t>
        <w:br/>
        <w:br/>
        <w:t>Agência Financiadora:</w:t>
      </w:r>
      <w:r>
        <w:rPr>
          <w:rFonts w:eastAsia="Arial" w:cs="Arial" w:ascii="Arial" w:hAnsi="Arial"/>
          <w:b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>FAPUR, CNPq, CAPES e MEC.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trackRevisions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pt-BR" w:eastAsia="pt-BR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0"/>
      </w:numPr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numPr>
        <w:ilvl w:val="0"/>
        <w:numId w:val="0"/>
      </w:numPr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numPr>
        <w:ilvl w:val="0"/>
        <w:numId w:val="0"/>
      </w:numPr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 w:val="true"/>
      <w:keepLines/>
      <w:numPr>
        <w:ilvl w:val="0"/>
        <w:numId w:val="0"/>
      </w:numPr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numPr>
        <w:ilvl w:val="0"/>
        <w:numId w:val="0"/>
      </w:numPr>
      <w:spacing w:before="200" w:after="40"/>
      <w:outlineLvl w:val="5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LibreOffice/5.3.6.1$Windows_x86 LibreOffice_project/686f202eff87ef707079aeb7f485847613344eb7</Application>
  <Pages>2</Pages>
  <Words>543</Words>
  <Characters>2980</Characters>
  <CharactersWithSpaces>3523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2020-10-19T13:38:00Z</dcterms:created>
  <dc:creator/>
  <dc:description/>
  <dc:language>pt-BR</dc:language>
  <cp:lastModifiedBy/>
  <dcterms:modified xsi:type="dcterms:W3CDTF">2020-10-19T15:47:58Z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