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49" w:rsidRDefault="00202F39" w:rsidP="00202F39">
      <w:pPr>
        <w:jc w:val="center"/>
        <w:rPr>
          <w:rFonts w:ascii="Times New Roman" w:hAnsi="Times New Roman"/>
          <w:b/>
          <w:bCs/>
          <w:color w:val="000000"/>
          <w:sz w:val="24"/>
          <w:szCs w:val="24"/>
        </w:rPr>
      </w:pPr>
      <w:r>
        <w:rPr>
          <w:rFonts w:ascii="Times New Roman" w:hAnsi="Times New Roman"/>
          <w:b/>
          <w:bCs/>
          <w:color w:val="000000"/>
          <w:sz w:val="24"/>
          <w:szCs w:val="24"/>
        </w:rPr>
        <w:t xml:space="preserve">DESPREPARO DO JUDICIÁRIO </w:t>
      </w:r>
      <w:bookmarkStart w:id="0" w:name="_GoBack"/>
      <w:bookmarkEnd w:id="0"/>
      <w:r>
        <w:rPr>
          <w:rFonts w:ascii="Times New Roman" w:hAnsi="Times New Roman"/>
          <w:b/>
          <w:bCs/>
          <w:color w:val="000000"/>
          <w:sz w:val="24"/>
          <w:szCs w:val="24"/>
        </w:rPr>
        <w:t>BRASILEIRO PARA LIDAR COM ASSASSINOS EM SÉRIE: ANÁLISE DO CASO DE “CHICO PICADINHO”</w:t>
      </w:r>
    </w:p>
    <w:p w:rsidR="00D40B49" w:rsidRDefault="00D40B49" w:rsidP="00D40B49">
      <w:pPr>
        <w:spacing w:after="0" w:line="360" w:lineRule="auto"/>
        <w:jc w:val="center"/>
        <w:rPr>
          <w:rFonts w:ascii="Times New Roman" w:hAnsi="Times New Roman"/>
          <w:b/>
          <w:bCs/>
          <w:color w:val="000000"/>
          <w:sz w:val="24"/>
          <w:szCs w:val="24"/>
        </w:rPr>
      </w:pPr>
    </w:p>
    <w:p w:rsidR="00D40B49" w:rsidRDefault="00202F39" w:rsidP="00D40B4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Thais Eduarda Sasse</w:t>
      </w:r>
      <w:r w:rsidR="00D40B49">
        <w:rPr>
          <w:rStyle w:val="Refdenotaderodap"/>
          <w:rFonts w:ascii="Times New Roman" w:hAnsi="Times New Roman"/>
          <w:b/>
          <w:bCs/>
          <w:color w:val="000000"/>
          <w:sz w:val="24"/>
          <w:szCs w:val="24"/>
        </w:rPr>
        <w:footnoteReference w:id="1"/>
      </w:r>
    </w:p>
    <w:p w:rsidR="00D40B49" w:rsidRPr="00907BD3" w:rsidRDefault="00202F39" w:rsidP="00D40B49">
      <w:pPr>
        <w:spacing w:after="0" w:line="240" w:lineRule="auto"/>
        <w:jc w:val="right"/>
        <w:rPr>
          <w:rFonts w:ascii="Times New Roman" w:hAnsi="Times New Roman"/>
        </w:rPr>
      </w:pPr>
      <w:r>
        <w:rPr>
          <w:rFonts w:ascii="Times New Roman" w:hAnsi="Times New Roman"/>
          <w:b/>
          <w:bCs/>
          <w:color w:val="000000"/>
          <w:sz w:val="24"/>
          <w:szCs w:val="24"/>
        </w:rPr>
        <w:t xml:space="preserve">Yves </w:t>
      </w:r>
      <w:r w:rsidR="00560669">
        <w:rPr>
          <w:rFonts w:ascii="Times New Roman" w:hAnsi="Times New Roman"/>
          <w:b/>
          <w:bCs/>
          <w:color w:val="000000"/>
          <w:sz w:val="24"/>
          <w:szCs w:val="24"/>
        </w:rPr>
        <w:t xml:space="preserve">Silva </w:t>
      </w:r>
      <w:r>
        <w:rPr>
          <w:rFonts w:ascii="Times New Roman" w:hAnsi="Times New Roman"/>
          <w:b/>
          <w:bCs/>
          <w:color w:val="000000"/>
          <w:sz w:val="24"/>
          <w:szCs w:val="24"/>
        </w:rPr>
        <w:t>Correia</w:t>
      </w:r>
      <w:r w:rsidR="00D40B49">
        <w:rPr>
          <w:rStyle w:val="Refdenotaderodap"/>
          <w:rFonts w:ascii="Times New Roman" w:hAnsi="Times New Roman"/>
          <w:b/>
          <w:bCs/>
          <w:color w:val="000000"/>
          <w:sz w:val="24"/>
          <w:szCs w:val="24"/>
        </w:rPr>
        <w:footnoteReference w:id="2"/>
      </w:r>
    </w:p>
    <w:p w:rsidR="00CF62EB" w:rsidRDefault="00CF62EB" w:rsidP="00CF62EB">
      <w:pPr>
        <w:jc w:val="both"/>
        <w:rPr>
          <w:rFonts w:ascii="Times New Roman" w:hAnsi="Times New Roman"/>
        </w:rPr>
      </w:pPr>
      <w:r w:rsidRPr="00202F39">
        <w:rPr>
          <w:rFonts w:ascii="Times New Roman" w:hAnsi="Times New Roman"/>
        </w:rPr>
        <w:t>A Constituição Federal de 1988, em seu artigo 5º, inciso XLVII, prevê que não haverá pena de caráter perpétuo. Além disso, o Código Penal Brasileiro, artigo 75 impõe que a pena privativ</w:t>
      </w:r>
      <w:r>
        <w:rPr>
          <w:rFonts w:ascii="Times New Roman" w:hAnsi="Times New Roman"/>
        </w:rPr>
        <w:t>a de liberdade terá no máximo 40</w:t>
      </w:r>
      <w:r w:rsidRPr="00202F39">
        <w:rPr>
          <w:rFonts w:ascii="Times New Roman" w:hAnsi="Times New Roman"/>
        </w:rPr>
        <w:t xml:space="preserve"> anos de duração</w:t>
      </w:r>
      <w:r>
        <w:rPr>
          <w:rFonts w:ascii="Times New Roman" w:hAnsi="Times New Roman"/>
        </w:rPr>
        <w:t>, conforme alteração legislativa trazida pela Lei 13.964/2019</w:t>
      </w:r>
      <w:r w:rsidRPr="00202F39">
        <w:rPr>
          <w:rFonts w:ascii="Times New Roman" w:hAnsi="Times New Roman"/>
        </w:rPr>
        <w:t>. A questão da punição e ressocialização de “</w:t>
      </w:r>
      <w:proofErr w:type="gramStart"/>
      <w:r w:rsidRPr="00202F39">
        <w:rPr>
          <w:rFonts w:ascii="Times New Roman" w:hAnsi="Times New Roman"/>
        </w:rPr>
        <w:t xml:space="preserve">serial </w:t>
      </w:r>
      <w:proofErr w:type="spellStart"/>
      <w:r w:rsidRPr="00202F39">
        <w:rPr>
          <w:rFonts w:ascii="Times New Roman" w:hAnsi="Times New Roman"/>
        </w:rPr>
        <w:t>killers</w:t>
      </w:r>
      <w:proofErr w:type="spellEnd"/>
      <w:r w:rsidRPr="00202F39">
        <w:rPr>
          <w:rFonts w:ascii="Times New Roman" w:hAnsi="Times New Roman"/>
        </w:rPr>
        <w:t>”</w:t>
      </w:r>
      <w:proofErr w:type="gramEnd"/>
      <w:r w:rsidRPr="00202F39">
        <w:rPr>
          <w:rFonts w:ascii="Times New Roman" w:hAnsi="Times New Roman"/>
        </w:rPr>
        <w:t>, entretanto, ainda causam muitas controvérsias, visto que a legislação brasileira não postula de forma clara como deve ser o tratamento destes casos que são tão específicos e delicados.</w:t>
      </w:r>
      <w:r>
        <w:rPr>
          <w:rFonts w:ascii="Times New Roman" w:hAnsi="Times New Roman"/>
        </w:rPr>
        <w:t xml:space="preserve"> O objetivo desta pesquisa é analisar a maneira como o Judiciário brasileiro age em casos de assassinatos em série, como ocorre </w:t>
      </w:r>
      <w:proofErr w:type="gramStart"/>
      <w:r>
        <w:rPr>
          <w:rFonts w:ascii="Times New Roman" w:hAnsi="Times New Roman"/>
        </w:rPr>
        <w:t>a</w:t>
      </w:r>
      <w:proofErr w:type="gramEnd"/>
      <w:r>
        <w:rPr>
          <w:rFonts w:ascii="Times New Roman" w:hAnsi="Times New Roman"/>
        </w:rPr>
        <w:t xml:space="preserve"> punição desses criminosos e de que maneira pode haver uma ressocialização destes indivíduos. Para tanto, é realizada uma análise do caso do assassino em série “Chico Picadinho”. O método de pesquisa utilizado foi </w:t>
      </w:r>
      <w:proofErr w:type="gramStart"/>
      <w:r>
        <w:rPr>
          <w:rFonts w:ascii="Times New Roman" w:hAnsi="Times New Roman"/>
        </w:rPr>
        <w:t>a</w:t>
      </w:r>
      <w:proofErr w:type="gramEnd"/>
      <w:r>
        <w:rPr>
          <w:rFonts w:ascii="Times New Roman" w:hAnsi="Times New Roman"/>
        </w:rPr>
        <w:t xml:space="preserve"> revisão bibliográfica. </w:t>
      </w:r>
      <w:r w:rsidRPr="00202F39">
        <w:rPr>
          <w:rFonts w:ascii="Times New Roman" w:hAnsi="Times New Roman"/>
        </w:rPr>
        <w:t>O caso de Francisco Costa Rocha, popularmente conhecido como “Chico Picadinho</w:t>
      </w:r>
      <w:r>
        <w:rPr>
          <w:rFonts w:ascii="Times New Roman" w:hAnsi="Times New Roman"/>
        </w:rPr>
        <w:t xml:space="preserve"> traz questões muito relevantes sobre o tema</w:t>
      </w:r>
      <w:r w:rsidRPr="00202F39">
        <w:rPr>
          <w:rFonts w:ascii="Times New Roman" w:hAnsi="Times New Roman"/>
        </w:rPr>
        <w:t xml:space="preserve">. Nas décadas de 1960 e 1970, Francisco assassinou brutalmente duas mulheres. No primeiro assassinato, foi condenado a 17 anos de reclusão, mas ficou na cadeia por </w:t>
      </w:r>
      <w:proofErr w:type="gramStart"/>
      <w:r w:rsidRPr="00202F39">
        <w:rPr>
          <w:rFonts w:ascii="Times New Roman" w:hAnsi="Times New Roman"/>
        </w:rPr>
        <w:t>8</w:t>
      </w:r>
      <w:proofErr w:type="gramEnd"/>
      <w:r w:rsidRPr="00202F39">
        <w:rPr>
          <w:rFonts w:ascii="Times New Roman" w:hAnsi="Times New Roman"/>
        </w:rPr>
        <w:t xml:space="preserve"> anos, tendo sido posto em liberdade por bom comportamento. Já no segundo homicídio, cometido 2 anos após sua soltura, Francisco foi condenado a 20 anos de prisão, que terminou de cumprir em 1998, na Casa de Custódia de Taubaté. Entretanto, após o cumprimento de sua pena, o Ministério Público de São Paulo entrou com um pedido de Interdição Civil contra Francisco, com o fundamento de que o mesmo não estaria apto a viver em sociedade, por ter sido diagnosticado com personalidade psicótica, com manifestações sádicas. Tendo sido o pedido julgado procedente, Francisco deveria ter sido encaminhado para uma instituição adequada para tratamento ambulatorial. Contudo, foi mantido na Casa de Custódia de Taubaté, onde permaneceu por mais de 40 anos, cumprindo uma pena muito além daquela à que tinha sido condenado e também acima do limite imposto pelo o</w:t>
      </w:r>
      <w:r>
        <w:rPr>
          <w:rFonts w:ascii="Times New Roman" w:hAnsi="Times New Roman"/>
        </w:rPr>
        <w:t xml:space="preserve">rdenamento jurídico brasileiro. </w:t>
      </w:r>
      <w:r w:rsidRPr="00202F39">
        <w:rPr>
          <w:rFonts w:ascii="Times New Roman" w:hAnsi="Times New Roman"/>
        </w:rPr>
        <w:t xml:space="preserve">O caso levantou muitos questionamentos sobre a constitucionalidade da forma como o caso de “Chico Picadinho” foi tratado pelo Judiciário. Especialistas do ramo da psicologia e psiquiatria explicam que a psicopatia não se encaixa na visão tradicional de doenças mentais, visto que o psicopata não sofre de alucinações, desorientação ou sofrimento mental intenso. Logo, não se pode falar em uma cura, portanto, aquele que é acometido por psicopatia dificilmente estará livre dos comportamentos psicopatas. Diante disso, há uma grande dificuldade por parte do Judiciário para aplicação das medidas adequadas para garantir que seja concretizado o direito fundamental à liberdade e dignidade da pessoa humana, ao mesmo tempo em que devem ser garantidos os direitos à vida e à segurança para toda a coletividade. O caso de “Chico </w:t>
      </w:r>
      <w:proofErr w:type="gramStart"/>
      <w:r w:rsidRPr="00202F39">
        <w:rPr>
          <w:rFonts w:ascii="Times New Roman" w:hAnsi="Times New Roman"/>
        </w:rPr>
        <w:t>Picadinho”</w:t>
      </w:r>
      <w:proofErr w:type="gramEnd"/>
      <w:r w:rsidRPr="00202F39">
        <w:rPr>
          <w:rFonts w:ascii="Times New Roman" w:hAnsi="Times New Roman"/>
        </w:rPr>
        <w:t xml:space="preserve"> demonstra o despreparo do Judiciário brasileiro para lidar com a questão dos assassinos em série e a necessidade de afastá-los da sociedade sem comprometer os direitos fundamentais desses indivíduos. O ideal, para que fossem garantidos os direitos do indivíduo </w:t>
      </w:r>
      <w:r w:rsidRPr="00202F39">
        <w:rPr>
          <w:rFonts w:ascii="Times New Roman" w:hAnsi="Times New Roman"/>
        </w:rPr>
        <w:lastRenderedPageBreak/>
        <w:t>psicopata com tendências violentas e simultaneamente da coletividade, seria que houvesse um sistema mais preparado, em que o individuo seria afastado da sociedade, mas não estaria em uma prisão perpétua, recebendo tratamento adequado e boa qualidade de vida.</w:t>
      </w:r>
    </w:p>
    <w:p w:rsidR="00D40B49" w:rsidRDefault="00D40B49" w:rsidP="00202F39">
      <w:pPr>
        <w:rPr>
          <w:rFonts w:ascii="Times New Roman" w:hAnsi="Times New Roman"/>
        </w:rPr>
      </w:pPr>
      <w:r w:rsidRPr="009E7977">
        <w:rPr>
          <w:rFonts w:ascii="Times New Roman" w:hAnsi="Times New Roman"/>
          <w:b/>
        </w:rPr>
        <w:t>Palavras-chave:</w:t>
      </w:r>
      <w:r>
        <w:rPr>
          <w:rFonts w:ascii="Times New Roman" w:hAnsi="Times New Roman"/>
        </w:rPr>
        <w:t xml:space="preserve"> </w:t>
      </w:r>
      <w:r w:rsidR="00560669">
        <w:rPr>
          <w:rFonts w:ascii="Times New Roman" w:hAnsi="Times New Roman"/>
        </w:rPr>
        <w:t xml:space="preserve">Judiciário, Assassino Em Série, </w:t>
      </w:r>
      <w:r w:rsidR="00202F39">
        <w:rPr>
          <w:rFonts w:ascii="Times New Roman" w:hAnsi="Times New Roman"/>
        </w:rPr>
        <w:t>Interdição</w:t>
      </w:r>
      <w:r w:rsidR="00560669">
        <w:rPr>
          <w:rFonts w:ascii="Times New Roman" w:hAnsi="Times New Roman"/>
        </w:rPr>
        <w:t>,</w:t>
      </w:r>
      <w:r w:rsidR="00202F39">
        <w:rPr>
          <w:rFonts w:ascii="Times New Roman" w:hAnsi="Times New Roman"/>
        </w:rPr>
        <w:t xml:space="preserve"> Psicopatia</w:t>
      </w:r>
      <w:r>
        <w:rPr>
          <w:rFonts w:ascii="Times New Roman" w:hAnsi="Times New Roman"/>
        </w:rPr>
        <w:t>.</w:t>
      </w:r>
    </w:p>
    <w:p w:rsidR="00202F39" w:rsidRDefault="00202F39" w:rsidP="00202F39">
      <w:pPr>
        <w:rPr>
          <w:rFonts w:ascii="Times New Roman" w:hAnsi="Times New Roman"/>
          <w:b/>
        </w:rPr>
      </w:pPr>
      <w:r>
        <w:rPr>
          <w:rFonts w:ascii="Times New Roman" w:hAnsi="Times New Roman"/>
          <w:b/>
        </w:rPr>
        <w:t>REFERÊNCIAS</w:t>
      </w:r>
    </w:p>
    <w:p w:rsidR="00C61259" w:rsidRDefault="00C61259" w:rsidP="00202F39">
      <w:pPr>
        <w:rPr>
          <w:rFonts w:ascii="Times New Roman" w:hAnsi="Times New Roman"/>
        </w:rPr>
      </w:pPr>
      <w:r>
        <w:rPr>
          <w:rFonts w:ascii="Times New Roman" w:hAnsi="Times New Roman"/>
        </w:rPr>
        <w:t xml:space="preserve">ANDRADE, Ana Helena </w:t>
      </w:r>
      <w:proofErr w:type="spellStart"/>
      <w:r>
        <w:rPr>
          <w:rFonts w:ascii="Times New Roman" w:hAnsi="Times New Roman"/>
        </w:rPr>
        <w:t>Rister</w:t>
      </w:r>
      <w:proofErr w:type="spellEnd"/>
      <w:r>
        <w:rPr>
          <w:rFonts w:ascii="Times New Roman" w:hAnsi="Times New Roman"/>
        </w:rPr>
        <w:t xml:space="preserve">. </w:t>
      </w:r>
      <w:proofErr w:type="gramStart"/>
      <w:r>
        <w:rPr>
          <w:rFonts w:ascii="Times New Roman" w:hAnsi="Times New Roman"/>
        </w:rPr>
        <w:t>SERIAL KILLERS</w:t>
      </w:r>
      <w:proofErr w:type="gramEnd"/>
      <w:r>
        <w:rPr>
          <w:rFonts w:ascii="Times New Roman" w:hAnsi="Times New Roman"/>
        </w:rPr>
        <w:t xml:space="preserve">: PSICOPATAS HOMICIDAS NO ÂMBITO DA LEGISLAÇÃO PENAL BRASILEIRA. Disponível em: </w:t>
      </w:r>
      <w:hyperlink r:id="rId7" w:history="1">
        <w:r w:rsidRPr="00C61259">
          <w:rPr>
            <w:rStyle w:val="Hyperlink"/>
            <w:rFonts w:ascii="Times New Roman" w:hAnsi="Times New Roman"/>
            <w:color w:val="auto"/>
            <w:u w:val="none"/>
          </w:rPr>
          <w:t>https://jus.com.br/artigos/57352/serial-killers-psicopatas-homicidas-no-ambito-da-legislacao-penal-brasileira</w:t>
        </w:r>
      </w:hyperlink>
      <w:r>
        <w:rPr>
          <w:rFonts w:ascii="Times New Roman" w:hAnsi="Times New Roman"/>
        </w:rPr>
        <w:t>. Acesso em: 13 de outubro de 2020.</w:t>
      </w:r>
    </w:p>
    <w:p w:rsidR="00202F39" w:rsidRDefault="00202F39" w:rsidP="00202F39">
      <w:pPr>
        <w:rPr>
          <w:rFonts w:ascii="Times New Roman" w:hAnsi="Times New Roman"/>
        </w:rPr>
      </w:pPr>
      <w:r w:rsidRPr="00202F39">
        <w:rPr>
          <w:rFonts w:ascii="Times New Roman" w:hAnsi="Times New Roman"/>
        </w:rPr>
        <w:t>BRUSTOLIN, G. F.; STEFFENS, A. F. A CONSTITUCIONALIDADE DA INTERNAÇÃO COMPULSÓRIA DE PSICOPATAS SERIAL KILLERS: ANÁLISE DO CASO CHICO PICADINHO. Anuário Pesquisa e Extensão Unoesc São Miguel do Oeste, v. 4, p. e23564, 25 nov. 2019.</w:t>
      </w:r>
    </w:p>
    <w:p w:rsidR="00202F39" w:rsidRDefault="00202F39" w:rsidP="00202F39">
      <w:pPr>
        <w:rPr>
          <w:rFonts w:ascii="Times New Roman" w:hAnsi="Times New Roman"/>
        </w:rPr>
      </w:pPr>
      <w:r w:rsidRPr="00202F39">
        <w:rPr>
          <w:rFonts w:ascii="Times New Roman" w:hAnsi="Times New Roman"/>
        </w:rPr>
        <w:t xml:space="preserve">FREITAS, </w:t>
      </w:r>
      <w:proofErr w:type="spellStart"/>
      <w:r w:rsidRPr="00202F39">
        <w:rPr>
          <w:rFonts w:ascii="Times New Roman" w:hAnsi="Times New Roman"/>
        </w:rPr>
        <w:t>Estephanny</w:t>
      </w:r>
      <w:proofErr w:type="spellEnd"/>
      <w:r w:rsidRPr="00202F39">
        <w:rPr>
          <w:rFonts w:ascii="Times New Roman" w:hAnsi="Times New Roman"/>
        </w:rPr>
        <w:t xml:space="preserve"> Aquino. Apreciação acerca das medidas de segurança e a </w:t>
      </w:r>
      <w:proofErr w:type="spellStart"/>
      <w:r w:rsidRPr="00202F39">
        <w:rPr>
          <w:rFonts w:ascii="Times New Roman" w:hAnsi="Times New Roman"/>
        </w:rPr>
        <w:t>prestabilidade</w:t>
      </w:r>
      <w:proofErr w:type="spellEnd"/>
      <w:r w:rsidRPr="00202F39">
        <w:rPr>
          <w:rFonts w:ascii="Times New Roman" w:hAnsi="Times New Roman"/>
        </w:rPr>
        <w:t xml:space="preserve"> do estado nos cenários psicopáticos. Palmeira dos Índios – AL.. 2019. 24 f. Trabalho de Conclusão de Curso (Graduação em Direito) - Curso de Direito, Faculdade CESMAC do Sertão, Palmeira dos Índios - AL, 2019.</w:t>
      </w:r>
      <w:r>
        <w:rPr>
          <w:rFonts w:ascii="Times New Roman" w:hAnsi="Times New Roman"/>
        </w:rPr>
        <w:t xml:space="preserve"> Disponível em: </w:t>
      </w:r>
      <w:hyperlink r:id="rId8" w:history="1">
        <w:r w:rsidR="00C61259" w:rsidRPr="00C61259">
          <w:rPr>
            <w:rStyle w:val="Hyperlink"/>
            <w:rFonts w:ascii="Times New Roman" w:hAnsi="Times New Roman"/>
            <w:color w:val="auto"/>
            <w:u w:val="none"/>
          </w:rPr>
          <w:t>http://srv-bdtd:8080/handle/tede/617</w:t>
        </w:r>
      </w:hyperlink>
      <w:r w:rsidR="00C61259">
        <w:rPr>
          <w:rFonts w:ascii="Times New Roman" w:hAnsi="Times New Roman"/>
        </w:rPr>
        <w:t>. Acesso em: 13 de outubro de 2020.</w:t>
      </w:r>
    </w:p>
    <w:p w:rsidR="00202F39" w:rsidRDefault="00202F39" w:rsidP="00202F39">
      <w:pPr>
        <w:rPr>
          <w:rFonts w:ascii="Times New Roman" w:hAnsi="Times New Roman"/>
        </w:rPr>
      </w:pPr>
      <w:r w:rsidRPr="00202F39">
        <w:rPr>
          <w:rFonts w:ascii="Times New Roman" w:hAnsi="Times New Roman"/>
        </w:rPr>
        <w:t>STEFANO, Lara Bianca. REFÉNS DA PSICOPATIA. REGRAD - Revista Eletrônica de Graduação do UNIVEM - ISSN 1984-7866, [</w:t>
      </w:r>
      <w:proofErr w:type="spellStart"/>
      <w:r w:rsidRPr="00202F39">
        <w:rPr>
          <w:rFonts w:ascii="Times New Roman" w:hAnsi="Times New Roman"/>
        </w:rPr>
        <w:t>S.l</w:t>
      </w:r>
      <w:proofErr w:type="spellEnd"/>
      <w:r w:rsidRPr="00202F39">
        <w:rPr>
          <w:rFonts w:ascii="Times New Roman" w:hAnsi="Times New Roman"/>
        </w:rPr>
        <w:t xml:space="preserve">.], v. 9, n. 1, p. 235-251, </w:t>
      </w:r>
      <w:proofErr w:type="spellStart"/>
      <w:r w:rsidRPr="00202F39">
        <w:rPr>
          <w:rFonts w:ascii="Times New Roman" w:hAnsi="Times New Roman"/>
        </w:rPr>
        <w:t>aug</w:t>
      </w:r>
      <w:proofErr w:type="spellEnd"/>
      <w:r w:rsidRPr="00202F39">
        <w:rPr>
          <w:rFonts w:ascii="Times New Roman" w:hAnsi="Times New Roman"/>
        </w:rPr>
        <w:t>. 2016. ISSN 1984-7866. Disponível em: &lt;</w:t>
      </w:r>
      <w:proofErr w:type="gramStart"/>
      <w:r w:rsidRPr="00202F39">
        <w:rPr>
          <w:rFonts w:ascii="Times New Roman" w:hAnsi="Times New Roman"/>
        </w:rPr>
        <w:t>https</w:t>
      </w:r>
      <w:proofErr w:type="gramEnd"/>
      <w:r w:rsidRPr="00202F39">
        <w:rPr>
          <w:rFonts w:ascii="Times New Roman" w:hAnsi="Times New Roman"/>
        </w:rPr>
        <w:t>://revista.univem.edu.br/REGRAD/articl</w:t>
      </w:r>
      <w:r w:rsidR="00C61259">
        <w:rPr>
          <w:rFonts w:ascii="Times New Roman" w:hAnsi="Times New Roman"/>
        </w:rPr>
        <w:t>e/view/1270&gt;. Acesso em: 13 de outubro</w:t>
      </w:r>
      <w:r w:rsidRPr="00202F39">
        <w:rPr>
          <w:rFonts w:ascii="Times New Roman" w:hAnsi="Times New Roman"/>
        </w:rPr>
        <w:t xml:space="preserve"> 2020.</w:t>
      </w:r>
    </w:p>
    <w:p w:rsidR="00C61259" w:rsidRDefault="00C61259" w:rsidP="00C61259">
      <w:pPr>
        <w:jc w:val="both"/>
        <w:rPr>
          <w:rFonts w:ascii="Times New Roman" w:hAnsi="Times New Roman"/>
        </w:rPr>
      </w:pPr>
      <w:r>
        <w:rPr>
          <w:rFonts w:ascii="Times New Roman" w:hAnsi="Times New Roman"/>
        </w:rPr>
        <w:t xml:space="preserve">VIANA, </w:t>
      </w:r>
      <w:proofErr w:type="spellStart"/>
      <w:r>
        <w:rPr>
          <w:rFonts w:ascii="Times New Roman" w:hAnsi="Times New Roman"/>
        </w:rPr>
        <w:t>Elidiane</w:t>
      </w:r>
      <w:proofErr w:type="spellEnd"/>
      <w:r>
        <w:rPr>
          <w:rFonts w:ascii="Times New Roman" w:hAnsi="Times New Roman"/>
        </w:rPr>
        <w:t xml:space="preserve"> Nunes. </w:t>
      </w:r>
      <w:r w:rsidRPr="00C61259">
        <w:rPr>
          <w:rFonts w:ascii="Times New Roman" w:hAnsi="Times New Roman"/>
        </w:rPr>
        <w:t>A Psicopatia Perpétua Versus a Obrigatoriedade de Liber</w:t>
      </w:r>
      <w:r>
        <w:rPr>
          <w:rFonts w:ascii="Times New Roman" w:hAnsi="Times New Roman"/>
        </w:rPr>
        <w:t xml:space="preserve">ação/ </w:t>
      </w:r>
      <w:proofErr w:type="spellStart"/>
      <w:r>
        <w:rPr>
          <w:rFonts w:ascii="Times New Roman" w:hAnsi="Times New Roman"/>
        </w:rPr>
        <w:t>Elidiane</w:t>
      </w:r>
      <w:proofErr w:type="spellEnd"/>
      <w:r>
        <w:rPr>
          <w:rFonts w:ascii="Times New Roman" w:hAnsi="Times New Roman"/>
        </w:rPr>
        <w:t xml:space="preserve"> Nunes Viana, </w:t>
      </w:r>
      <w:proofErr w:type="spellStart"/>
      <w:r>
        <w:rPr>
          <w:rFonts w:ascii="Times New Roman" w:hAnsi="Times New Roman"/>
        </w:rPr>
        <w:t>Ma</w:t>
      </w:r>
      <w:proofErr w:type="spellEnd"/>
      <w:r>
        <w:rPr>
          <w:rFonts w:ascii="Times New Roman" w:hAnsi="Times New Roman"/>
        </w:rPr>
        <w:t xml:space="preserve">. </w:t>
      </w:r>
      <w:r w:rsidRPr="00C61259">
        <w:rPr>
          <w:rFonts w:ascii="Times New Roman" w:hAnsi="Times New Roman"/>
        </w:rPr>
        <w:t>Michelle Soares Garcia. -- Porto Velho: Centro Universitário São Lucas, 2018.</w:t>
      </w:r>
      <w:r>
        <w:rPr>
          <w:rFonts w:ascii="Times New Roman" w:hAnsi="Times New Roman"/>
        </w:rPr>
        <w:t xml:space="preserve"> Disponível em: </w:t>
      </w:r>
      <w:hyperlink r:id="rId9" w:history="1">
        <w:r w:rsidRPr="00C61259">
          <w:rPr>
            <w:rStyle w:val="Hyperlink"/>
            <w:rFonts w:ascii="Times New Roman" w:hAnsi="Times New Roman"/>
            <w:color w:val="auto"/>
            <w:u w:val="none"/>
          </w:rPr>
          <w:t>http://repositorio.saolucas.edu.br:8080/xmlui/bitstream/handle/123456789/2834/Elidiane%20Nunes%20Viana.%20-%20A%20psicopatia%20perp%C3%A9tua%20versus%20a%20obrigatoriedade%20de%20libera%C3%A7%C3%A3o..pdf?sequence=1</w:t>
        </w:r>
      </w:hyperlink>
      <w:r>
        <w:rPr>
          <w:rFonts w:ascii="Times New Roman" w:hAnsi="Times New Roman"/>
        </w:rPr>
        <w:t xml:space="preserve">. </w:t>
      </w:r>
    </w:p>
    <w:p w:rsidR="00C61259" w:rsidRDefault="00C61259" w:rsidP="00C61259">
      <w:pPr>
        <w:jc w:val="both"/>
        <w:rPr>
          <w:rFonts w:ascii="Times New Roman" w:hAnsi="Times New Roman"/>
        </w:rPr>
      </w:pPr>
    </w:p>
    <w:p w:rsidR="00202F39" w:rsidRPr="00202F39" w:rsidRDefault="00202F39" w:rsidP="00202F39">
      <w:pPr>
        <w:rPr>
          <w:rFonts w:ascii="Times New Roman" w:hAnsi="Times New Roman"/>
        </w:rPr>
      </w:pPr>
    </w:p>
    <w:sectPr w:rsidR="00202F39" w:rsidRPr="00202F39" w:rsidSect="00F60F6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52" w:rsidRDefault="00AF2852" w:rsidP="00D40B49">
      <w:pPr>
        <w:spacing w:after="0" w:line="240" w:lineRule="auto"/>
      </w:pPr>
      <w:r>
        <w:separator/>
      </w:r>
    </w:p>
  </w:endnote>
  <w:endnote w:type="continuationSeparator" w:id="0">
    <w:p w:rsidR="00AF2852" w:rsidRDefault="00AF2852"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A9" w:rsidRDefault="00D40B49">
    <w:pPr>
      <w:pStyle w:val="Rodap"/>
    </w:pPr>
    <w:r w:rsidRPr="0049475A">
      <w:rPr>
        <w:noProof/>
        <w:lang w:eastAsia="pt-BR"/>
      </w:rPr>
      <w:drawing>
        <wp:inline distT="0" distB="0" distL="0" distR="0">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rsidR="009239A9" w:rsidRDefault="00AF28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52" w:rsidRDefault="00AF2852" w:rsidP="00D40B49">
      <w:pPr>
        <w:spacing w:after="0" w:line="240" w:lineRule="auto"/>
      </w:pPr>
      <w:r>
        <w:separator/>
      </w:r>
    </w:p>
  </w:footnote>
  <w:footnote w:type="continuationSeparator" w:id="0">
    <w:p w:rsidR="00AF2852" w:rsidRDefault="00AF2852" w:rsidP="00D40B49">
      <w:pPr>
        <w:spacing w:after="0" w:line="240" w:lineRule="auto"/>
      </w:pPr>
      <w:r>
        <w:continuationSeparator/>
      </w:r>
    </w:p>
  </w:footnote>
  <w:footnote w:id="1">
    <w:p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00202F39">
        <w:rPr>
          <w:rFonts w:ascii="Times New Roman" w:hAnsi="Times New Roman"/>
        </w:rPr>
        <w:t xml:space="preserve"> Aluna</w:t>
      </w:r>
      <w:r w:rsidRPr="00671461">
        <w:rPr>
          <w:rFonts w:ascii="Times New Roman" w:hAnsi="Times New Roman"/>
        </w:rPr>
        <w:t xml:space="preserve"> da </w:t>
      </w:r>
      <w:r>
        <w:rPr>
          <w:rFonts w:ascii="Times New Roman" w:hAnsi="Times New Roman"/>
        </w:rPr>
        <w:t>UNI</w:t>
      </w:r>
      <w:r w:rsidR="00202F39">
        <w:rPr>
          <w:rFonts w:ascii="Times New Roman" w:hAnsi="Times New Roman"/>
        </w:rPr>
        <w:t>FAAHF; Colegiado de Direito; thais_sasse@hotmail.com</w:t>
      </w:r>
      <w:r w:rsidRPr="00671461">
        <w:rPr>
          <w:rFonts w:ascii="Times New Roman" w:hAnsi="Times New Roman"/>
        </w:rPr>
        <w:t>.</w:t>
      </w:r>
    </w:p>
  </w:footnote>
  <w:footnote w:id="2">
    <w:p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00560669">
        <w:rPr>
          <w:rFonts w:ascii="Times New Roman" w:hAnsi="Times New Roman"/>
        </w:rPr>
        <w:t xml:space="preserve"> Delegado de Polícia; Professor de Processo Penal; </w:t>
      </w:r>
      <w:proofErr w:type="gramStart"/>
      <w:r w:rsidR="00560669">
        <w:rPr>
          <w:rFonts w:ascii="Times New Roman" w:hAnsi="Times New Roman"/>
        </w:rPr>
        <w:t>Pós graduado</w:t>
      </w:r>
      <w:proofErr w:type="gramEnd"/>
      <w:r w:rsidR="00560669">
        <w:rPr>
          <w:rFonts w:ascii="Times New Roman" w:hAnsi="Times New Roman"/>
        </w:rPr>
        <w:t xml:space="preserve"> em Direito Público e Privado</w:t>
      </w:r>
      <w:r w:rsidRPr="00671461">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5E8DD465" wp14:editId="021A1AC2">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1F97A756" wp14:editId="17FB54E7">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49"/>
    <w:rsid w:val="00202F39"/>
    <w:rsid w:val="002740D4"/>
    <w:rsid w:val="00560669"/>
    <w:rsid w:val="00821D44"/>
    <w:rsid w:val="0087761D"/>
    <w:rsid w:val="0093310E"/>
    <w:rsid w:val="00AF2852"/>
    <w:rsid w:val="00C43FB7"/>
    <w:rsid w:val="00C61259"/>
    <w:rsid w:val="00C7349E"/>
    <w:rsid w:val="00C859E1"/>
    <w:rsid w:val="00CF62EB"/>
    <w:rsid w:val="00D40B49"/>
    <w:rsid w:val="00D94B74"/>
    <w:rsid w:val="00DD6BC6"/>
    <w:rsid w:val="00E45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 w:type="paragraph" w:styleId="Textodebalo">
    <w:name w:val="Balloon Text"/>
    <w:basedOn w:val="Normal"/>
    <w:link w:val="TextodebaloChar"/>
    <w:uiPriority w:val="99"/>
    <w:semiHidden/>
    <w:unhideWhenUsed/>
    <w:rsid w:val="00202F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F39"/>
    <w:rPr>
      <w:rFonts w:ascii="Tahoma" w:eastAsia="Calibri" w:hAnsi="Tahoma" w:cs="Tahoma"/>
      <w:sz w:val="16"/>
      <w:szCs w:val="16"/>
    </w:rPr>
  </w:style>
  <w:style w:type="character" w:styleId="Hyperlink">
    <w:name w:val="Hyperlink"/>
    <w:basedOn w:val="Fontepargpadro"/>
    <w:uiPriority w:val="99"/>
    <w:unhideWhenUsed/>
    <w:rsid w:val="00C612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 w:type="paragraph" w:styleId="Textodebalo">
    <w:name w:val="Balloon Text"/>
    <w:basedOn w:val="Normal"/>
    <w:link w:val="TextodebaloChar"/>
    <w:uiPriority w:val="99"/>
    <w:semiHidden/>
    <w:unhideWhenUsed/>
    <w:rsid w:val="00202F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F39"/>
    <w:rPr>
      <w:rFonts w:ascii="Tahoma" w:eastAsia="Calibri" w:hAnsi="Tahoma" w:cs="Tahoma"/>
      <w:sz w:val="16"/>
      <w:szCs w:val="16"/>
    </w:rPr>
  </w:style>
  <w:style w:type="character" w:styleId="Hyperlink">
    <w:name w:val="Hyperlink"/>
    <w:basedOn w:val="Fontepargpadro"/>
    <w:uiPriority w:val="99"/>
    <w:unhideWhenUsed/>
    <w:rsid w:val="00C61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bdtd:8080/handle/tede/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s.com.br/artigos/57352/serial-killers-psicopatas-homicidas-no-ambito-da-legislacao-penal-brasileir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positorio.saolucas.edu.br:8080/xmlui/bitstream/handle/123456789/2834/Elidiane%20Nunes%20Viana.%20-%20A%20psicopatia%20perp%C3%A9tua%20versus%20a%20obrigatoriedade%20de%20libera%C3%A7%C3%A3o..pdf?sequence=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dcterms:created xsi:type="dcterms:W3CDTF">2020-10-19T02:16:00Z</dcterms:created>
  <dcterms:modified xsi:type="dcterms:W3CDTF">2020-10-19T02:16:00Z</dcterms:modified>
</cp:coreProperties>
</file>