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47" w:rsidRPr="0081656E" w:rsidRDefault="00023F47" w:rsidP="00023F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B49" w:rsidRPr="0081656E" w:rsidRDefault="008B230C" w:rsidP="008B230C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1656E">
        <w:rPr>
          <w:rFonts w:ascii="Times New Roman" w:hAnsi="Times New Roman"/>
          <w:b/>
          <w:iCs/>
          <w:sz w:val="24"/>
          <w:szCs w:val="24"/>
        </w:rPr>
        <w:t xml:space="preserve">CONTROLE DE </w:t>
      </w:r>
      <w:proofErr w:type="spellStart"/>
      <w:r w:rsidRPr="0081656E">
        <w:rPr>
          <w:rFonts w:ascii="Times New Roman" w:hAnsi="Times New Roman"/>
          <w:b/>
          <w:i/>
          <w:sz w:val="24"/>
          <w:szCs w:val="24"/>
        </w:rPr>
        <w:t>Spodoptera</w:t>
      </w:r>
      <w:proofErr w:type="spellEnd"/>
      <w:r w:rsidRPr="0081656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656E">
        <w:rPr>
          <w:rFonts w:ascii="Times New Roman" w:hAnsi="Times New Roman"/>
          <w:b/>
          <w:i/>
          <w:sz w:val="24"/>
          <w:szCs w:val="24"/>
        </w:rPr>
        <w:t>frugiperda</w:t>
      </w:r>
      <w:proofErr w:type="spellEnd"/>
      <w:r w:rsidRPr="008165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656E">
        <w:rPr>
          <w:rFonts w:ascii="Times New Roman" w:hAnsi="Times New Roman"/>
          <w:b/>
          <w:sz w:val="24"/>
          <w:szCs w:val="24"/>
        </w:rPr>
        <w:t xml:space="preserve">(J.E. SMITH, 1797) </w:t>
      </w:r>
      <w:r w:rsidR="006870CA" w:rsidRPr="0081656E">
        <w:rPr>
          <w:rFonts w:ascii="Times New Roman" w:hAnsi="Times New Roman"/>
          <w:b/>
          <w:sz w:val="24"/>
          <w:szCs w:val="24"/>
        </w:rPr>
        <w:t xml:space="preserve">EM LABORATÓRIO </w:t>
      </w:r>
      <w:r w:rsidRPr="0081656E">
        <w:rPr>
          <w:rFonts w:ascii="Times New Roman" w:hAnsi="Times New Roman"/>
          <w:b/>
          <w:sz w:val="24"/>
          <w:szCs w:val="24"/>
        </w:rPr>
        <w:t>COM DIFERENTES DOSES DE TEFLUBENZ</w:t>
      </w:r>
      <w:r w:rsidR="006870CA" w:rsidRPr="0081656E">
        <w:rPr>
          <w:rFonts w:ascii="Times New Roman" w:hAnsi="Times New Roman"/>
          <w:b/>
          <w:sz w:val="24"/>
          <w:szCs w:val="24"/>
        </w:rPr>
        <w:t xml:space="preserve">UROM, NOVALUROM E </w:t>
      </w:r>
      <w:proofErr w:type="gramStart"/>
      <w:r w:rsidR="006870CA" w:rsidRPr="0081656E">
        <w:rPr>
          <w:rFonts w:ascii="Times New Roman" w:hAnsi="Times New Roman"/>
          <w:b/>
          <w:sz w:val="24"/>
          <w:szCs w:val="24"/>
        </w:rPr>
        <w:t>CLORFLUAZUROM</w:t>
      </w:r>
      <w:proofErr w:type="gramEnd"/>
    </w:p>
    <w:p w:rsidR="00023F47" w:rsidRPr="0081656E" w:rsidRDefault="00023F47" w:rsidP="00B733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0B49" w:rsidRPr="0081656E" w:rsidRDefault="008B230C" w:rsidP="00D40B4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656E">
        <w:rPr>
          <w:rFonts w:ascii="Times New Roman" w:hAnsi="Times New Roman"/>
          <w:b/>
          <w:sz w:val="24"/>
          <w:szCs w:val="24"/>
        </w:rPr>
        <w:t>Jackelyne</w:t>
      </w:r>
      <w:proofErr w:type="spellEnd"/>
      <w:r w:rsidRPr="0081656E">
        <w:rPr>
          <w:rFonts w:ascii="Times New Roman" w:hAnsi="Times New Roman"/>
          <w:b/>
          <w:sz w:val="24"/>
          <w:szCs w:val="24"/>
        </w:rPr>
        <w:t xml:space="preserve"> de Castro Oliveira</w:t>
      </w:r>
      <w:r w:rsidR="00D40B49"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1"/>
      </w:r>
    </w:p>
    <w:p w:rsidR="00D40B49" w:rsidRPr="0081656E" w:rsidRDefault="003B77E3" w:rsidP="00D40B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656E">
        <w:rPr>
          <w:rFonts w:ascii="Times New Roman" w:hAnsi="Times New Roman"/>
          <w:b/>
          <w:bCs/>
          <w:sz w:val="24"/>
          <w:szCs w:val="24"/>
        </w:rPr>
        <w:t>Fábio Cruz da Silva</w:t>
      </w:r>
      <w:r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t xml:space="preserve"> </w:t>
      </w:r>
      <w:r w:rsidR="00D40B49"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2"/>
      </w:r>
    </w:p>
    <w:p w:rsidR="00D40B49" w:rsidRPr="0081656E" w:rsidRDefault="003B77E3" w:rsidP="00D40B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81656E">
        <w:rPr>
          <w:rFonts w:ascii="Times New Roman" w:hAnsi="Times New Roman"/>
          <w:b/>
          <w:bCs/>
          <w:sz w:val="24"/>
          <w:szCs w:val="24"/>
        </w:rPr>
        <w:t>Vitória Santos</w:t>
      </w:r>
      <w:proofErr w:type="gramEnd"/>
      <w:r w:rsidRPr="0081656E">
        <w:rPr>
          <w:rFonts w:ascii="Times New Roman" w:hAnsi="Times New Roman"/>
          <w:b/>
          <w:bCs/>
          <w:sz w:val="24"/>
          <w:szCs w:val="24"/>
        </w:rPr>
        <w:t xml:space="preserve"> Xavier da Cruz</w:t>
      </w:r>
      <w:r w:rsidR="00D40B49"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3"/>
      </w:r>
    </w:p>
    <w:p w:rsidR="00D40B49" w:rsidRPr="0081656E" w:rsidRDefault="008B230C" w:rsidP="00D40B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656E">
        <w:rPr>
          <w:rFonts w:ascii="Times New Roman" w:hAnsi="Times New Roman"/>
          <w:b/>
          <w:sz w:val="24"/>
          <w:szCs w:val="24"/>
        </w:rPr>
        <w:t xml:space="preserve">Mônica </w:t>
      </w:r>
      <w:proofErr w:type="spellStart"/>
      <w:r w:rsidRPr="0081656E">
        <w:rPr>
          <w:rFonts w:ascii="Times New Roman" w:hAnsi="Times New Roman"/>
          <w:b/>
          <w:sz w:val="24"/>
          <w:szCs w:val="24"/>
        </w:rPr>
        <w:t>Cagnin</w:t>
      </w:r>
      <w:proofErr w:type="spellEnd"/>
      <w:r w:rsidRPr="0081656E">
        <w:rPr>
          <w:rFonts w:ascii="Times New Roman" w:hAnsi="Times New Roman"/>
          <w:b/>
          <w:sz w:val="24"/>
          <w:szCs w:val="24"/>
        </w:rPr>
        <w:t xml:space="preserve"> Martins</w:t>
      </w:r>
      <w:r w:rsidR="00D40B49"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4"/>
      </w:r>
    </w:p>
    <w:p w:rsidR="00D40B49" w:rsidRPr="0081656E" w:rsidRDefault="008B230C" w:rsidP="00D40B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656E">
        <w:rPr>
          <w:rFonts w:ascii="Times New Roman" w:hAnsi="Times New Roman"/>
          <w:b/>
          <w:sz w:val="24"/>
          <w:szCs w:val="24"/>
        </w:rPr>
        <w:t xml:space="preserve">Marco </w:t>
      </w:r>
      <w:proofErr w:type="spellStart"/>
      <w:r w:rsidRPr="0081656E">
        <w:rPr>
          <w:rFonts w:ascii="Times New Roman" w:hAnsi="Times New Roman"/>
          <w:b/>
          <w:sz w:val="24"/>
          <w:szCs w:val="24"/>
        </w:rPr>
        <w:t>Antonio</w:t>
      </w:r>
      <w:proofErr w:type="spellEnd"/>
      <w:r w:rsidRPr="008165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656E">
        <w:rPr>
          <w:rFonts w:ascii="Times New Roman" w:hAnsi="Times New Roman"/>
          <w:b/>
          <w:sz w:val="24"/>
          <w:szCs w:val="24"/>
        </w:rPr>
        <w:t>Tamai</w:t>
      </w:r>
      <w:proofErr w:type="spellEnd"/>
      <w:r w:rsidR="00D40B49" w:rsidRPr="0081656E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5"/>
      </w:r>
    </w:p>
    <w:p w:rsidR="00810D0D" w:rsidRPr="0081656E" w:rsidRDefault="00810D0D" w:rsidP="008B2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3A7" w:rsidRPr="0081656E" w:rsidRDefault="008B230C" w:rsidP="0068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56E">
        <w:rPr>
          <w:rFonts w:ascii="Times New Roman" w:hAnsi="Times New Roman"/>
          <w:sz w:val="24"/>
          <w:szCs w:val="24"/>
        </w:rPr>
        <w:t xml:space="preserve">A pesquisa foi conduzida no Laboratório de Entomologia Agrícola da Universidade do Estado da Bahia, Barreiras/BA, com o objetivo de avaliar o controle de </w:t>
      </w:r>
      <w:r w:rsidRPr="0081656E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por diferentes doses de </w:t>
      </w:r>
      <w:proofErr w:type="spellStart"/>
      <w:r w:rsidRPr="0081656E">
        <w:rPr>
          <w:rFonts w:ascii="Times New Roman" w:hAnsi="Times New Roman"/>
          <w:sz w:val="24"/>
          <w:szCs w:val="24"/>
        </w:rPr>
        <w:t>teflubenzurom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656E">
        <w:rPr>
          <w:rFonts w:ascii="Times New Roman" w:hAnsi="Times New Roman"/>
          <w:sz w:val="24"/>
          <w:szCs w:val="24"/>
        </w:rPr>
        <w:t>Nomolt</w:t>
      </w:r>
      <w:proofErr w:type="spellEnd"/>
      <w:r w:rsidRPr="0081656E">
        <w:rPr>
          <w:rFonts w:ascii="Times New Roman" w:hAnsi="Times New Roman"/>
          <w:sz w:val="24"/>
          <w:szCs w:val="24"/>
          <w:vertAlign w:val="superscript"/>
        </w:rPr>
        <w:t>®</w:t>
      </w:r>
      <w:r w:rsidRPr="0081656E">
        <w:rPr>
          <w:rFonts w:ascii="Times New Roman" w:hAnsi="Times New Roman"/>
          <w:sz w:val="24"/>
          <w:szCs w:val="24"/>
        </w:rPr>
        <w:t xml:space="preserve"> 150), </w:t>
      </w:r>
      <w:proofErr w:type="spellStart"/>
      <w:r w:rsidRPr="0081656E">
        <w:rPr>
          <w:rFonts w:ascii="Times New Roman" w:hAnsi="Times New Roman"/>
          <w:sz w:val="24"/>
          <w:szCs w:val="24"/>
        </w:rPr>
        <w:t>novalurom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656E">
        <w:rPr>
          <w:rFonts w:ascii="Times New Roman" w:hAnsi="Times New Roman"/>
          <w:sz w:val="24"/>
          <w:szCs w:val="24"/>
        </w:rPr>
        <w:t>Rimon</w:t>
      </w:r>
      <w:proofErr w:type="spellEnd"/>
      <w:r w:rsidRPr="0081656E">
        <w:rPr>
          <w:rFonts w:ascii="Times New Roman" w:hAnsi="Times New Roman"/>
          <w:sz w:val="24"/>
          <w:szCs w:val="24"/>
          <w:vertAlign w:val="superscript"/>
        </w:rPr>
        <w:t>®</w:t>
      </w:r>
      <w:r w:rsidRPr="0081656E">
        <w:rPr>
          <w:rFonts w:ascii="Times New Roman" w:hAnsi="Times New Roman"/>
          <w:sz w:val="24"/>
          <w:szCs w:val="24"/>
        </w:rPr>
        <w:t xml:space="preserve"> Supra) e </w:t>
      </w:r>
      <w:proofErr w:type="spellStart"/>
      <w:r w:rsidRPr="0081656E">
        <w:rPr>
          <w:rFonts w:ascii="Times New Roman" w:hAnsi="Times New Roman"/>
          <w:sz w:val="24"/>
          <w:szCs w:val="24"/>
        </w:rPr>
        <w:t>clorfluazurom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656E">
        <w:rPr>
          <w:rFonts w:ascii="Times New Roman" w:hAnsi="Times New Roman"/>
          <w:sz w:val="24"/>
          <w:szCs w:val="24"/>
        </w:rPr>
        <w:t>Atabron</w:t>
      </w:r>
      <w:proofErr w:type="spellEnd"/>
      <w:r w:rsidRPr="0081656E">
        <w:rPr>
          <w:rFonts w:ascii="Times New Roman" w:hAnsi="Times New Roman"/>
          <w:sz w:val="24"/>
          <w:szCs w:val="24"/>
          <w:vertAlign w:val="superscript"/>
        </w:rPr>
        <w:t>®</w:t>
      </w:r>
      <w:r w:rsidRPr="0081656E">
        <w:rPr>
          <w:rFonts w:ascii="Times New Roman" w:hAnsi="Times New Roman"/>
          <w:sz w:val="24"/>
          <w:szCs w:val="24"/>
        </w:rPr>
        <w:t xml:space="preserve"> 50EC). Foram conduzidos três ensaios, um para cada inseticida, em delineamento experimental inteiramente </w:t>
      </w:r>
      <w:proofErr w:type="spellStart"/>
      <w:r w:rsidRPr="0081656E">
        <w:rPr>
          <w:rFonts w:ascii="Times New Roman" w:hAnsi="Times New Roman"/>
          <w:sz w:val="24"/>
          <w:szCs w:val="24"/>
        </w:rPr>
        <w:t>casualizado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, com </w:t>
      </w:r>
      <w:proofErr w:type="gramStart"/>
      <w:r w:rsidRPr="0081656E">
        <w:rPr>
          <w:rFonts w:ascii="Times New Roman" w:hAnsi="Times New Roman"/>
          <w:sz w:val="24"/>
          <w:szCs w:val="24"/>
        </w:rPr>
        <w:t>4</w:t>
      </w:r>
      <w:proofErr w:type="gramEnd"/>
      <w:r w:rsidRPr="0081656E">
        <w:rPr>
          <w:rFonts w:ascii="Times New Roman" w:hAnsi="Times New Roman"/>
          <w:sz w:val="24"/>
          <w:szCs w:val="24"/>
        </w:rPr>
        <w:t xml:space="preserve"> repe</w:t>
      </w:r>
      <w:r w:rsidR="007A26B6">
        <w:rPr>
          <w:rFonts w:ascii="Times New Roman" w:hAnsi="Times New Roman"/>
          <w:sz w:val="24"/>
          <w:szCs w:val="24"/>
        </w:rPr>
        <w:t>tições de 10 lagartas de segundo</w:t>
      </w:r>
      <w:r w:rsidRPr="008165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56E">
        <w:rPr>
          <w:rFonts w:ascii="Times New Roman" w:hAnsi="Times New Roman"/>
          <w:sz w:val="24"/>
          <w:szCs w:val="24"/>
        </w:rPr>
        <w:t>ínstar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criada em dieta artificial de Greene et al. (1976). As doses avaliadas foram de 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 (ingrediente ativo); 30,0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37,5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45,0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.; 52,5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 e de 60,0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656E">
        <w:rPr>
          <w:rFonts w:ascii="Times New Roman" w:hAnsi="Times New Roman"/>
          <w:sz w:val="24"/>
          <w:szCs w:val="24"/>
        </w:rPr>
        <w:t>teflubenzurom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(Primeiro Ensaio); doses de 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20,0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25,0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30,0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.; 35,0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 e de 40,0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656E">
        <w:rPr>
          <w:rFonts w:ascii="Times New Roman" w:hAnsi="Times New Roman"/>
          <w:sz w:val="24"/>
          <w:szCs w:val="24"/>
        </w:rPr>
        <w:t>novalurom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(Segundo Ensaio); doses de 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20,0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22,5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.; 25,0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.; 27,5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 xml:space="preserve">. e de 30,0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656E">
        <w:rPr>
          <w:rFonts w:ascii="Times New Roman" w:hAnsi="Times New Roman"/>
          <w:sz w:val="24"/>
          <w:szCs w:val="24"/>
        </w:rPr>
        <w:t>clorfluazurom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(Terceiro Ensaio). Em cada ensaio os tratamentos foram aplicados com pulverizador pressurizado a CO</w:t>
      </w:r>
      <w:r w:rsidRPr="0081656E">
        <w:rPr>
          <w:rFonts w:ascii="Times New Roman" w:hAnsi="Times New Roman"/>
          <w:sz w:val="24"/>
          <w:szCs w:val="24"/>
          <w:vertAlign w:val="subscript"/>
        </w:rPr>
        <w:t>2</w:t>
      </w:r>
      <w:r w:rsidR="00B07426">
        <w:rPr>
          <w:rFonts w:ascii="Times New Roman" w:hAnsi="Times New Roman"/>
          <w:sz w:val="24"/>
          <w:szCs w:val="24"/>
        </w:rPr>
        <w:t>, volume de calda de 150,0 L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="007A26B6">
        <w:rPr>
          <w:rFonts w:ascii="Times New Roman" w:hAnsi="Times New Roman"/>
          <w:sz w:val="24"/>
          <w:szCs w:val="24"/>
        </w:rPr>
        <w:t>, sobre</w:t>
      </w:r>
      <w:r w:rsidRPr="0081656E">
        <w:rPr>
          <w:rFonts w:ascii="Times New Roman" w:hAnsi="Times New Roman"/>
          <w:sz w:val="24"/>
          <w:szCs w:val="24"/>
        </w:rPr>
        <w:t xml:space="preserve"> </w:t>
      </w:r>
      <w:r w:rsidRPr="0081656E">
        <w:rPr>
          <w:rFonts w:ascii="Times New Roman" w:hAnsi="Times New Roman"/>
          <w:bCs/>
          <w:sz w:val="24"/>
          <w:szCs w:val="24"/>
        </w:rPr>
        <w:t xml:space="preserve">folhas de algodão </w:t>
      </w:r>
      <w:proofErr w:type="gramStart"/>
      <w:r w:rsidRPr="0081656E">
        <w:rPr>
          <w:rFonts w:ascii="Times New Roman" w:hAnsi="Times New Roman"/>
          <w:bCs/>
          <w:sz w:val="24"/>
          <w:szCs w:val="24"/>
        </w:rPr>
        <w:t>da cultivar</w:t>
      </w:r>
      <w:proofErr w:type="gramEnd"/>
      <w:r w:rsidRPr="0081656E">
        <w:rPr>
          <w:rFonts w:ascii="Times New Roman" w:hAnsi="Times New Roman"/>
          <w:bCs/>
          <w:sz w:val="24"/>
          <w:szCs w:val="24"/>
        </w:rPr>
        <w:t xml:space="preserve"> BRS 336 </w:t>
      </w:r>
      <w:r w:rsidRPr="0081656E">
        <w:rPr>
          <w:rFonts w:ascii="Times New Roman" w:hAnsi="Times New Roman"/>
          <w:sz w:val="24"/>
          <w:szCs w:val="24"/>
        </w:rPr>
        <w:t xml:space="preserve">sem genes da bactéria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8165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thuringiensis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var.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kurstaki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56E">
        <w:rPr>
          <w:rFonts w:ascii="Times New Roman" w:hAnsi="Times New Roman"/>
          <w:sz w:val="24"/>
          <w:szCs w:val="24"/>
        </w:rPr>
        <w:t>Berliner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que levam a produção de toxinas inseticidas </w:t>
      </w:r>
      <w:proofErr w:type="spellStart"/>
      <w:r w:rsidRPr="0081656E">
        <w:rPr>
          <w:rFonts w:ascii="Times New Roman" w:hAnsi="Times New Roman"/>
          <w:sz w:val="24"/>
          <w:szCs w:val="24"/>
        </w:rPr>
        <w:t>Cry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656E">
        <w:rPr>
          <w:rFonts w:ascii="Times New Roman" w:hAnsi="Times New Roman"/>
          <w:sz w:val="24"/>
          <w:szCs w:val="24"/>
        </w:rPr>
        <w:t>Vip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em seus tecidos, sendo assim considerada suscetível a </w:t>
      </w:r>
      <w:r w:rsidRPr="0081656E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Pr="0081656E">
        <w:rPr>
          <w:rFonts w:ascii="Times New Roman" w:hAnsi="Times New Roman"/>
          <w:i/>
          <w:sz w:val="24"/>
          <w:szCs w:val="24"/>
        </w:rPr>
        <w:t>.</w:t>
      </w:r>
      <w:r w:rsidRPr="0081656E">
        <w:rPr>
          <w:rFonts w:ascii="Times New Roman" w:hAnsi="Times New Roman"/>
          <w:sz w:val="24"/>
          <w:szCs w:val="24"/>
        </w:rPr>
        <w:t xml:space="preserve"> Após a aplicação, as folhas</w:t>
      </w:r>
      <w:r w:rsidRPr="0081656E">
        <w:rPr>
          <w:rFonts w:ascii="Times New Roman" w:hAnsi="Times New Roman"/>
          <w:bCs/>
          <w:sz w:val="24"/>
          <w:szCs w:val="24"/>
        </w:rPr>
        <w:t xml:space="preserve"> dos tratamentos foram </w:t>
      </w:r>
      <w:r w:rsidRPr="0081656E">
        <w:rPr>
          <w:rFonts w:ascii="Times New Roman" w:hAnsi="Times New Roman"/>
          <w:sz w:val="24"/>
          <w:szCs w:val="24"/>
        </w:rPr>
        <w:t xml:space="preserve">colocadas em frascos transparentes (5,0 cm x 4,0 cm), na quantidade de </w:t>
      </w:r>
      <w:proofErr w:type="gramStart"/>
      <w:r w:rsidRPr="0081656E">
        <w:rPr>
          <w:rFonts w:ascii="Times New Roman" w:hAnsi="Times New Roman"/>
          <w:sz w:val="24"/>
          <w:szCs w:val="24"/>
        </w:rPr>
        <w:t>1</w:t>
      </w:r>
      <w:proofErr w:type="gramEnd"/>
      <w:r w:rsidRPr="0081656E">
        <w:rPr>
          <w:rFonts w:ascii="Times New Roman" w:hAnsi="Times New Roman"/>
          <w:sz w:val="24"/>
          <w:szCs w:val="24"/>
        </w:rPr>
        <w:t xml:space="preserve"> folha/frasco, contendo uma lagarta no fundo, e mantidos em câmara incubadora (25 ± 1ºC e 12 horas de </w:t>
      </w:r>
      <w:proofErr w:type="spellStart"/>
      <w:r w:rsidRPr="0081656E">
        <w:rPr>
          <w:rFonts w:ascii="Times New Roman" w:hAnsi="Times New Roman"/>
          <w:sz w:val="24"/>
          <w:szCs w:val="24"/>
        </w:rPr>
        <w:t>fotofase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). As folhas de todos os tratamentos foram substituídas por outras não pulverizadas em intervalo de </w:t>
      </w:r>
      <w:proofErr w:type="gramStart"/>
      <w:r w:rsidRPr="0081656E">
        <w:rPr>
          <w:rFonts w:ascii="Times New Roman" w:hAnsi="Times New Roman"/>
          <w:sz w:val="24"/>
          <w:szCs w:val="24"/>
        </w:rPr>
        <w:t>3</w:t>
      </w:r>
      <w:proofErr w:type="gramEnd"/>
      <w:r w:rsidRPr="0081656E">
        <w:rPr>
          <w:rFonts w:ascii="Times New Roman" w:hAnsi="Times New Roman"/>
          <w:sz w:val="24"/>
          <w:szCs w:val="24"/>
        </w:rPr>
        <w:t xml:space="preserve"> dias. As avaliações foram realizadas diariamente, por 10 dias, </w:t>
      </w:r>
      <w:r w:rsidR="00047A2F">
        <w:rPr>
          <w:rFonts w:ascii="Times New Roman" w:hAnsi="Times New Roman"/>
          <w:sz w:val="24"/>
          <w:szCs w:val="24"/>
        </w:rPr>
        <w:t>avaliando</w:t>
      </w:r>
      <w:r w:rsidR="007E0D6D">
        <w:rPr>
          <w:rFonts w:ascii="Times New Roman" w:hAnsi="Times New Roman"/>
          <w:sz w:val="24"/>
          <w:szCs w:val="24"/>
        </w:rPr>
        <w:t xml:space="preserve"> a mortalidade</w:t>
      </w:r>
      <w:r w:rsidRPr="0081656E">
        <w:rPr>
          <w:rFonts w:ascii="Times New Roman" w:hAnsi="Times New Roman"/>
          <w:sz w:val="24"/>
          <w:szCs w:val="24"/>
        </w:rPr>
        <w:t>. Os valores de mortalidade foram transformados em porcentagem e então submetidos à análise de variância e comparação de médias pelo teste de Scott-</w:t>
      </w:r>
      <w:proofErr w:type="spellStart"/>
      <w:r w:rsidRPr="0081656E">
        <w:rPr>
          <w:rFonts w:ascii="Times New Roman" w:hAnsi="Times New Roman"/>
          <w:sz w:val="24"/>
          <w:szCs w:val="24"/>
        </w:rPr>
        <w:t>Knott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(1974) a 5% de probabilidade, utilizando o programa SISVAR (FERREIRA, 1999). Aos </w:t>
      </w:r>
      <w:proofErr w:type="gramStart"/>
      <w:r w:rsidRPr="0081656E">
        <w:rPr>
          <w:rFonts w:ascii="Times New Roman" w:hAnsi="Times New Roman"/>
          <w:sz w:val="24"/>
          <w:szCs w:val="24"/>
        </w:rPr>
        <w:t>4</w:t>
      </w:r>
      <w:proofErr w:type="gramEnd"/>
      <w:r w:rsidRPr="0081656E">
        <w:rPr>
          <w:rFonts w:ascii="Times New Roman" w:hAnsi="Times New Roman"/>
          <w:sz w:val="24"/>
          <w:szCs w:val="24"/>
        </w:rPr>
        <w:t xml:space="preserve"> e 8 dias após a aplicação os valores de mortalidade acumulada de lagartas para as respectivas doses de </w:t>
      </w:r>
      <w:proofErr w:type="spellStart"/>
      <w:r w:rsidRPr="0081656E">
        <w:rPr>
          <w:rFonts w:ascii="Times New Roman" w:hAnsi="Times New Roman"/>
          <w:sz w:val="24"/>
          <w:szCs w:val="24"/>
        </w:rPr>
        <w:t>teflubenzurom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foram de 72,9% e 85,7% (dose de 30,0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84,2% e 84,2% (37,5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40,5% e 70,2% (45,0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76,4% e 76,4% (52,5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 </w:t>
      </w:r>
      <w:r w:rsidR="00B07426">
        <w:rPr>
          <w:rFonts w:ascii="Times New Roman" w:hAnsi="Times New Roman"/>
          <w:sz w:val="24"/>
          <w:szCs w:val="24"/>
        </w:rPr>
        <w:t xml:space="preserve">e de 67,3% e 72,9% (60,0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). Para as doses de </w:t>
      </w:r>
      <w:proofErr w:type="spellStart"/>
      <w:r w:rsidRPr="0081656E">
        <w:rPr>
          <w:rFonts w:ascii="Times New Roman" w:hAnsi="Times New Roman"/>
          <w:sz w:val="24"/>
          <w:szCs w:val="24"/>
        </w:rPr>
        <w:t>novalurom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foram de 5,0% e 15,0% (20,0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20,6% e 43,9% (25,0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22,5% e 40,0% (30,0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7,8% e 38,3% </w:t>
      </w:r>
    </w:p>
    <w:p w:rsidR="00B733A7" w:rsidRPr="0081656E" w:rsidRDefault="00B733A7" w:rsidP="0068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510" w:rsidRDefault="00E03510" w:rsidP="008B2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30C" w:rsidRPr="0081656E" w:rsidRDefault="008B230C" w:rsidP="008B230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81656E">
        <w:rPr>
          <w:rFonts w:ascii="Times New Roman" w:hAnsi="Times New Roman"/>
          <w:sz w:val="24"/>
          <w:szCs w:val="24"/>
        </w:rPr>
        <w:t xml:space="preserve">(35,0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 </w:t>
      </w:r>
      <w:r w:rsidR="00B07426">
        <w:rPr>
          <w:rFonts w:ascii="Times New Roman" w:hAnsi="Times New Roman"/>
          <w:sz w:val="24"/>
          <w:szCs w:val="24"/>
        </w:rPr>
        <w:t xml:space="preserve">e de 17,5% e 45,8% (40,0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). Já para </w:t>
      </w:r>
      <w:proofErr w:type="spellStart"/>
      <w:r w:rsidRPr="0081656E">
        <w:rPr>
          <w:rFonts w:ascii="Times New Roman" w:hAnsi="Times New Roman"/>
          <w:sz w:val="24"/>
          <w:szCs w:val="24"/>
        </w:rPr>
        <w:t>clorfluazurom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, também aos </w:t>
      </w:r>
      <w:proofErr w:type="gramStart"/>
      <w:r w:rsidRPr="0081656E">
        <w:rPr>
          <w:rFonts w:ascii="Times New Roman" w:hAnsi="Times New Roman"/>
          <w:sz w:val="24"/>
          <w:szCs w:val="24"/>
        </w:rPr>
        <w:t>4</w:t>
      </w:r>
      <w:proofErr w:type="gramEnd"/>
      <w:r w:rsidRPr="0081656E">
        <w:rPr>
          <w:rFonts w:ascii="Times New Roman" w:hAnsi="Times New Roman"/>
          <w:sz w:val="24"/>
          <w:szCs w:val="24"/>
        </w:rPr>
        <w:t xml:space="preserve"> e 8 dias, foram de 49,5% e 89,7% (20,0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27,5% e 82,5% (22,5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54,5% e 79,7% (25,0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.); 66,7% e 94,7% (27,5 g </w:t>
      </w:r>
      <w:proofErr w:type="spellStart"/>
      <w:r w:rsidRPr="0081656E">
        <w:rPr>
          <w:rFonts w:ascii="Times New Roman" w:hAnsi="Times New Roman"/>
          <w:sz w:val="24"/>
          <w:szCs w:val="24"/>
        </w:rPr>
        <w:t>i.a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.) </w:t>
      </w:r>
      <w:r w:rsidR="00B07426">
        <w:rPr>
          <w:rFonts w:ascii="Times New Roman" w:hAnsi="Times New Roman"/>
          <w:sz w:val="24"/>
          <w:szCs w:val="24"/>
        </w:rPr>
        <w:t xml:space="preserve">e de 32,0% e 77,2% (30,0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). Os inseticidas </w:t>
      </w:r>
      <w:proofErr w:type="spellStart"/>
      <w:r w:rsidRPr="0081656E">
        <w:rPr>
          <w:rFonts w:ascii="Times New Roman" w:hAnsi="Times New Roman"/>
          <w:sz w:val="24"/>
          <w:szCs w:val="24"/>
        </w:rPr>
        <w:t>teflubenzurom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656E">
        <w:rPr>
          <w:rFonts w:ascii="Times New Roman" w:hAnsi="Times New Roman"/>
          <w:sz w:val="24"/>
          <w:szCs w:val="24"/>
        </w:rPr>
        <w:t>clorfluazurom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podem ser utilizados em programas de manejo de </w:t>
      </w:r>
      <w:r w:rsidRPr="0081656E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81656E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Pr="0081656E">
        <w:rPr>
          <w:rFonts w:ascii="Times New Roman" w:hAnsi="Times New Roman"/>
          <w:sz w:val="24"/>
          <w:szCs w:val="24"/>
        </w:rPr>
        <w:t xml:space="preserve"> no algodoeiro, com estes apresentando, ao oitavo dia após a aplicação, desempenho acima de 70,0% de controle pa</w:t>
      </w:r>
      <w:r w:rsidR="00B07426">
        <w:rPr>
          <w:rFonts w:ascii="Times New Roman" w:hAnsi="Times New Roman"/>
          <w:sz w:val="24"/>
          <w:szCs w:val="24"/>
        </w:rPr>
        <w:t xml:space="preserve">ra as doses acima de 0,0 g </w:t>
      </w:r>
      <w:proofErr w:type="spellStart"/>
      <w:r w:rsidR="00B07426">
        <w:rPr>
          <w:rFonts w:ascii="Times New Roman" w:hAnsi="Times New Roman"/>
          <w:sz w:val="24"/>
          <w:szCs w:val="24"/>
        </w:rPr>
        <w:t>i.a</w:t>
      </w:r>
      <w:proofErr w:type="spellEnd"/>
      <w:r w:rsidR="00B07426">
        <w:rPr>
          <w:rFonts w:ascii="Times New Roman" w:hAnsi="Times New Roman"/>
          <w:sz w:val="24"/>
          <w:szCs w:val="24"/>
        </w:rPr>
        <w:t>. ha</w:t>
      </w:r>
      <w:r w:rsidR="00B07426">
        <w:rPr>
          <w:rFonts w:ascii="Times New Roman" w:hAnsi="Times New Roman"/>
          <w:sz w:val="24"/>
          <w:szCs w:val="24"/>
          <w:vertAlign w:val="superscript"/>
        </w:rPr>
        <w:t>-1</w:t>
      </w:r>
      <w:r w:rsidRPr="0081656E">
        <w:rPr>
          <w:rFonts w:ascii="Times New Roman" w:hAnsi="Times New Roman"/>
          <w:sz w:val="24"/>
          <w:szCs w:val="24"/>
        </w:rPr>
        <w:t xml:space="preserve"> (Testemunha).</w:t>
      </w:r>
    </w:p>
    <w:p w:rsidR="00D40B49" w:rsidRPr="0081656E" w:rsidRDefault="00D40B49" w:rsidP="00E56F91">
      <w:pPr>
        <w:jc w:val="both"/>
        <w:rPr>
          <w:rFonts w:ascii="Times New Roman" w:hAnsi="Times New Roman"/>
          <w:iCs/>
          <w:sz w:val="24"/>
          <w:szCs w:val="24"/>
        </w:rPr>
      </w:pPr>
    </w:p>
    <w:p w:rsidR="00D40B49" w:rsidRPr="0081656E" w:rsidRDefault="00D40B49" w:rsidP="002C23FC">
      <w:pPr>
        <w:jc w:val="both"/>
        <w:rPr>
          <w:rFonts w:ascii="Times New Roman" w:hAnsi="Times New Roman"/>
        </w:rPr>
      </w:pPr>
      <w:r w:rsidRPr="0081656E">
        <w:rPr>
          <w:rFonts w:ascii="Times New Roman" w:hAnsi="Times New Roman"/>
          <w:b/>
        </w:rPr>
        <w:t>Palavras-chave:</w:t>
      </w:r>
      <w:r w:rsidRPr="0081656E">
        <w:rPr>
          <w:rFonts w:ascii="Times New Roman" w:hAnsi="Times New Roman"/>
        </w:rPr>
        <w:t xml:space="preserve"> </w:t>
      </w:r>
      <w:r w:rsidR="008B230C" w:rsidRPr="0081656E">
        <w:rPr>
          <w:rFonts w:ascii="Times New Roman" w:hAnsi="Times New Roman"/>
        </w:rPr>
        <w:t xml:space="preserve">Controle químico, </w:t>
      </w:r>
      <w:proofErr w:type="spellStart"/>
      <w:r w:rsidR="008B230C" w:rsidRPr="0081656E">
        <w:rPr>
          <w:rFonts w:ascii="Times New Roman" w:hAnsi="Times New Roman"/>
        </w:rPr>
        <w:t>benzoiluréia</w:t>
      </w:r>
      <w:proofErr w:type="spellEnd"/>
      <w:r w:rsidR="008B230C" w:rsidRPr="0081656E">
        <w:rPr>
          <w:rFonts w:ascii="Times New Roman" w:hAnsi="Times New Roman"/>
        </w:rPr>
        <w:t>, lagarta-do-cartucho, algodão.</w:t>
      </w:r>
    </w:p>
    <w:sectPr w:rsidR="00D40B49" w:rsidRPr="0081656E" w:rsidSect="008A27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4B" w:rsidRDefault="009C0A4B" w:rsidP="00D40B49">
      <w:pPr>
        <w:spacing w:after="0" w:line="240" w:lineRule="auto"/>
      </w:pPr>
      <w:r>
        <w:separator/>
      </w:r>
    </w:p>
  </w:endnote>
  <w:endnote w:type="continuationSeparator" w:id="0">
    <w:p w:rsidR="009C0A4B" w:rsidRDefault="009C0A4B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E035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4B" w:rsidRDefault="009C0A4B" w:rsidP="00D40B49">
      <w:pPr>
        <w:spacing w:after="0" w:line="240" w:lineRule="auto"/>
      </w:pPr>
      <w:r>
        <w:separator/>
      </w:r>
    </w:p>
  </w:footnote>
  <w:footnote w:type="continuationSeparator" w:id="0">
    <w:p w:rsidR="009C0A4B" w:rsidRDefault="009C0A4B" w:rsidP="00D40B49">
      <w:pPr>
        <w:spacing w:after="0" w:line="240" w:lineRule="auto"/>
      </w:pPr>
      <w:r>
        <w:continuationSeparator/>
      </w:r>
    </w:p>
  </w:footnote>
  <w:footnote w:id="1">
    <w:p w:rsidR="00D40B49" w:rsidRPr="0081656E" w:rsidRDefault="00D40B49" w:rsidP="008A2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656E">
        <w:rPr>
          <w:rStyle w:val="Refdenotaderodap"/>
          <w:rFonts w:ascii="Times New Roman" w:hAnsi="Times New Roman"/>
          <w:sz w:val="20"/>
          <w:szCs w:val="20"/>
        </w:rPr>
        <w:footnoteRef/>
      </w:r>
      <w:r w:rsidR="000D47E2" w:rsidRPr="0081656E">
        <w:rPr>
          <w:rFonts w:ascii="Times New Roman" w:hAnsi="Times New Roman"/>
          <w:sz w:val="20"/>
          <w:szCs w:val="20"/>
        </w:rPr>
        <w:t>Aluna da Universidade do Estado da Bahia; Agronomia. jackelynecastro16@gmail.com.</w:t>
      </w:r>
    </w:p>
  </w:footnote>
  <w:footnote w:id="2">
    <w:p w:rsidR="00D40B49" w:rsidRPr="0081656E" w:rsidRDefault="00D40B49" w:rsidP="008A2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656E">
        <w:rPr>
          <w:rStyle w:val="Refdenotaderodap"/>
          <w:rFonts w:ascii="Times New Roman" w:hAnsi="Times New Roman"/>
          <w:sz w:val="20"/>
          <w:szCs w:val="20"/>
        </w:rPr>
        <w:footnoteRef/>
      </w:r>
      <w:r w:rsidR="003B77E3" w:rsidRPr="0081656E">
        <w:rPr>
          <w:rFonts w:ascii="Times New Roman" w:hAnsi="Times New Roman"/>
          <w:sz w:val="20"/>
          <w:szCs w:val="20"/>
        </w:rPr>
        <w:t xml:space="preserve">Aluno da </w:t>
      </w:r>
      <w:r w:rsidR="003B77E3" w:rsidRPr="0081656E">
        <w:rPr>
          <w:rFonts w:ascii="Times New Roman" w:hAnsi="Times New Roman"/>
          <w:sz w:val="20"/>
          <w:szCs w:val="20"/>
          <w:shd w:val="clear" w:color="auto" w:fill="FFFFFF"/>
        </w:rPr>
        <w:t>Faculdade Regional da Bahia; Agronomia.</w:t>
      </w:r>
    </w:p>
  </w:footnote>
  <w:footnote w:id="3">
    <w:p w:rsidR="00D40B49" w:rsidRPr="0081656E" w:rsidRDefault="00D40B49" w:rsidP="008A2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656E">
        <w:rPr>
          <w:rStyle w:val="Refdenotaderodap"/>
          <w:rFonts w:ascii="Times New Roman" w:hAnsi="Times New Roman"/>
          <w:sz w:val="20"/>
          <w:szCs w:val="20"/>
        </w:rPr>
        <w:footnoteRef/>
      </w:r>
      <w:r w:rsidR="003B77E3" w:rsidRPr="0081656E">
        <w:rPr>
          <w:rFonts w:ascii="Times New Roman" w:hAnsi="Times New Roman"/>
          <w:sz w:val="20"/>
          <w:szCs w:val="20"/>
        </w:rPr>
        <w:t xml:space="preserve">Aluna do </w:t>
      </w:r>
      <w:r w:rsidR="003B77E3" w:rsidRPr="0081656E">
        <w:rPr>
          <w:rFonts w:ascii="Times New Roman" w:hAnsi="Times New Roman"/>
          <w:bCs/>
          <w:sz w:val="20"/>
          <w:szCs w:val="20"/>
        </w:rPr>
        <w:t>Centro Territorial de Educação Profissional da Bacia do Rio Grande; Técnico em Agropecuária.</w:t>
      </w:r>
    </w:p>
  </w:footnote>
  <w:footnote w:id="4">
    <w:p w:rsidR="00D40B49" w:rsidRPr="0081656E" w:rsidRDefault="00D40B49" w:rsidP="008A2747">
      <w:pPr>
        <w:pStyle w:val="Textodenotaderodap"/>
        <w:jc w:val="both"/>
        <w:rPr>
          <w:rFonts w:ascii="Times New Roman" w:hAnsi="Times New Roman"/>
        </w:rPr>
      </w:pPr>
      <w:r w:rsidRPr="0081656E">
        <w:rPr>
          <w:rStyle w:val="Refdenotaderodap"/>
          <w:rFonts w:ascii="Times New Roman" w:hAnsi="Times New Roman"/>
        </w:rPr>
        <w:footnoteRef/>
      </w:r>
      <w:r w:rsidR="000D47E2" w:rsidRPr="0081656E">
        <w:rPr>
          <w:rFonts w:ascii="Times New Roman" w:hAnsi="Times New Roman"/>
        </w:rPr>
        <w:t>Doutora. Docente da UNIFAAHF; Agronomia.</w:t>
      </w:r>
    </w:p>
  </w:footnote>
  <w:footnote w:id="5">
    <w:p w:rsidR="00D40B49" w:rsidRPr="0081656E" w:rsidRDefault="00D40B49" w:rsidP="008A2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656E">
        <w:rPr>
          <w:rStyle w:val="Refdenotaderodap"/>
          <w:rFonts w:ascii="Times New Roman" w:hAnsi="Times New Roman"/>
          <w:sz w:val="20"/>
          <w:szCs w:val="20"/>
        </w:rPr>
        <w:footnoteRef/>
      </w:r>
      <w:r w:rsidR="000D47E2" w:rsidRPr="0081656E">
        <w:rPr>
          <w:rFonts w:ascii="Times New Roman" w:hAnsi="Times New Roman"/>
          <w:sz w:val="20"/>
          <w:szCs w:val="20"/>
        </w:rPr>
        <w:t>Doutor. Docente da Universidade do Estado da Bahia; Agronomia.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B49"/>
    <w:rsid w:val="00012350"/>
    <w:rsid w:val="00014BD9"/>
    <w:rsid w:val="00017866"/>
    <w:rsid w:val="00023F47"/>
    <w:rsid w:val="00047A2F"/>
    <w:rsid w:val="0007460A"/>
    <w:rsid w:val="000800AC"/>
    <w:rsid w:val="000D47E2"/>
    <w:rsid w:val="00101997"/>
    <w:rsid w:val="00182ABE"/>
    <w:rsid w:val="001D3348"/>
    <w:rsid w:val="00280E9A"/>
    <w:rsid w:val="002C23FC"/>
    <w:rsid w:val="00327B62"/>
    <w:rsid w:val="00367DB9"/>
    <w:rsid w:val="00374FBB"/>
    <w:rsid w:val="003B77E3"/>
    <w:rsid w:val="004A1748"/>
    <w:rsid w:val="005062EE"/>
    <w:rsid w:val="006126C8"/>
    <w:rsid w:val="006870CA"/>
    <w:rsid w:val="006A5EF3"/>
    <w:rsid w:val="00737B22"/>
    <w:rsid w:val="007A26B6"/>
    <w:rsid w:val="007C418E"/>
    <w:rsid w:val="007E0D6D"/>
    <w:rsid w:val="00810D0D"/>
    <w:rsid w:val="0081656E"/>
    <w:rsid w:val="0087761D"/>
    <w:rsid w:val="008A2747"/>
    <w:rsid w:val="008B230C"/>
    <w:rsid w:val="0093310E"/>
    <w:rsid w:val="0094529E"/>
    <w:rsid w:val="009653DD"/>
    <w:rsid w:val="00967060"/>
    <w:rsid w:val="009A734D"/>
    <w:rsid w:val="009C0A4B"/>
    <w:rsid w:val="009F0BB0"/>
    <w:rsid w:val="00A813CC"/>
    <w:rsid w:val="00AB2BF6"/>
    <w:rsid w:val="00B07426"/>
    <w:rsid w:val="00B340CE"/>
    <w:rsid w:val="00B55471"/>
    <w:rsid w:val="00B733A7"/>
    <w:rsid w:val="00C43FB7"/>
    <w:rsid w:val="00C7349E"/>
    <w:rsid w:val="00CF3973"/>
    <w:rsid w:val="00CF539E"/>
    <w:rsid w:val="00D40B49"/>
    <w:rsid w:val="00D6795C"/>
    <w:rsid w:val="00D901E4"/>
    <w:rsid w:val="00D94B74"/>
    <w:rsid w:val="00DA496D"/>
    <w:rsid w:val="00DD6BC6"/>
    <w:rsid w:val="00E03510"/>
    <w:rsid w:val="00E56F91"/>
    <w:rsid w:val="00E95903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79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2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jackelyne castro</cp:lastModifiedBy>
  <cp:revision>11</cp:revision>
  <dcterms:created xsi:type="dcterms:W3CDTF">2020-10-08T11:56:00Z</dcterms:created>
  <dcterms:modified xsi:type="dcterms:W3CDTF">2020-10-17T23:29:00Z</dcterms:modified>
</cp:coreProperties>
</file>