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B25D9" w14:textId="77777777" w:rsidR="00B77250" w:rsidRPr="00935AC4" w:rsidRDefault="00B77250" w:rsidP="0094437E">
      <w:pPr>
        <w:pStyle w:val="Textodecomentrio"/>
        <w:spacing w:line="360" w:lineRule="auto"/>
        <w:jc w:val="center"/>
        <w:rPr>
          <w:b/>
          <w:sz w:val="24"/>
          <w:szCs w:val="24"/>
        </w:rPr>
      </w:pPr>
      <w:r w:rsidRPr="00935AC4">
        <w:rPr>
          <w:b/>
          <w:sz w:val="24"/>
          <w:szCs w:val="24"/>
        </w:rPr>
        <w:t xml:space="preserve">INOCULAÇÃO E COINOCULAÇÃO DE SEMENTES DE SOJA </w:t>
      </w:r>
      <w:r w:rsidRPr="00935AC4">
        <w:rPr>
          <w:b/>
          <w:iCs/>
          <w:sz w:val="24"/>
          <w:szCs w:val="24"/>
          <w:shd w:val="clear" w:color="auto" w:fill="FFFFFF"/>
        </w:rPr>
        <w:t xml:space="preserve">EM ASSOCIAÇÃO COM APLICAÇÃO FOLIAR DE </w:t>
      </w:r>
      <w:r w:rsidRPr="00935AC4">
        <w:rPr>
          <w:b/>
          <w:i/>
          <w:iCs/>
          <w:sz w:val="24"/>
          <w:szCs w:val="24"/>
          <w:shd w:val="clear" w:color="auto" w:fill="FFFFFF"/>
        </w:rPr>
        <w:t>AZOSPIRILLUM BRASILENSE</w:t>
      </w:r>
    </w:p>
    <w:p w14:paraId="2AB7BD17" w14:textId="77777777" w:rsidR="00D40B49" w:rsidRDefault="00D40B49" w:rsidP="00D40B49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5DDEB3A" w14:textId="77777777" w:rsidR="00D40B49" w:rsidRDefault="00B77250" w:rsidP="00D40B49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Cristian Yoshiharu da Silva Murata</w:t>
      </w:r>
      <w:r w:rsidR="00D40B49">
        <w:rPr>
          <w:rStyle w:val="Refdenotaderodap"/>
          <w:rFonts w:ascii="Times New Roman" w:hAnsi="Times New Roman"/>
          <w:b/>
          <w:bCs/>
          <w:color w:val="000000"/>
          <w:sz w:val="24"/>
          <w:szCs w:val="24"/>
        </w:rPr>
        <w:footnoteReference w:id="1"/>
      </w:r>
    </w:p>
    <w:p w14:paraId="0D96020A" w14:textId="747DEDE4" w:rsidR="00D40B49" w:rsidRPr="008952C4" w:rsidRDefault="00191060" w:rsidP="00D40B49">
      <w:pPr>
        <w:spacing w:after="0" w:line="240" w:lineRule="auto"/>
        <w:jc w:val="right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b/>
          <w:sz w:val="24"/>
          <w:szCs w:val="24"/>
          <w:lang w:val="pt-PT"/>
        </w:rPr>
        <w:t xml:space="preserve">Janio Rodrigues da </w:t>
      </w:r>
      <w:r w:rsidR="00310E0E">
        <w:rPr>
          <w:rFonts w:ascii="Times New Roman" w:hAnsi="Times New Roman"/>
          <w:b/>
          <w:sz w:val="24"/>
          <w:szCs w:val="24"/>
          <w:lang w:val="pt-PT"/>
        </w:rPr>
        <w:t>Luz</w:t>
      </w:r>
      <w:r w:rsidR="008952C4">
        <w:rPr>
          <w:rFonts w:ascii="Times New Roman" w:hAnsi="Times New Roman"/>
          <w:b/>
          <w:bCs/>
          <w:color w:val="000000"/>
          <w:sz w:val="24"/>
          <w:szCs w:val="24"/>
          <w:vertAlign w:val="superscript"/>
        </w:rPr>
        <w:t>1</w:t>
      </w:r>
    </w:p>
    <w:p w14:paraId="4ED8F7AC" w14:textId="77C98AAD" w:rsidR="00D40B49" w:rsidRPr="008952C4" w:rsidRDefault="00310E0E" w:rsidP="00D40B49">
      <w:pPr>
        <w:spacing w:after="0" w:line="240" w:lineRule="auto"/>
        <w:jc w:val="right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Ícaro </w:t>
      </w:r>
      <w:r w:rsidR="00191060">
        <w:rPr>
          <w:rFonts w:ascii="Times New Roman" w:hAnsi="Times New Roman"/>
          <w:b/>
          <w:bCs/>
          <w:color w:val="000000"/>
          <w:sz w:val="24"/>
          <w:szCs w:val="24"/>
        </w:rPr>
        <w:t xml:space="preserve">de Oliveira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Dreges</w:t>
      </w:r>
      <w:r w:rsidR="008952C4">
        <w:rPr>
          <w:rFonts w:ascii="Times New Roman" w:hAnsi="Times New Roman"/>
          <w:b/>
          <w:bCs/>
          <w:color w:val="000000"/>
          <w:sz w:val="24"/>
          <w:szCs w:val="24"/>
          <w:vertAlign w:val="superscript"/>
        </w:rPr>
        <w:t>1</w:t>
      </w:r>
    </w:p>
    <w:p w14:paraId="74A26A9B" w14:textId="6BBECE2B" w:rsidR="00D40B49" w:rsidRPr="008952C4" w:rsidRDefault="00310E0E" w:rsidP="00D40B49">
      <w:pPr>
        <w:spacing w:after="0" w:line="240" w:lineRule="auto"/>
        <w:jc w:val="right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Luciana Lopes</w:t>
      </w:r>
      <w:r w:rsidR="00191060">
        <w:rPr>
          <w:rFonts w:ascii="Times New Roman" w:hAnsi="Times New Roman"/>
          <w:b/>
          <w:bCs/>
          <w:color w:val="000000"/>
          <w:sz w:val="24"/>
          <w:szCs w:val="24"/>
        </w:rPr>
        <w:t xml:space="preserve"> Leal</w:t>
      </w:r>
      <w:r w:rsidR="008952C4">
        <w:rPr>
          <w:rFonts w:ascii="Times New Roman" w:hAnsi="Times New Roman"/>
          <w:b/>
          <w:bCs/>
          <w:color w:val="000000"/>
          <w:sz w:val="24"/>
          <w:szCs w:val="24"/>
          <w:vertAlign w:val="superscript"/>
        </w:rPr>
        <w:t>1</w:t>
      </w:r>
    </w:p>
    <w:p w14:paraId="15E0B672" w14:textId="77777777" w:rsidR="00D40B49" w:rsidRDefault="00FC7DE5" w:rsidP="00D40B49">
      <w:pPr>
        <w:spacing w:after="0" w:line="240" w:lineRule="auto"/>
        <w:jc w:val="right"/>
        <w:rPr>
          <w:rFonts w:ascii="Times New Roman" w:hAnsi="Times New Roman"/>
        </w:rPr>
      </w:pPr>
      <w:r w:rsidRPr="008E68B5">
        <w:rPr>
          <w:rFonts w:ascii="Times New Roman" w:hAnsi="Times New Roman"/>
          <w:b/>
          <w:sz w:val="24"/>
          <w:szCs w:val="24"/>
          <w:lang w:val="pt-PT"/>
        </w:rPr>
        <w:t>Fábio Ricardo Coutinho Fontes César</w:t>
      </w:r>
      <w:r>
        <w:rPr>
          <w:rFonts w:ascii="Times New Roman" w:hAnsi="Times New Roman"/>
          <w:b/>
          <w:sz w:val="24"/>
          <w:szCs w:val="24"/>
          <w:lang w:val="pt-PT"/>
        </w:rPr>
        <w:t xml:space="preserve"> </w:t>
      </w:r>
      <w:r w:rsidR="00D40B49">
        <w:rPr>
          <w:rStyle w:val="Refdenotaderodap"/>
          <w:rFonts w:ascii="Times New Roman" w:hAnsi="Times New Roman"/>
          <w:b/>
          <w:bCs/>
          <w:color w:val="000000"/>
          <w:sz w:val="24"/>
          <w:szCs w:val="24"/>
        </w:rPr>
        <w:footnoteReference w:id="2"/>
      </w:r>
    </w:p>
    <w:p w14:paraId="68C3E9E3" w14:textId="4F960D09" w:rsidR="00B77250" w:rsidRDefault="00B77250" w:rsidP="00B77250">
      <w:pPr>
        <w:pStyle w:val="NormalWeb"/>
        <w:spacing w:before="0" w:beforeAutospacing="0" w:after="0" w:afterAutospacing="0"/>
        <w:jc w:val="both"/>
      </w:pPr>
      <w:r w:rsidRPr="005E4173">
        <w:t xml:space="preserve">A cultura da soja, </w:t>
      </w:r>
      <w:r w:rsidRPr="005E4173">
        <w:rPr>
          <w:i/>
        </w:rPr>
        <w:t>Glycine max</w:t>
      </w:r>
      <w:r w:rsidRPr="005E4173">
        <w:t xml:space="preserve"> Merril, cada vez mais </w:t>
      </w:r>
      <w:r>
        <w:t xml:space="preserve">ganha </w:t>
      </w:r>
      <w:r w:rsidRPr="005E4173">
        <w:t>espaço</w:t>
      </w:r>
      <w:r>
        <w:t xml:space="preserve"> como a principal </w:t>
      </w:r>
      <w:r w:rsidRPr="005E4173">
        <w:t>atividade agrícola</w:t>
      </w:r>
      <w:r>
        <w:t xml:space="preserve"> do Brasil. </w:t>
      </w:r>
      <w:r w:rsidR="00621950">
        <w:t>O</w:t>
      </w:r>
      <w:r>
        <w:t xml:space="preserve"> Brasil é o maior produtor e exporta</w:t>
      </w:r>
      <w:r w:rsidR="00621950">
        <w:t>do</w:t>
      </w:r>
      <w:r>
        <w:t>r dessa oleaginosa.</w:t>
      </w:r>
      <w:r w:rsidR="00FC7DE5">
        <w:t xml:space="preserve"> </w:t>
      </w:r>
      <w:r w:rsidR="00FC7DE5" w:rsidRPr="002E1A52">
        <w:t xml:space="preserve">A população mundial vem aumentando </w:t>
      </w:r>
      <w:r w:rsidR="00FC7DE5">
        <w:t>a cada dia</w:t>
      </w:r>
      <w:r w:rsidR="00FC7DE5" w:rsidRPr="002E1A52">
        <w:t xml:space="preserve">, e junto com ela a necessidade de aumentar </w:t>
      </w:r>
      <w:r w:rsidR="00FC7DE5">
        <w:t xml:space="preserve">a </w:t>
      </w:r>
      <w:r w:rsidR="00621950">
        <w:t xml:space="preserve">oferta </w:t>
      </w:r>
      <w:r w:rsidR="00FC7DE5">
        <w:t>de alimentos</w:t>
      </w:r>
      <w:r w:rsidR="00621950">
        <w:t>. Assim</w:t>
      </w:r>
      <w:r w:rsidR="00FC7DE5">
        <w:t xml:space="preserve">, </w:t>
      </w:r>
      <w:r w:rsidR="00621950">
        <w:t>é necessário aumentar as produtividades das culturas e para isso deve-se buscar</w:t>
      </w:r>
      <w:r w:rsidRPr="0056498A">
        <w:rPr>
          <w:rFonts w:eastAsiaTheme="minorHAnsi"/>
          <w:iCs/>
          <w:lang w:eastAsia="en-US"/>
        </w:rPr>
        <w:t xml:space="preserve"> novas tecnologias</w:t>
      </w:r>
      <w:r>
        <w:rPr>
          <w:rFonts w:eastAsiaTheme="minorHAnsi"/>
          <w:iCs/>
          <w:lang w:eastAsia="en-US"/>
        </w:rPr>
        <w:t xml:space="preserve">. </w:t>
      </w:r>
      <w:r w:rsidR="00621950">
        <w:rPr>
          <w:rFonts w:eastAsiaTheme="minorHAnsi"/>
          <w:iCs/>
          <w:lang w:eastAsia="en-US"/>
        </w:rPr>
        <w:t xml:space="preserve">Diante </w:t>
      </w:r>
      <w:r>
        <w:rPr>
          <w:rFonts w:eastAsiaTheme="minorHAnsi"/>
          <w:iCs/>
          <w:lang w:eastAsia="en-US"/>
        </w:rPr>
        <w:t>desse contexto</w:t>
      </w:r>
      <w:r w:rsidR="00621950">
        <w:rPr>
          <w:rFonts w:eastAsiaTheme="minorHAnsi"/>
          <w:iCs/>
          <w:lang w:eastAsia="en-US"/>
        </w:rPr>
        <w:t>,</w:t>
      </w:r>
      <w:r>
        <w:rPr>
          <w:rFonts w:eastAsiaTheme="minorHAnsi"/>
          <w:iCs/>
          <w:lang w:eastAsia="en-US"/>
        </w:rPr>
        <w:t xml:space="preserve"> </w:t>
      </w:r>
      <w:r w:rsidRPr="0056498A">
        <w:rPr>
          <w:rFonts w:eastAsiaTheme="minorHAnsi"/>
          <w:iCs/>
          <w:lang w:eastAsia="en-US"/>
        </w:rPr>
        <w:t xml:space="preserve">a coinoculação </w:t>
      </w:r>
      <w:r>
        <w:rPr>
          <w:rFonts w:eastAsiaTheme="minorHAnsi"/>
          <w:iCs/>
          <w:lang w:eastAsia="en-US"/>
        </w:rPr>
        <w:t xml:space="preserve">na cultura da soja </w:t>
      </w:r>
      <w:r w:rsidRPr="0056498A">
        <w:rPr>
          <w:rFonts w:eastAsiaTheme="minorHAnsi"/>
          <w:iCs/>
          <w:lang w:eastAsia="en-US"/>
        </w:rPr>
        <w:t xml:space="preserve">pode ser uma alternativa para alcançar </w:t>
      </w:r>
      <w:r>
        <w:rPr>
          <w:rFonts w:eastAsiaTheme="minorHAnsi"/>
          <w:iCs/>
          <w:lang w:eastAsia="en-US"/>
        </w:rPr>
        <w:t>maiores produtividades</w:t>
      </w:r>
      <w:r w:rsidRPr="0056498A">
        <w:rPr>
          <w:rFonts w:eastAsiaTheme="minorHAnsi"/>
          <w:iCs/>
          <w:lang w:eastAsia="en-US"/>
        </w:rPr>
        <w:t>.</w:t>
      </w:r>
      <w:r w:rsidRPr="0056498A">
        <w:rPr>
          <w:color w:val="000000"/>
          <w:shd w:val="clear" w:color="auto" w:fill="FFFFFF"/>
        </w:rPr>
        <w:t xml:space="preserve"> </w:t>
      </w:r>
      <w:r w:rsidR="00D93901" w:rsidRPr="00467737">
        <w:rPr>
          <w:color w:val="000000"/>
          <w:shd w:val="clear" w:color="auto" w:fill="FFFFFF"/>
        </w:rPr>
        <w:t xml:space="preserve">Para a maioria das espécies o </w:t>
      </w:r>
      <w:r w:rsidR="00621950">
        <w:rPr>
          <w:color w:val="000000"/>
          <w:shd w:val="clear" w:color="auto" w:fill="FFFFFF"/>
        </w:rPr>
        <w:t xml:space="preserve">nitrogênio (N) é o </w:t>
      </w:r>
      <w:r w:rsidR="00D93901" w:rsidRPr="00467737">
        <w:rPr>
          <w:color w:val="000000"/>
          <w:shd w:val="clear" w:color="auto" w:fill="FFFFFF"/>
        </w:rPr>
        <w:t xml:space="preserve">nutriente mais extraído e exportado. </w:t>
      </w:r>
      <w:r w:rsidR="00D93901" w:rsidRPr="00467737">
        <w:t xml:space="preserve">O </w:t>
      </w:r>
      <w:r w:rsidR="00621950">
        <w:t>nutriente</w:t>
      </w:r>
      <w:r w:rsidR="00D93901" w:rsidRPr="00467737">
        <w:t xml:space="preserve"> tem papel fundamental na composição das plantas, pois está envolvido diretamente no metabolismo, síntese de aminoácidos e como componente de proteínas.</w:t>
      </w:r>
      <w:r w:rsidR="00D93901">
        <w:t xml:space="preserve"> </w:t>
      </w:r>
      <w:r w:rsidR="00F64666">
        <w:t>Com utilização das</w:t>
      </w:r>
      <w:r w:rsidR="00D93901">
        <w:t xml:space="preserve"> bactérias fixadoras de </w:t>
      </w:r>
      <w:r w:rsidR="00F64666">
        <w:t xml:space="preserve">N é possível </w:t>
      </w:r>
      <w:r w:rsidR="00D93901">
        <w:t>utilizar esse N disp</w:t>
      </w:r>
      <w:r w:rsidR="0094437E">
        <w:t>onível na atmosfera e transformá</w:t>
      </w:r>
      <w:r w:rsidR="00D93901">
        <w:t xml:space="preserve">-lo em uma forma absorvível pelas plantas. </w:t>
      </w:r>
      <w:r>
        <w:rPr>
          <w:color w:val="000000"/>
          <w:shd w:val="clear" w:color="auto" w:fill="FFFFFF"/>
        </w:rPr>
        <w:t>A</w:t>
      </w:r>
      <w:r w:rsidRPr="0056498A">
        <w:rPr>
          <w:color w:val="000000"/>
          <w:shd w:val="clear" w:color="auto" w:fill="FFFFFF"/>
        </w:rPr>
        <w:t xml:space="preserve"> inoculação conjunta de </w:t>
      </w:r>
      <w:r w:rsidRPr="0056498A">
        <w:rPr>
          <w:i/>
          <w:iCs/>
          <w:color w:val="000000"/>
          <w:shd w:val="clear" w:color="auto" w:fill="FFFFFF"/>
        </w:rPr>
        <w:t>Bradyrhizobium japonicum e Azospirillum brasilense</w:t>
      </w:r>
      <w:r w:rsidRPr="00D34DBD">
        <w:rPr>
          <w:iCs/>
          <w:color w:val="000000"/>
          <w:shd w:val="clear" w:color="auto" w:fill="FFFFFF"/>
        </w:rPr>
        <w:t>,</w:t>
      </w:r>
      <w:r w:rsidRPr="0056498A">
        <w:rPr>
          <w:color w:val="000000"/>
          <w:shd w:val="clear" w:color="auto" w:fill="FFFFFF"/>
        </w:rPr>
        <w:t xml:space="preserve"> pode ser uma estratégia promissora, combinando a </w:t>
      </w:r>
      <w:r>
        <w:rPr>
          <w:color w:val="000000"/>
          <w:shd w:val="clear" w:color="auto" w:fill="FFFFFF"/>
        </w:rPr>
        <w:t>fixação biológica do nitrogênio atmosférico (</w:t>
      </w:r>
      <w:r w:rsidRPr="0056498A">
        <w:rPr>
          <w:color w:val="000000"/>
          <w:shd w:val="clear" w:color="auto" w:fill="FFFFFF"/>
        </w:rPr>
        <w:t>FBN</w:t>
      </w:r>
      <w:r>
        <w:rPr>
          <w:color w:val="000000"/>
          <w:shd w:val="clear" w:color="auto" w:fill="FFFFFF"/>
        </w:rPr>
        <w:t>)</w:t>
      </w:r>
      <w:r w:rsidRPr="0056498A">
        <w:rPr>
          <w:color w:val="000000"/>
          <w:shd w:val="clear" w:color="auto" w:fill="FFFFFF"/>
        </w:rPr>
        <w:t xml:space="preserve"> e a produção de fito-hormônios</w:t>
      </w:r>
      <w:r>
        <w:rPr>
          <w:color w:val="000000"/>
          <w:shd w:val="clear" w:color="auto" w:fill="FFFFFF"/>
        </w:rPr>
        <w:t xml:space="preserve"> para o incremento de produtividade</w:t>
      </w:r>
      <w:r w:rsidR="00F64666">
        <w:rPr>
          <w:color w:val="000000"/>
          <w:shd w:val="clear" w:color="auto" w:fill="FFFFFF"/>
        </w:rPr>
        <w:t>.</w:t>
      </w:r>
      <w:r>
        <w:t xml:space="preserve"> </w:t>
      </w:r>
      <w:r w:rsidRPr="0056498A">
        <w:rPr>
          <w:rFonts w:eastAsiaTheme="minorHAnsi"/>
          <w:iCs/>
          <w:lang w:eastAsia="en-US"/>
        </w:rPr>
        <w:t xml:space="preserve">O objetivo </w:t>
      </w:r>
      <w:r>
        <w:rPr>
          <w:rFonts w:eastAsiaTheme="minorHAnsi"/>
          <w:iCs/>
          <w:lang w:eastAsia="en-US"/>
        </w:rPr>
        <w:t>do presente estudo</w:t>
      </w:r>
      <w:r w:rsidRPr="0056498A">
        <w:rPr>
          <w:rFonts w:eastAsiaTheme="minorHAnsi"/>
          <w:iCs/>
          <w:lang w:eastAsia="en-US"/>
        </w:rPr>
        <w:t xml:space="preserve"> foi avaliar o efeito da associação entre </w:t>
      </w:r>
      <w:r w:rsidRPr="0056498A">
        <w:rPr>
          <w:i/>
          <w:iCs/>
          <w:shd w:val="clear" w:color="auto" w:fill="FFFFFF"/>
        </w:rPr>
        <w:t>Bradyrhizobium japonicum e Azospirillum brasilense</w:t>
      </w:r>
      <w:r w:rsidRPr="0056498A">
        <w:rPr>
          <w:rFonts w:eastAsiaTheme="minorHAnsi"/>
          <w:b/>
          <w:bCs/>
          <w:iCs/>
          <w:lang w:eastAsia="en-US"/>
        </w:rPr>
        <w:t xml:space="preserve"> </w:t>
      </w:r>
      <w:r w:rsidRPr="0056498A">
        <w:rPr>
          <w:rFonts w:eastAsiaTheme="minorHAnsi"/>
          <w:iCs/>
          <w:lang w:eastAsia="en-US"/>
        </w:rPr>
        <w:t xml:space="preserve">sobre </w:t>
      </w:r>
      <w:r>
        <w:rPr>
          <w:rFonts w:eastAsiaTheme="minorHAnsi"/>
          <w:iCs/>
          <w:lang w:eastAsia="en-US"/>
        </w:rPr>
        <w:t xml:space="preserve">o </w:t>
      </w:r>
      <w:r w:rsidRPr="0056498A">
        <w:rPr>
          <w:rFonts w:eastAsiaTheme="minorHAnsi"/>
          <w:iCs/>
          <w:lang w:eastAsia="en-US"/>
        </w:rPr>
        <w:t xml:space="preserve">desenvolvimento </w:t>
      </w:r>
      <w:r>
        <w:rPr>
          <w:rFonts w:eastAsiaTheme="minorHAnsi"/>
          <w:iCs/>
          <w:lang w:eastAsia="en-US"/>
        </w:rPr>
        <w:t xml:space="preserve">e produção </w:t>
      </w:r>
      <w:r w:rsidRPr="0056498A">
        <w:rPr>
          <w:rFonts w:eastAsiaTheme="minorHAnsi"/>
          <w:iCs/>
          <w:lang w:eastAsia="en-US"/>
        </w:rPr>
        <w:t xml:space="preserve">da soja. </w:t>
      </w:r>
      <w:r w:rsidRPr="0056498A">
        <w:rPr>
          <w:color w:val="000000"/>
          <w:shd w:val="clear" w:color="auto" w:fill="FFFFFF"/>
        </w:rPr>
        <w:t> O ensaio foi realizado em casa de vegetação no Centro Universitário Arnaldo Horácio Ferreira (UNIFAAHF).</w:t>
      </w:r>
      <w:r w:rsidR="00D93901">
        <w:rPr>
          <w:color w:val="000000"/>
          <w:shd w:val="clear" w:color="auto" w:fill="FFFFFF"/>
        </w:rPr>
        <w:t xml:space="preserve"> </w:t>
      </w:r>
      <w:r w:rsidR="00D93901">
        <w:rPr>
          <w:color w:val="000000" w:themeColor="text1"/>
        </w:rPr>
        <w:t>Foram</w:t>
      </w:r>
      <w:r w:rsidR="00D93901" w:rsidRPr="008F5192">
        <w:rPr>
          <w:color w:val="000000" w:themeColor="text1"/>
        </w:rPr>
        <w:t xml:space="preserve"> utilizadas amostras de solo coletada na camada de 0-20 cm de um Latossolo</w:t>
      </w:r>
      <w:r w:rsidR="00D93901">
        <w:rPr>
          <w:color w:val="000000" w:themeColor="text1"/>
        </w:rPr>
        <w:t xml:space="preserve"> Vermelho-Amarelo</w:t>
      </w:r>
      <w:r w:rsidR="0094437E">
        <w:rPr>
          <w:color w:val="000000" w:themeColor="text1"/>
        </w:rPr>
        <w:t>, peneirado e utilizado em vasos de 5 kg</w:t>
      </w:r>
      <w:r w:rsidR="00F64666">
        <w:rPr>
          <w:color w:val="000000" w:themeColor="text1"/>
        </w:rPr>
        <w:t>.</w:t>
      </w:r>
      <w:r w:rsidR="00D93901" w:rsidRPr="008F5192">
        <w:rPr>
          <w:color w:val="000000" w:themeColor="text1"/>
        </w:rPr>
        <w:t xml:space="preserve"> </w:t>
      </w:r>
      <w:r w:rsidR="008952C4">
        <w:rPr>
          <w:color w:val="000000"/>
          <w:shd w:val="clear" w:color="auto" w:fill="FFFFFF"/>
        </w:rPr>
        <w:t xml:space="preserve"> O delineamento experime</w:t>
      </w:r>
      <w:r w:rsidRPr="0056498A">
        <w:rPr>
          <w:color w:val="000000"/>
          <w:shd w:val="clear" w:color="auto" w:fill="FFFFFF"/>
        </w:rPr>
        <w:t xml:space="preserve">ntal utilizado foi inteiramente casualizado, com </w:t>
      </w:r>
      <w:r>
        <w:rPr>
          <w:color w:val="000000"/>
          <w:shd w:val="clear" w:color="auto" w:fill="FFFFFF"/>
        </w:rPr>
        <w:t xml:space="preserve">sete </w:t>
      </w:r>
      <w:r w:rsidRPr="0056498A">
        <w:rPr>
          <w:color w:val="000000"/>
          <w:shd w:val="clear" w:color="auto" w:fill="FFFFFF"/>
        </w:rPr>
        <w:t xml:space="preserve">tratamentos e quatro repetições. </w:t>
      </w:r>
      <w:r w:rsidRPr="0056498A">
        <w:t xml:space="preserve">Os tratamentos foram: (T1) testemunha, (T2) 50 mL </w:t>
      </w:r>
      <w:r w:rsidRPr="0056498A">
        <w:rPr>
          <w:i/>
          <w:iCs/>
          <w:shd w:val="clear" w:color="auto" w:fill="FFFFFF"/>
        </w:rPr>
        <w:t>Bradyrhizobium</w:t>
      </w:r>
      <w:r>
        <w:rPr>
          <w:i/>
          <w:iCs/>
          <w:shd w:val="clear" w:color="auto" w:fill="FFFFFF"/>
        </w:rPr>
        <w:t>,</w:t>
      </w:r>
      <w:r w:rsidRPr="0056498A" w:rsidDel="00CF0296">
        <w:t xml:space="preserve"> </w:t>
      </w:r>
      <w:r w:rsidRPr="0056498A">
        <w:t xml:space="preserve">(T3) 100 mL </w:t>
      </w:r>
      <w:r w:rsidRPr="0056498A">
        <w:rPr>
          <w:i/>
          <w:iCs/>
          <w:shd w:val="clear" w:color="auto" w:fill="FFFFFF"/>
        </w:rPr>
        <w:t>Bradyrhizobium</w:t>
      </w:r>
      <w:r w:rsidRPr="0056498A">
        <w:t xml:space="preserve">, (T4) 50 mL </w:t>
      </w:r>
      <w:r w:rsidRPr="0056498A">
        <w:rPr>
          <w:i/>
          <w:iCs/>
          <w:shd w:val="clear" w:color="auto" w:fill="FFFFFF"/>
        </w:rPr>
        <w:t>Bradyrhizobium</w:t>
      </w:r>
      <w:r w:rsidRPr="0056498A">
        <w:t xml:space="preserve"> + 100</w:t>
      </w:r>
      <w:r>
        <w:t xml:space="preserve"> </w:t>
      </w:r>
      <w:r w:rsidRPr="0056498A">
        <w:t xml:space="preserve">mL </w:t>
      </w:r>
      <w:r w:rsidRPr="00764502">
        <w:rPr>
          <w:i/>
          <w:iCs/>
          <w:shd w:val="clear" w:color="auto" w:fill="FFFFFF"/>
        </w:rPr>
        <w:t>Azospirillum</w:t>
      </w:r>
      <w:r w:rsidRPr="0056498A">
        <w:t xml:space="preserve">, (T5) 100 mL </w:t>
      </w:r>
      <w:r w:rsidRPr="0056498A">
        <w:rPr>
          <w:i/>
          <w:iCs/>
          <w:shd w:val="clear" w:color="auto" w:fill="FFFFFF"/>
        </w:rPr>
        <w:t>Bradyrhizobium</w:t>
      </w:r>
      <w:r w:rsidRPr="0056498A">
        <w:t xml:space="preserve"> + 100</w:t>
      </w:r>
      <w:r>
        <w:t xml:space="preserve"> </w:t>
      </w:r>
      <w:r w:rsidRPr="0056498A">
        <w:t xml:space="preserve">mL </w:t>
      </w:r>
      <w:r w:rsidRPr="00764502">
        <w:rPr>
          <w:i/>
          <w:iCs/>
          <w:shd w:val="clear" w:color="auto" w:fill="FFFFFF"/>
        </w:rPr>
        <w:t>Azospirillum</w:t>
      </w:r>
      <w:r w:rsidRPr="0056498A">
        <w:t xml:space="preserve">, (T6) 50 mL </w:t>
      </w:r>
      <w:r w:rsidRPr="0056498A">
        <w:rPr>
          <w:i/>
          <w:iCs/>
          <w:shd w:val="clear" w:color="auto" w:fill="FFFFFF"/>
        </w:rPr>
        <w:t>Bradyrhizobium</w:t>
      </w:r>
      <w:r w:rsidRPr="0056498A">
        <w:t xml:space="preserve"> + 100</w:t>
      </w:r>
      <w:r>
        <w:t xml:space="preserve"> </w:t>
      </w:r>
      <w:r w:rsidRPr="0056498A">
        <w:t xml:space="preserve">mL </w:t>
      </w:r>
      <w:r w:rsidRPr="00764502">
        <w:rPr>
          <w:i/>
          <w:iCs/>
          <w:shd w:val="clear" w:color="auto" w:fill="FFFFFF"/>
        </w:rPr>
        <w:t>Azospirillum</w:t>
      </w:r>
      <w:r w:rsidRPr="0056498A">
        <w:t xml:space="preserve"> + 200 mL </w:t>
      </w:r>
      <w:r w:rsidRPr="00764502">
        <w:rPr>
          <w:i/>
          <w:iCs/>
          <w:shd w:val="clear" w:color="auto" w:fill="FFFFFF"/>
        </w:rPr>
        <w:t>Azospirillum</w:t>
      </w:r>
      <w:r w:rsidRPr="0056498A">
        <w:t xml:space="preserve"> (R1/R2), (T7) 100 mL </w:t>
      </w:r>
      <w:r w:rsidRPr="0056498A">
        <w:rPr>
          <w:i/>
          <w:iCs/>
          <w:shd w:val="clear" w:color="auto" w:fill="FFFFFF"/>
        </w:rPr>
        <w:t>Bradyrhizobium</w:t>
      </w:r>
      <w:r w:rsidRPr="0056498A">
        <w:t>+ 100</w:t>
      </w:r>
      <w:r>
        <w:t xml:space="preserve"> </w:t>
      </w:r>
      <w:r w:rsidRPr="0056498A">
        <w:t xml:space="preserve">mL </w:t>
      </w:r>
      <w:r w:rsidRPr="00764502">
        <w:rPr>
          <w:i/>
          <w:iCs/>
          <w:shd w:val="clear" w:color="auto" w:fill="FFFFFF"/>
        </w:rPr>
        <w:t>Azospirillum</w:t>
      </w:r>
      <w:r w:rsidRPr="0056498A">
        <w:t xml:space="preserve"> + 200 mL </w:t>
      </w:r>
      <w:r w:rsidRPr="00764502">
        <w:rPr>
          <w:i/>
          <w:iCs/>
          <w:shd w:val="clear" w:color="auto" w:fill="FFFFFF"/>
        </w:rPr>
        <w:t>Azospirillum</w:t>
      </w:r>
      <w:r w:rsidRPr="0056498A">
        <w:t xml:space="preserve"> (R1/R2)</w:t>
      </w:r>
      <w:r w:rsidR="0094437E">
        <w:rPr>
          <w:rFonts w:eastAsiaTheme="minorHAnsi"/>
          <w:iCs/>
          <w:lang w:eastAsia="en-US"/>
        </w:rPr>
        <w:t>.</w:t>
      </w:r>
      <w:r>
        <w:rPr>
          <w:rFonts w:eastAsiaTheme="minorHAnsi"/>
          <w:iCs/>
          <w:lang w:eastAsia="en-US"/>
        </w:rPr>
        <w:t xml:space="preserve"> </w:t>
      </w:r>
      <w:r w:rsidR="0094437E">
        <w:rPr>
          <w:rFonts w:eastAsiaTheme="minorHAnsi"/>
          <w:iCs/>
          <w:lang w:eastAsia="en-US"/>
        </w:rPr>
        <w:t>A</w:t>
      </w:r>
      <w:r>
        <w:rPr>
          <w:rFonts w:eastAsiaTheme="minorHAnsi"/>
          <w:iCs/>
          <w:lang w:eastAsia="en-US"/>
        </w:rPr>
        <w:t>s</w:t>
      </w:r>
      <w:r w:rsidR="0094437E">
        <w:rPr>
          <w:rFonts w:eastAsiaTheme="minorHAnsi"/>
          <w:iCs/>
          <w:lang w:eastAsia="en-US"/>
        </w:rPr>
        <w:t xml:space="preserve"> </w:t>
      </w:r>
      <w:r>
        <w:rPr>
          <w:rFonts w:eastAsiaTheme="minorHAnsi"/>
          <w:iCs/>
          <w:lang w:eastAsia="en-US"/>
        </w:rPr>
        <w:t xml:space="preserve">doses de </w:t>
      </w:r>
      <w:r w:rsidRPr="0056498A">
        <w:rPr>
          <w:i/>
          <w:iCs/>
          <w:shd w:val="clear" w:color="auto" w:fill="FFFFFF"/>
        </w:rPr>
        <w:t>Bradyrhizobium</w:t>
      </w:r>
      <w:r>
        <w:rPr>
          <w:i/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 xml:space="preserve">e </w:t>
      </w:r>
      <w:r w:rsidRPr="00764502">
        <w:rPr>
          <w:i/>
          <w:iCs/>
          <w:shd w:val="clear" w:color="auto" w:fill="FFFFFF"/>
        </w:rPr>
        <w:t>Azospirillum</w:t>
      </w:r>
      <w:r>
        <w:rPr>
          <w:i/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 xml:space="preserve">foram utilizadas para inocular 25 Kg de semente de soja, e os tratamentos T6 e T7 receberam a aplicação foliar de </w:t>
      </w:r>
      <w:r w:rsidRPr="00764502">
        <w:rPr>
          <w:i/>
          <w:iCs/>
          <w:shd w:val="clear" w:color="auto" w:fill="FFFFFF"/>
        </w:rPr>
        <w:t>Azospirillum</w:t>
      </w:r>
      <w:r>
        <w:rPr>
          <w:iCs/>
          <w:shd w:val="clear" w:color="auto" w:fill="FFFFFF"/>
        </w:rPr>
        <w:t xml:space="preserve">, entre o estádio fenológico </w:t>
      </w:r>
      <w:r w:rsidRPr="0056498A">
        <w:t>R1/R2</w:t>
      </w:r>
      <w:r>
        <w:t>.</w:t>
      </w:r>
      <w:r>
        <w:rPr>
          <w:rFonts w:eastAsiaTheme="minorHAnsi"/>
          <w:iCs/>
          <w:lang w:eastAsia="en-US"/>
        </w:rPr>
        <w:t xml:space="preserve"> A cultiv</w:t>
      </w:r>
      <w:r w:rsidR="0094437E">
        <w:rPr>
          <w:rFonts w:eastAsiaTheme="minorHAnsi"/>
          <w:iCs/>
          <w:lang w:eastAsia="en-US"/>
        </w:rPr>
        <w:t>ar utilizada</w:t>
      </w:r>
      <w:r>
        <w:rPr>
          <w:rFonts w:eastAsiaTheme="minorHAnsi"/>
          <w:iCs/>
          <w:lang w:eastAsia="en-US"/>
        </w:rPr>
        <w:t xml:space="preserve"> foi a BG 4781 IPRO. </w:t>
      </w:r>
      <w:r w:rsidR="0094437E">
        <w:rPr>
          <w:rFonts w:eastAsiaTheme="minorHAnsi"/>
          <w:iCs/>
          <w:lang w:eastAsia="en-US"/>
        </w:rPr>
        <w:t xml:space="preserve"> </w:t>
      </w:r>
      <w:r w:rsidR="0094437E">
        <w:t>F</w:t>
      </w:r>
      <w:r w:rsidR="0094437E">
        <w:t xml:space="preserve">oram </w:t>
      </w:r>
      <w:r w:rsidR="0094437E" w:rsidRPr="00935AC4">
        <w:t>avaliado</w:t>
      </w:r>
      <w:r w:rsidR="0094437E">
        <w:t>s</w:t>
      </w:r>
      <w:r w:rsidR="0094437E" w:rsidRPr="00935AC4">
        <w:t xml:space="preserve"> a altura da</w:t>
      </w:r>
      <w:r w:rsidR="0094437E">
        <w:t>s</w:t>
      </w:r>
      <w:r w:rsidR="0094437E" w:rsidRPr="00935AC4">
        <w:t xml:space="preserve"> planta</w:t>
      </w:r>
      <w:r w:rsidR="0094437E">
        <w:t>s</w:t>
      </w:r>
      <w:r w:rsidR="0094437E" w:rsidRPr="00935AC4">
        <w:t xml:space="preserve"> </w:t>
      </w:r>
      <w:r w:rsidR="0094437E">
        <w:t xml:space="preserve">(ALT) </w:t>
      </w:r>
      <w:r w:rsidR="0094437E" w:rsidRPr="00935AC4">
        <w:t>(cm), diâmetro do caule</w:t>
      </w:r>
      <w:r w:rsidR="0094437E">
        <w:t xml:space="preserve"> (DC)</w:t>
      </w:r>
      <w:r w:rsidR="0094437E" w:rsidRPr="00935AC4">
        <w:t xml:space="preserve"> (mm), massa seca da parte aérea</w:t>
      </w:r>
      <w:r w:rsidR="0094437E">
        <w:t xml:space="preserve"> (MSPA) (g)</w:t>
      </w:r>
      <w:r w:rsidR="0094437E" w:rsidRPr="00935AC4">
        <w:t xml:space="preserve">, </w:t>
      </w:r>
      <w:r w:rsidR="0094437E">
        <w:t xml:space="preserve">massa seca da </w:t>
      </w:r>
      <w:r w:rsidR="0094437E" w:rsidRPr="00935AC4">
        <w:t>raiz</w:t>
      </w:r>
      <w:r w:rsidR="0094437E">
        <w:t xml:space="preserve"> (MSRA) (g)</w:t>
      </w:r>
      <w:r w:rsidR="0094437E" w:rsidRPr="00935AC4">
        <w:t xml:space="preserve">, </w:t>
      </w:r>
      <w:r w:rsidR="0094437E">
        <w:t xml:space="preserve">número de </w:t>
      </w:r>
      <w:r w:rsidR="0094437E" w:rsidRPr="00935AC4">
        <w:t>vagens</w:t>
      </w:r>
      <w:r w:rsidR="0094437E">
        <w:t>, número de grãos, massa de</w:t>
      </w:r>
      <w:r w:rsidR="0094437E" w:rsidRPr="00935AC4">
        <w:t xml:space="preserve"> grãos</w:t>
      </w:r>
      <w:r w:rsidR="0094437E">
        <w:t xml:space="preserve"> (g) e contabilizado a massa seca total das plantas (MST)</w:t>
      </w:r>
      <w:r w:rsidR="0094437E">
        <w:t xml:space="preserve">. </w:t>
      </w:r>
      <w:r w:rsidR="0094437E" w:rsidRPr="00935AC4">
        <w:t xml:space="preserve">Os dados </w:t>
      </w:r>
      <w:r w:rsidR="0094437E">
        <w:t xml:space="preserve">das variáveis </w:t>
      </w:r>
      <w:r w:rsidR="0094437E" w:rsidRPr="00935AC4">
        <w:t xml:space="preserve">foram </w:t>
      </w:r>
      <w:r w:rsidR="0094437E" w:rsidRPr="00935AC4">
        <w:lastRenderedPageBreak/>
        <w:t xml:space="preserve">submetidos à análise de variância </w:t>
      </w:r>
      <w:r w:rsidR="0094437E">
        <w:t xml:space="preserve">(ANOVA) </w:t>
      </w:r>
      <w:r w:rsidR="0094437E" w:rsidRPr="00935AC4">
        <w:t xml:space="preserve">e as média dos tratamentos comparadas pelo teste de Tukey a 5% de significância. </w:t>
      </w:r>
      <w:r>
        <w:rPr>
          <w:iCs/>
          <w:shd w:val="clear" w:color="auto" w:fill="FFFFFF"/>
        </w:rPr>
        <w:t xml:space="preserve">Dentre as variáveis avaliadas </w:t>
      </w:r>
      <w:r>
        <w:t>h</w:t>
      </w:r>
      <w:r w:rsidRPr="0056498A">
        <w:t>ouve</w:t>
      </w:r>
      <w:r>
        <w:t xml:space="preserve"> </w:t>
      </w:r>
      <w:r w:rsidRPr="0056498A">
        <w:t xml:space="preserve">diferença </w:t>
      </w:r>
      <w:r>
        <w:t>apenas para a massa seca total, entre</w:t>
      </w:r>
      <w:r w:rsidRPr="0056498A">
        <w:t xml:space="preserve"> </w:t>
      </w:r>
      <w:r>
        <w:t xml:space="preserve">os </w:t>
      </w:r>
      <w:r w:rsidRPr="0056498A">
        <w:t>tratamentos</w:t>
      </w:r>
      <w:r>
        <w:t xml:space="preserve"> T3 e T5, sendo o T3 superior</w:t>
      </w:r>
      <w:r w:rsidRPr="0056498A">
        <w:t>.</w:t>
      </w:r>
      <w:r>
        <w:t xml:space="preserve"> No presente estudo não </w:t>
      </w:r>
      <w:r w:rsidR="00833BBA">
        <w:t>foram</w:t>
      </w:r>
      <w:r>
        <w:t xml:space="preserve"> verificado</w:t>
      </w:r>
      <w:r w:rsidR="00833BBA">
        <w:t>s</w:t>
      </w:r>
      <w:r>
        <w:t xml:space="preserve"> benefícios da coinoculação no desenvolvimento e produção da soja. Mais estudos envolvendo a coinoculação são necessários, uma vez que ainda são escassos na literatura, sendo necessário mais informações sobre o tema.</w:t>
      </w:r>
    </w:p>
    <w:p w14:paraId="3EF08554" w14:textId="77777777" w:rsidR="00B77250" w:rsidRDefault="00B77250" w:rsidP="00B77250">
      <w:pPr>
        <w:pStyle w:val="NormalWeb"/>
        <w:spacing w:before="0" w:beforeAutospacing="0" w:after="0" w:afterAutospacing="0"/>
        <w:jc w:val="both"/>
        <w:rPr>
          <w:rFonts w:ascii="CIDFont+F3" w:hAnsi="CIDFont+F3"/>
        </w:rPr>
      </w:pPr>
    </w:p>
    <w:p w14:paraId="2C37B584" w14:textId="1642685F" w:rsidR="00B77250" w:rsidRPr="0094437E" w:rsidRDefault="00B77250" w:rsidP="00B77250">
      <w:pPr>
        <w:pStyle w:val="NormalWeb"/>
        <w:spacing w:before="0" w:beforeAutospacing="0" w:after="0" w:afterAutospacing="0" w:line="360" w:lineRule="auto"/>
        <w:jc w:val="both"/>
        <w:rPr>
          <w:rFonts w:eastAsiaTheme="minorHAnsi"/>
          <w:iCs/>
          <w:lang w:eastAsia="en-US"/>
        </w:rPr>
      </w:pPr>
      <w:r w:rsidRPr="0094437E">
        <w:rPr>
          <w:b/>
        </w:rPr>
        <w:t>Palavras-chave:</w:t>
      </w:r>
      <w:r w:rsidRPr="0094437E">
        <w:t xml:space="preserve"> </w:t>
      </w:r>
      <w:r w:rsidRPr="0094437E">
        <w:rPr>
          <w:iCs/>
          <w:shd w:val="clear" w:color="auto" w:fill="FFFFFF"/>
        </w:rPr>
        <w:t>Bradyrhizobium</w:t>
      </w:r>
      <w:r w:rsidR="0094437E" w:rsidRPr="0094437E">
        <w:rPr>
          <w:iCs/>
          <w:shd w:val="clear" w:color="auto" w:fill="FFFFFF"/>
        </w:rPr>
        <w:t>;</w:t>
      </w:r>
      <w:r w:rsidR="008952C4" w:rsidRPr="0094437E">
        <w:rPr>
          <w:iCs/>
          <w:shd w:val="clear" w:color="auto" w:fill="FFFFFF"/>
        </w:rPr>
        <w:t xml:space="preserve"> Nitrogênio</w:t>
      </w:r>
      <w:r w:rsidR="0094437E" w:rsidRPr="0094437E">
        <w:rPr>
          <w:rFonts w:eastAsiaTheme="minorHAnsi"/>
          <w:iCs/>
          <w:lang w:eastAsia="en-US"/>
        </w:rPr>
        <w:t>;</w:t>
      </w:r>
      <w:r w:rsidRPr="0094437E">
        <w:rPr>
          <w:rFonts w:eastAsiaTheme="minorHAnsi"/>
          <w:iCs/>
          <w:lang w:eastAsia="en-US"/>
        </w:rPr>
        <w:t xml:space="preserve"> </w:t>
      </w:r>
      <w:r w:rsidRPr="0094437E">
        <w:rPr>
          <w:rFonts w:eastAsiaTheme="minorHAnsi"/>
          <w:bCs/>
          <w:iCs/>
          <w:lang w:eastAsia="en-US"/>
        </w:rPr>
        <w:t xml:space="preserve">Glycine max. </w:t>
      </w:r>
      <w:r w:rsidRPr="0094437E">
        <w:rPr>
          <w:rFonts w:eastAsiaTheme="minorHAnsi"/>
          <w:iCs/>
          <w:lang w:eastAsia="en-US"/>
        </w:rPr>
        <w:t xml:space="preserve"> </w:t>
      </w:r>
    </w:p>
    <w:p w14:paraId="703B6629" w14:textId="77777777" w:rsidR="00D40B49" w:rsidRDefault="00D40B49" w:rsidP="00B77250">
      <w:pPr>
        <w:spacing w:after="0"/>
        <w:rPr>
          <w:rFonts w:ascii="Times New Roman" w:hAnsi="Times New Roman"/>
        </w:rPr>
      </w:pPr>
    </w:p>
    <w:sectPr w:rsidR="00D40B49" w:rsidSect="00F60F6C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323F7" w14:textId="77777777" w:rsidR="00E06738" w:rsidRDefault="00E06738" w:rsidP="00D40B49">
      <w:pPr>
        <w:spacing w:after="0" w:line="240" w:lineRule="auto"/>
      </w:pPr>
      <w:r>
        <w:separator/>
      </w:r>
    </w:p>
  </w:endnote>
  <w:endnote w:type="continuationSeparator" w:id="0">
    <w:p w14:paraId="0BBA0194" w14:textId="77777777" w:rsidR="00E06738" w:rsidRDefault="00E06738" w:rsidP="00D40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DFont+F3">
    <w:altName w:val="Cambria"/>
    <w:panose1 w:val="00000000000000000000"/>
    <w:charset w:val="00"/>
    <w:family w:val="roman"/>
    <w:notTrueType/>
    <w:pitch w:val="default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7826C" w14:textId="77777777" w:rsidR="009239A9" w:rsidRDefault="00D40B49">
    <w:pPr>
      <w:pStyle w:val="Rodap"/>
    </w:pPr>
    <w:r w:rsidRPr="0049475A">
      <w:rPr>
        <w:noProof/>
        <w:lang w:eastAsia="pt-BR"/>
      </w:rPr>
      <w:drawing>
        <wp:inline distT="0" distB="0" distL="0" distR="0" wp14:anchorId="691C9E3E" wp14:editId="09EF9635">
          <wp:extent cx="5400675" cy="371475"/>
          <wp:effectExtent l="0" t="0" r="9525" b="9525"/>
          <wp:docPr id="1" name="Imagem 1" descr="C:\Users\marketing\Desktop\FOLHA TIMBRADA FAAHF 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marketing\Desktop\FOLHA TIMBRADA FAAHF 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D3410C" w14:textId="77777777" w:rsidR="009239A9" w:rsidRDefault="00E0673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407D89" w14:textId="77777777" w:rsidR="00E06738" w:rsidRDefault="00E06738" w:rsidP="00D40B49">
      <w:pPr>
        <w:spacing w:after="0" w:line="240" w:lineRule="auto"/>
      </w:pPr>
      <w:r>
        <w:separator/>
      </w:r>
    </w:p>
  </w:footnote>
  <w:footnote w:type="continuationSeparator" w:id="0">
    <w:p w14:paraId="2890D9AA" w14:textId="77777777" w:rsidR="00E06738" w:rsidRDefault="00E06738" w:rsidP="00D40B49">
      <w:pPr>
        <w:spacing w:after="0" w:line="240" w:lineRule="auto"/>
      </w:pPr>
      <w:r>
        <w:continuationSeparator/>
      </w:r>
    </w:p>
  </w:footnote>
  <w:footnote w:id="1">
    <w:p w14:paraId="47622607" w14:textId="77777777" w:rsidR="00D40B49" w:rsidRPr="00671461" w:rsidRDefault="00D40B49" w:rsidP="00D40B49">
      <w:pPr>
        <w:pStyle w:val="Textodenotaderodap"/>
        <w:jc w:val="both"/>
        <w:rPr>
          <w:rFonts w:ascii="Times New Roman" w:hAnsi="Times New Roman"/>
        </w:rPr>
      </w:pPr>
      <w:r w:rsidRPr="00671461">
        <w:rPr>
          <w:rStyle w:val="Refdenotaderodap"/>
          <w:rFonts w:ascii="Times New Roman" w:hAnsi="Times New Roman"/>
        </w:rPr>
        <w:footnoteRef/>
      </w:r>
      <w:r w:rsidR="00B77250">
        <w:rPr>
          <w:rFonts w:ascii="Times New Roman" w:hAnsi="Times New Roman"/>
        </w:rPr>
        <w:t xml:space="preserve"> </w:t>
      </w:r>
      <w:r w:rsidR="00FC7DE5">
        <w:rPr>
          <w:rFonts w:ascii="Times New Roman" w:hAnsi="Times New Roman"/>
        </w:rPr>
        <w:t>Aluno da</w:t>
      </w:r>
      <w:r w:rsidRPr="0067146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UNI</w:t>
      </w:r>
      <w:r w:rsidRPr="00671461">
        <w:rPr>
          <w:rFonts w:ascii="Times New Roman" w:hAnsi="Times New Roman"/>
        </w:rPr>
        <w:t xml:space="preserve">FAAHF; </w:t>
      </w:r>
      <w:r w:rsidR="00FC7DE5">
        <w:rPr>
          <w:rFonts w:ascii="Times New Roman" w:hAnsi="Times New Roman"/>
        </w:rPr>
        <w:t>Agronomia</w:t>
      </w:r>
      <w:r w:rsidRPr="00671461">
        <w:rPr>
          <w:rFonts w:ascii="Times New Roman" w:hAnsi="Times New Roman"/>
        </w:rPr>
        <w:t xml:space="preserve">; </w:t>
      </w:r>
      <w:r w:rsidR="00B77250">
        <w:rPr>
          <w:rFonts w:ascii="Times New Roman" w:hAnsi="Times New Roman"/>
        </w:rPr>
        <w:t>cristian_murata@hotmail.com</w:t>
      </w:r>
    </w:p>
  </w:footnote>
  <w:footnote w:id="2">
    <w:p w14:paraId="43F0EA9A" w14:textId="434BFE5F" w:rsidR="00D40B49" w:rsidRPr="00FC7DE5" w:rsidRDefault="00D40B49" w:rsidP="00FC7DE5">
      <w:pPr>
        <w:pStyle w:val="Textodenotaderodap"/>
      </w:pPr>
      <w:r w:rsidRPr="00671461">
        <w:rPr>
          <w:rStyle w:val="Refdenotaderodap"/>
          <w:rFonts w:ascii="Times New Roman" w:hAnsi="Times New Roman"/>
        </w:rPr>
        <w:footnoteRef/>
      </w:r>
      <w:r w:rsidRPr="00671461">
        <w:rPr>
          <w:rFonts w:ascii="Times New Roman" w:hAnsi="Times New Roman"/>
        </w:rPr>
        <w:t xml:space="preserve"> </w:t>
      </w:r>
      <w:r w:rsidR="00FC7DE5" w:rsidRPr="00645B27">
        <w:rPr>
          <w:rFonts w:ascii="Times New Roman" w:eastAsia="Arial" w:hAnsi="Times New Roman"/>
        </w:rPr>
        <w:t>Douto</w:t>
      </w:r>
      <w:r w:rsidR="0094437E">
        <w:rPr>
          <w:rFonts w:ascii="Times New Roman" w:eastAsia="Arial" w:hAnsi="Times New Roman"/>
        </w:rPr>
        <w:t xml:space="preserve">r; Docente da </w:t>
      </w:r>
      <w:r w:rsidR="0094437E">
        <w:rPr>
          <w:rFonts w:ascii="Times New Roman" w:eastAsia="Arial" w:hAnsi="Times New Roman"/>
        </w:rPr>
        <w:t>UNIFAAHF.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82C8C" w14:textId="77777777" w:rsidR="00C43FB7" w:rsidRDefault="00C7349E" w:rsidP="00405C1E">
    <w:pPr>
      <w:pStyle w:val="Cabealho"/>
      <w:tabs>
        <w:tab w:val="clear" w:pos="4252"/>
        <w:tab w:val="clear" w:pos="8504"/>
        <w:tab w:val="left" w:pos="6675"/>
        <w:tab w:val="left" w:pos="7050"/>
        <w:tab w:val="left" w:pos="7800"/>
      </w:tabs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950ED80" wp14:editId="20B3FF53">
          <wp:simplePos x="0" y="0"/>
          <wp:positionH relativeFrom="margin">
            <wp:align>left</wp:align>
          </wp:positionH>
          <wp:positionV relativeFrom="paragraph">
            <wp:posOffset>-20955</wp:posOffset>
          </wp:positionV>
          <wp:extent cx="2694940" cy="1028700"/>
          <wp:effectExtent l="0" t="0" r="0" b="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anner App 870x512 copiar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76" b="16965"/>
                  <a:stretch/>
                </pic:blipFill>
                <pic:spPr bwMode="auto">
                  <a:xfrm>
                    <a:off x="0" y="0"/>
                    <a:ext cx="2694940" cy="1028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56D2FE" wp14:editId="01E92AD3">
          <wp:simplePos x="0" y="0"/>
          <wp:positionH relativeFrom="column">
            <wp:posOffset>2806065</wp:posOffset>
          </wp:positionH>
          <wp:positionV relativeFrom="paragraph">
            <wp:posOffset>-1905</wp:posOffset>
          </wp:positionV>
          <wp:extent cx="2781300" cy="97282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202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1300" cy="972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BC6">
      <w:t xml:space="preserve">  </w:t>
    </w:r>
  </w:p>
  <w:p w14:paraId="3761DA4A" w14:textId="77777777" w:rsidR="009239A9" w:rsidRDefault="00DD6BC6" w:rsidP="00405C1E">
    <w:pPr>
      <w:pStyle w:val="Cabealho"/>
      <w:tabs>
        <w:tab w:val="clear" w:pos="4252"/>
        <w:tab w:val="clear" w:pos="8504"/>
        <w:tab w:val="left" w:pos="6675"/>
        <w:tab w:val="left" w:pos="7050"/>
        <w:tab w:val="left" w:pos="7800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B49"/>
    <w:rsid w:val="00191060"/>
    <w:rsid w:val="00256483"/>
    <w:rsid w:val="00310E0E"/>
    <w:rsid w:val="005B75E6"/>
    <w:rsid w:val="00621950"/>
    <w:rsid w:val="00786097"/>
    <w:rsid w:val="00833BBA"/>
    <w:rsid w:val="0087761D"/>
    <w:rsid w:val="008952C4"/>
    <w:rsid w:val="0093310E"/>
    <w:rsid w:val="0094437E"/>
    <w:rsid w:val="00AF05A3"/>
    <w:rsid w:val="00B77250"/>
    <w:rsid w:val="00B8451B"/>
    <w:rsid w:val="00C37682"/>
    <w:rsid w:val="00C43FB7"/>
    <w:rsid w:val="00C7349E"/>
    <w:rsid w:val="00D40B49"/>
    <w:rsid w:val="00D93901"/>
    <w:rsid w:val="00D94B74"/>
    <w:rsid w:val="00DD6BC6"/>
    <w:rsid w:val="00E06738"/>
    <w:rsid w:val="00F61F12"/>
    <w:rsid w:val="00F64666"/>
    <w:rsid w:val="00FC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67771E"/>
  <w15:chartTrackingRefBased/>
  <w15:docId w15:val="{6F700FC9-F147-4211-87B7-95D461AB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B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0B4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4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0B49"/>
    <w:rPr>
      <w:rFonts w:ascii="Calibri" w:eastAsia="Calibri" w:hAnsi="Calibri"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40B4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40B49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D40B4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B772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7725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77250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B77250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C7DE5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1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1950"/>
    <w:rPr>
      <w:rFonts w:ascii="Segoe UI" w:eastAsia="Calibr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621950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21950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21950"/>
    <w:rPr>
      <w:rFonts w:ascii="Calibri" w:eastAsia="Calibri" w:hAnsi="Calibri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527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Cliente</cp:lastModifiedBy>
  <cp:revision>3</cp:revision>
  <dcterms:created xsi:type="dcterms:W3CDTF">2020-10-09T22:14:00Z</dcterms:created>
  <dcterms:modified xsi:type="dcterms:W3CDTF">2020-10-17T11:15:00Z</dcterms:modified>
</cp:coreProperties>
</file>