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9E8" w:rsidRDefault="00CD59E8">
      <w:pPr>
        <w:pStyle w:val="normal0"/>
        <w:widowControl w:val="0"/>
        <w:pBdr>
          <w:top w:val="nil"/>
          <w:left w:val="nil"/>
          <w:bottom w:val="nil"/>
          <w:right w:val="nil"/>
          <w:between w:val="nil"/>
        </w:pBdr>
        <w:spacing w:after="0"/>
      </w:pPr>
    </w:p>
    <w:p w:rsidR="00CD59E8" w:rsidRDefault="00CD59E8">
      <w:pPr>
        <w:pStyle w:val="normal0"/>
        <w:spacing w:after="0" w:line="360" w:lineRule="auto"/>
        <w:jc w:val="center"/>
        <w:rPr>
          <w:rFonts w:ascii="Arial" w:eastAsia="Arial" w:hAnsi="Arial" w:cs="Arial"/>
          <w:b/>
          <w:sz w:val="28"/>
          <w:szCs w:val="28"/>
        </w:rPr>
      </w:pPr>
    </w:p>
    <w:p w:rsidR="00CD59E8" w:rsidRDefault="004D5397">
      <w:pPr>
        <w:pStyle w:val="norm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2"/>
        <w:jc w:val="center"/>
        <w:rPr>
          <w:rFonts w:ascii="Arial" w:eastAsia="Arial" w:hAnsi="Arial" w:cs="Arial"/>
          <w:b/>
          <w:smallCaps/>
          <w:color w:val="000000"/>
          <w:sz w:val="28"/>
          <w:szCs w:val="28"/>
        </w:rPr>
      </w:pPr>
      <w:r>
        <w:rPr>
          <w:rFonts w:ascii="Arial" w:eastAsia="Arial" w:hAnsi="Arial" w:cs="Arial"/>
          <w:b/>
          <w:color w:val="000000"/>
          <w:sz w:val="28"/>
          <w:szCs w:val="28"/>
        </w:rPr>
        <w:t>A LUZ DAS AÇÕES DE DESPEJO FRENTE AO ENFRENTAMENTO DO COVID 19.</w:t>
      </w:r>
    </w:p>
    <w:p w:rsidR="00CD59E8" w:rsidRDefault="00CD59E8">
      <w:pPr>
        <w:pStyle w:val="normal0"/>
        <w:widowControl w:val="0"/>
        <w:spacing w:after="0" w:line="240" w:lineRule="auto"/>
        <w:jc w:val="center"/>
        <w:rPr>
          <w:rFonts w:ascii="Times New Roman" w:eastAsia="Times New Roman" w:hAnsi="Times New Roman" w:cs="Times New Roman"/>
          <w:b/>
          <w:smallCaps/>
          <w:color w:val="000000"/>
          <w:sz w:val="28"/>
          <w:szCs w:val="28"/>
        </w:rPr>
      </w:pPr>
    </w:p>
    <w:p w:rsidR="00CD59E8" w:rsidRDefault="004D5397">
      <w:pPr>
        <w:pStyle w:val="normal0"/>
        <w:widowControl w:val="0"/>
        <w:spacing w:after="0" w:line="240" w:lineRule="auto"/>
        <w:ind w:left="2268"/>
        <w:jc w:val="right"/>
        <w:rPr>
          <w:rFonts w:ascii="Arial" w:eastAsia="Arial" w:hAnsi="Arial" w:cs="Arial"/>
          <w:i/>
        </w:rPr>
      </w:pPr>
      <w:r>
        <w:rPr>
          <w:rFonts w:ascii="Arial" w:eastAsia="Arial" w:hAnsi="Arial" w:cs="Arial"/>
          <w:color w:val="000000"/>
          <w:highlight w:val="white"/>
        </w:rPr>
        <w:t>LIMA, Matheus de Oliveira</w:t>
      </w:r>
      <w:r>
        <w:rPr>
          <w:rFonts w:ascii="Arial" w:eastAsia="Arial" w:hAnsi="Arial" w:cs="Arial"/>
          <w:i/>
        </w:rPr>
        <w:t xml:space="preserve"> </w:t>
      </w:r>
    </w:p>
    <w:p w:rsidR="00CD59E8" w:rsidRDefault="004D5397">
      <w:pPr>
        <w:pStyle w:val="normal0"/>
        <w:widowControl w:val="0"/>
        <w:spacing w:after="0" w:line="240" w:lineRule="auto"/>
        <w:ind w:left="2268"/>
        <w:jc w:val="right"/>
        <w:rPr>
          <w:rFonts w:ascii="Arial" w:eastAsia="Arial" w:hAnsi="Arial" w:cs="Arial"/>
          <w:i/>
        </w:rPr>
      </w:pPr>
      <w:r>
        <w:rPr>
          <w:rFonts w:ascii="Arial" w:eastAsia="Arial" w:hAnsi="Arial" w:cs="Arial"/>
          <w:i/>
          <w:color w:val="000000"/>
        </w:rPr>
        <w:t>Graduando do quinto período do curso de Direito da Faculdade Metropolitana São Carlos.</w:t>
      </w:r>
    </w:p>
    <w:p w:rsidR="00CD59E8" w:rsidRDefault="004D5397">
      <w:pPr>
        <w:pStyle w:val="normal0"/>
        <w:widowControl w:val="0"/>
        <w:spacing w:after="0" w:line="240" w:lineRule="auto"/>
        <w:ind w:left="2268"/>
        <w:jc w:val="right"/>
        <w:rPr>
          <w:rFonts w:ascii="Arial" w:eastAsia="Arial" w:hAnsi="Arial" w:cs="Arial"/>
        </w:rPr>
      </w:pPr>
      <w:r>
        <w:rPr>
          <w:rFonts w:ascii="Arial" w:eastAsia="Arial" w:hAnsi="Arial" w:cs="Arial"/>
          <w:color w:val="000000"/>
        </w:rPr>
        <w:t>E-mail:</w:t>
      </w:r>
      <w:r>
        <w:rPr>
          <w:rFonts w:ascii="Arial" w:eastAsia="Arial" w:hAnsi="Arial" w:cs="Arial"/>
        </w:rPr>
        <w:t xml:space="preserve"> </w:t>
      </w:r>
      <w:r>
        <w:rPr>
          <w:rFonts w:ascii="Arial" w:eastAsia="Arial" w:hAnsi="Arial" w:cs="Arial"/>
          <w:color w:val="000000"/>
        </w:rPr>
        <w:t>moi.matheus@gmail.com</w:t>
      </w:r>
    </w:p>
    <w:p w:rsidR="00CD59E8" w:rsidRDefault="00CD59E8">
      <w:pPr>
        <w:pStyle w:val="normal0"/>
        <w:widowControl w:val="0"/>
        <w:spacing w:after="0" w:line="240" w:lineRule="auto"/>
        <w:ind w:left="2268"/>
        <w:jc w:val="right"/>
        <w:rPr>
          <w:rFonts w:ascii="Arial" w:eastAsia="Arial" w:hAnsi="Arial" w:cs="Arial"/>
        </w:rPr>
      </w:pPr>
    </w:p>
    <w:p w:rsidR="00CD59E8" w:rsidRDefault="004D5397">
      <w:pPr>
        <w:pStyle w:val="normal0"/>
        <w:widowControl w:val="0"/>
        <w:spacing w:after="0" w:line="240" w:lineRule="auto"/>
        <w:ind w:left="2268"/>
        <w:jc w:val="right"/>
        <w:rPr>
          <w:rFonts w:ascii="Arial" w:eastAsia="Arial" w:hAnsi="Arial" w:cs="Arial"/>
          <w:color w:val="000000"/>
        </w:rPr>
      </w:pPr>
      <w:r>
        <w:rPr>
          <w:rFonts w:ascii="Arial" w:eastAsia="Arial" w:hAnsi="Arial" w:cs="Arial"/>
          <w:color w:val="000000"/>
          <w:highlight w:val="white"/>
        </w:rPr>
        <w:t>RAMOS, Luan Rosa</w:t>
      </w:r>
    </w:p>
    <w:p w:rsidR="00CD59E8" w:rsidRDefault="004D5397">
      <w:pPr>
        <w:pStyle w:val="normal0"/>
        <w:widowControl w:val="0"/>
        <w:spacing w:after="0" w:line="240" w:lineRule="auto"/>
        <w:ind w:left="2268"/>
        <w:jc w:val="right"/>
        <w:rPr>
          <w:rFonts w:ascii="Arial" w:eastAsia="Arial" w:hAnsi="Arial" w:cs="Arial"/>
          <w:i/>
        </w:rPr>
      </w:pPr>
      <w:r>
        <w:rPr>
          <w:rFonts w:ascii="Arial" w:eastAsia="Arial" w:hAnsi="Arial" w:cs="Arial"/>
          <w:i/>
          <w:color w:val="000000"/>
        </w:rPr>
        <w:t>Graduando do quinto período do curso de Direito da Faculdade Metropolitana São Carlos</w:t>
      </w:r>
      <w:r>
        <w:rPr>
          <w:rFonts w:ascii="Arial" w:eastAsia="Arial" w:hAnsi="Arial" w:cs="Arial"/>
          <w:color w:val="000000"/>
        </w:rPr>
        <w:t>.</w:t>
      </w:r>
      <w:r>
        <w:rPr>
          <w:rFonts w:ascii="Arial" w:eastAsia="Arial" w:hAnsi="Arial" w:cs="Arial"/>
          <w:i/>
        </w:rPr>
        <w:t xml:space="preserve"> </w:t>
      </w:r>
    </w:p>
    <w:p w:rsidR="00CD59E8" w:rsidRDefault="004D5397">
      <w:pPr>
        <w:pStyle w:val="normal0"/>
        <w:widowControl w:val="0"/>
        <w:spacing w:after="0" w:line="240" w:lineRule="auto"/>
        <w:ind w:left="2268"/>
        <w:jc w:val="right"/>
        <w:rPr>
          <w:rFonts w:ascii="Arial" w:eastAsia="Arial" w:hAnsi="Arial" w:cs="Arial"/>
        </w:rPr>
      </w:pPr>
      <w:r>
        <w:rPr>
          <w:rFonts w:ascii="Arial" w:eastAsia="Arial" w:hAnsi="Arial" w:cs="Arial"/>
          <w:color w:val="000000"/>
        </w:rPr>
        <w:t>E-mail:</w:t>
      </w:r>
      <w:r>
        <w:rPr>
          <w:rFonts w:ascii="Arial" w:eastAsia="Arial" w:hAnsi="Arial" w:cs="Arial"/>
        </w:rPr>
        <w:t xml:space="preserve"> </w:t>
      </w:r>
      <w:r>
        <w:rPr>
          <w:rFonts w:ascii="Arial" w:eastAsia="Arial" w:hAnsi="Arial" w:cs="Arial"/>
          <w:color w:val="000000"/>
        </w:rPr>
        <w:t>luanrramos17@gmail.com</w:t>
      </w:r>
    </w:p>
    <w:p w:rsidR="00CD59E8" w:rsidRDefault="00CD59E8">
      <w:pPr>
        <w:pStyle w:val="normal0"/>
        <w:widowControl w:val="0"/>
        <w:spacing w:after="0" w:line="240" w:lineRule="auto"/>
        <w:ind w:left="2268"/>
        <w:jc w:val="right"/>
        <w:rPr>
          <w:rFonts w:ascii="Arial" w:eastAsia="Arial" w:hAnsi="Arial" w:cs="Arial"/>
        </w:rPr>
      </w:pPr>
    </w:p>
    <w:p w:rsidR="00CD59E8" w:rsidRDefault="004D5397">
      <w:pPr>
        <w:pStyle w:val="normal0"/>
        <w:widowControl w:val="0"/>
        <w:spacing w:after="0" w:line="240" w:lineRule="auto"/>
        <w:ind w:left="2268"/>
        <w:jc w:val="right"/>
        <w:rPr>
          <w:rFonts w:ascii="Arial" w:eastAsia="Arial" w:hAnsi="Arial" w:cs="Arial"/>
        </w:rPr>
      </w:pPr>
      <w:r>
        <w:rPr>
          <w:rFonts w:ascii="Arial" w:eastAsia="Arial" w:hAnsi="Arial" w:cs="Arial"/>
          <w:highlight w:val="white"/>
        </w:rPr>
        <w:t>PAULISTA, Bárbara Rangel</w:t>
      </w:r>
    </w:p>
    <w:p w:rsidR="00CD59E8" w:rsidRDefault="004D5397">
      <w:pPr>
        <w:pStyle w:val="normal0"/>
        <w:widowControl w:val="0"/>
        <w:spacing w:after="0" w:line="240" w:lineRule="auto"/>
        <w:ind w:left="2268"/>
        <w:jc w:val="right"/>
        <w:rPr>
          <w:rFonts w:ascii="Arial" w:eastAsia="Arial" w:hAnsi="Arial" w:cs="Arial"/>
          <w:i/>
        </w:rPr>
      </w:pPr>
      <w:r>
        <w:rPr>
          <w:rFonts w:ascii="Arial" w:eastAsia="Arial" w:hAnsi="Arial" w:cs="Arial"/>
          <w:i/>
        </w:rPr>
        <w:t>Graduação em Direito pela Universidade Iguaçu (2009). Pós-graduada em Direito Penal e Processo Penal com capacitação para o Ensino no Magistério Superior pela Faculdade de Direito Damásio de Jesus (2014). Pós-graduada em Gestão Educacional e Práticas Pedag</w:t>
      </w:r>
      <w:r>
        <w:rPr>
          <w:rFonts w:ascii="Arial" w:eastAsia="Arial" w:hAnsi="Arial" w:cs="Arial"/>
          <w:i/>
        </w:rPr>
        <w:t>ógicas pela Faculdade Metropolitana São Carlos (2018). Foi escrevente por diversos anos em cartórios extrajudiciais, com vasta experiência no campo do direito imobiliário, direito reais, direito das sucessões e direito de família. Atualmente é advogada.</w:t>
      </w:r>
    </w:p>
    <w:p w:rsidR="00CD59E8" w:rsidRDefault="004D5397">
      <w:pPr>
        <w:pStyle w:val="normal0"/>
        <w:widowControl w:val="0"/>
        <w:spacing w:after="0" w:line="240" w:lineRule="auto"/>
        <w:ind w:left="2268"/>
        <w:jc w:val="right"/>
        <w:rPr>
          <w:rFonts w:ascii="Arial" w:eastAsia="Arial" w:hAnsi="Arial" w:cs="Arial"/>
          <w:color w:val="000000"/>
        </w:rPr>
      </w:pPr>
      <w:r>
        <w:rPr>
          <w:rFonts w:ascii="Arial" w:eastAsia="Arial" w:hAnsi="Arial" w:cs="Arial"/>
          <w:color w:val="000000"/>
        </w:rPr>
        <w:t>E-</w:t>
      </w:r>
      <w:r>
        <w:rPr>
          <w:rFonts w:ascii="Arial" w:eastAsia="Arial" w:hAnsi="Arial" w:cs="Arial"/>
          <w:color w:val="000000"/>
        </w:rPr>
        <w:t>mail: drabarbarapaulista@gmail.com</w:t>
      </w:r>
    </w:p>
    <w:p w:rsidR="00CD59E8" w:rsidRDefault="00CD59E8">
      <w:pPr>
        <w:pStyle w:val="normal0"/>
        <w:widowControl w:val="0"/>
        <w:spacing w:after="0" w:line="240" w:lineRule="auto"/>
        <w:ind w:left="2268"/>
        <w:jc w:val="right"/>
        <w:rPr>
          <w:rFonts w:ascii="Arial" w:eastAsia="Arial" w:hAnsi="Arial" w:cs="Arial"/>
          <w:color w:val="000000"/>
        </w:rPr>
      </w:pPr>
    </w:p>
    <w:p w:rsidR="00CD59E8" w:rsidRDefault="004D5397">
      <w:pPr>
        <w:pStyle w:val="normal0"/>
        <w:widowControl w:val="0"/>
        <w:spacing w:after="0" w:line="240" w:lineRule="auto"/>
        <w:ind w:left="2268"/>
        <w:jc w:val="right"/>
        <w:rPr>
          <w:rFonts w:ascii="Arial" w:eastAsia="Arial" w:hAnsi="Arial" w:cs="Arial"/>
        </w:rPr>
      </w:pPr>
      <w:r>
        <w:rPr>
          <w:rFonts w:ascii="Arial" w:eastAsia="Arial" w:hAnsi="Arial" w:cs="Arial"/>
        </w:rPr>
        <w:t>ALTOÉ, Maria Izabel</w:t>
      </w:r>
    </w:p>
    <w:p w:rsidR="00CD59E8" w:rsidRDefault="004D5397">
      <w:pPr>
        <w:pStyle w:val="normal0"/>
        <w:widowControl w:val="0"/>
        <w:spacing w:after="0" w:line="240" w:lineRule="auto"/>
        <w:ind w:left="2268"/>
        <w:jc w:val="right"/>
        <w:rPr>
          <w:rFonts w:ascii="Arial" w:eastAsia="Arial" w:hAnsi="Arial" w:cs="Arial"/>
          <w:i/>
        </w:rPr>
      </w:pPr>
      <w:r>
        <w:rPr>
          <w:rFonts w:ascii="Arial" w:eastAsia="Arial" w:hAnsi="Arial" w:cs="Arial"/>
          <w:i/>
        </w:rPr>
        <w:t>Mestre em processo Civil e Juíza</w:t>
      </w:r>
    </w:p>
    <w:p w:rsidR="00CD59E8" w:rsidRDefault="004D5397">
      <w:pPr>
        <w:pStyle w:val="normal0"/>
        <w:widowControl w:val="0"/>
        <w:spacing w:after="0" w:line="240" w:lineRule="auto"/>
        <w:ind w:left="2268"/>
        <w:jc w:val="right"/>
        <w:rPr>
          <w:rFonts w:ascii="Arial" w:eastAsia="Arial" w:hAnsi="Arial" w:cs="Arial"/>
        </w:rPr>
      </w:pPr>
      <w:r>
        <w:rPr>
          <w:rFonts w:ascii="Arial" w:eastAsia="Arial" w:hAnsi="Arial" w:cs="Arial"/>
        </w:rPr>
        <w:t>E-mail: mialtoe2010@hotmail.com</w:t>
      </w:r>
    </w:p>
    <w:p w:rsidR="00CD59E8" w:rsidRDefault="00CD59E8">
      <w:pPr>
        <w:pStyle w:val="normal0"/>
        <w:widowControl w:val="0"/>
        <w:spacing w:after="0" w:line="240" w:lineRule="auto"/>
        <w:ind w:left="2268"/>
        <w:jc w:val="right"/>
        <w:rPr>
          <w:rFonts w:ascii="Arial" w:eastAsia="Arial" w:hAnsi="Arial" w:cs="Arial"/>
        </w:rPr>
      </w:pPr>
    </w:p>
    <w:p w:rsidR="00CD59E8" w:rsidRDefault="004D5397">
      <w:pPr>
        <w:pStyle w:val="normal0"/>
        <w:widowControl w:val="0"/>
        <w:spacing w:after="0" w:line="240" w:lineRule="auto"/>
        <w:ind w:left="2268"/>
        <w:jc w:val="right"/>
        <w:rPr>
          <w:rFonts w:ascii="Arial" w:eastAsia="Arial" w:hAnsi="Arial" w:cs="Arial"/>
        </w:rPr>
      </w:pPr>
      <w:r>
        <w:rPr>
          <w:rFonts w:ascii="Arial" w:eastAsia="Arial" w:hAnsi="Arial" w:cs="Arial"/>
        </w:rPr>
        <w:t>MELO, Bruno Cleuder de</w:t>
      </w:r>
    </w:p>
    <w:p w:rsidR="00CD59E8" w:rsidRDefault="004D5397">
      <w:pPr>
        <w:pStyle w:val="normal0"/>
        <w:widowControl w:val="0"/>
        <w:spacing w:after="0" w:line="240" w:lineRule="auto"/>
        <w:ind w:left="2268"/>
        <w:jc w:val="right"/>
        <w:rPr>
          <w:rFonts w:ascii="Arial" w:eastAsia="Arial" w:hAnsi="Arial" w:cs="Arial"/>
          <w:i/>
        </w:rPr>
      </w:pPr>
      <w:r>
        <w:rPr>
          <w:rFonts w:ascii="Arial" w:eastAsia="Arial" w:hAnsi="Arial" w:cs="Arial"/>
          <w:i/>
        </w:rPr>
        <w:t>Delegado de Polícia Civil do RJ. Possui graduação em Direito pela Universidade Iguaçu - UNIG (2010). Pós gradua</w:t>
      </w:r>
      <w:r>
        <w:rPr>
          <w:rFonts w:ascii="Arial" w:eastAsia="Arial" w:hAnsi="Arial" w:cs="Arial"/>
          <w:i/>
        </w:rPr>
        <w:t>do em Direito Público pela Faculdade Metropolitana São Carlos - FAMESC (2014). Graduação em Direito. 2005 – 2010</w:t>
      </w:r>
    </w:p>
    <w:p w:rsidR="00CD59E8" w:rsidRDefault="004D5397">
      <w:pPr>
        <w:pStyle w:val="normal0"/>
        <w:widowControl w:val="0"/>
        <w:spacing w:after="0" w:line="240" w:lineRule="auto"/>
        <w:ind w:left="2268"/>
        <w:jc w:val="right"/>
        <w:rPr>
          <w:rFonts w:ascii="Arial" w:eastAsia="Arial" w:hAnsi="Arial" w:cs="Arial"/>
          <w:i/>
          <w:color w:val="000000"/>
          <w:sz w:val="24"/>
          <w:szCs w:val="24"/>
          <w:vertAlign w:val="superscript"/>
        </w:rPr>
      </w:pPr>
      <w:r>
        <w:rPr>
          <w:rFonts w:ascii="Arial" w:eastAsia="Arial" w:hAnsi="Arial" w:cs="Arial"/>
        </w:rPr>
        <w:t>E-mail: brunocleuder@yahoo.com.br</w:t>
      </w:r>
    </w:p>
    <w:p w:rsidR="00CD59E8" w:rsidRDefault="00CD59E8">
      <w:pPr>
        <w:pStyle w:val="normal0"/>
        <w:spacing w:after="0" w:line="360" w:lineRule="auto"/>
        <w:jc w:val="both"/>
        <w:rPr>
          <w:rFonts w:ascii="Arial" w:eastAsia="Arial" w:hAnsi="Arial" w:cs="Arial"/>
        </w:rPr>
      </w:pPr>
    </w:p>
    <w:p w:rsidR="00CD59E8" w:rsidRDefault="004D5397">
      <w:pPr>
        <w:pStyle w:val="normal0"/>
        <w:spacing w:after="0" w:line="360" w:lineRule="auto"/>
        <w:rPr>
          <w:rFonts w:ascii="Arial" w:eastAsia="Arial" w:hAnsi="Arial" w:cs="Arial"/>
          <w:b/>
          <w:sz w:val="24"/>
          <w:szCs w:val="24"/>
        </w:rPr>
      </w:pPr>
      <w:r>
        <w:rPr>
          <w:rFonts w:ascii="Arial" w:eastAsia="Arial" w:hAnsi="Arial" w:cs="Arial"/>
          <w:b/>
          <w:sz w:val="24"/>
          <w:szCs w:val="24"/>
        </w:rPr>
        <w:t>INTRODUÇÃO</w:t>
      </w:r>
    </w:p>
    <w:p w:rsidR="00CD59E8" w:rsidRDefault="00CD59E8">
      <w:pPr>
        <w:pStyle w:val="normal0"/>
        <w:spacing w:after="0" w:line="360" w:lineRule="auto"/>
        <w:rPr>
          <w:rFonts w:ascii="Arial" w:eastAsia="Arial" w:hAnsi="Arial" w:cs="Arial"/>
          <w:b/>
          <w:sz w:val="24"/>
          <w:szCs w:val="24"/>
        </w:rPr>
      </w:pPr>
    </w:p>
    <w:p w:rsidR="00CD59E8" w:rsidRDefault="004D5397">
      <w:pPr>
        <w:pStyle w:val="normal0"/>
        <w:pBdr>
          <w:top w:val="nil"/>
          <w:left w:val="nil"/>
          <w:bottom w:val="nil"/>
          <w:right w:val="nil"/>
          <w:between w:val="nil"/>
        </w:pBdr>
        <w:spacing w:line="360" w:lineRule="auto"/>
        <w:ind w:firstLine="709"/>
        <w:jc w:val="both"/>
        <w:rPr>
          <w:rFonts w:ascii="Arial" w:eastAsia="Arial" w:hAnsi="Arial" w:cs="Arial"/>
          <w:sz w:val="24"/>
          <w:szCs w:val="24"/>
        </w:rPr>
      </w:pPr>
      <w:r>
        <w:rPr>
          <w:rFonts w:ascii="Arial" w:eastAsia="Arial" w:hAnsi="Arial" w:cs="Arial"/>
          <w:color w:val="000000"/>
          <w:sz w:val="24"/>
          <w:szCs w:val="24"/>
        </w:rPr>
        <w:t>Inicialmente, se faz mister, apontar de forma objetiva o cerne do projeto a ser desenvolvido, di</w:t>
      </w:r>
      <w:r>
        <w:rPr>
          <w:rFonts w:ascii="Arial" w:eastAsia="Arial" w:hAnsi="Arial" w:cs="Arial"/>
          <w:color w:val="000000"/>
          <w:sz w:val="24"/>
          <w:szCs w:val="24"/>
        </w:rPr>
        <w:t xml:space="preserve">to isso, este será </w:t>
      </w:r>
      <w:r>
        <w:rPr>
          <w:rFonts w:ascii="Arial" w:eastAsia="Arial" w:hAnsi="Arial" w:cs="Arial"/>
          <w:sz w:val="24"/>
          <w:szCs w:val="24"/>
        </w:rPr>
        <w:t>construído</w:t>
      </w:r>
      <w:r>
        <w:rPr>
          <w:rFonts w:ascii="Arial" w:eastAsia="Arial" w:hAnsi="Arial" w:cs="Arial"/>
          <w:color w:val="000000"/>
          <w:sz w:val="24"/>
          <w:szCs w:val="24"/>
        </w:rPr>
        <w:t xml:space="preserve"> com fulcro na lei 14010 de 2020  com foco especial nos artigos 1º primeiro; 2º segundo </w:t>
      </w:r>
      <w:r>
        <w:rPr>
          <w:rFonts w:ascii="Arial" w:eastAsia="Arial" w:hAnsi="Arial" w:cs="Arial"/>
          <w:sz w:val="24"/>
          <w:szCs w:val="24"/>
        </w:rPr>
        <w:t>e</w:t>
      </w:r>
      <w:r>
        <w:rPr>
          <w:rFonts w:ascii="Arial" w:eastAsia="Arial" w:hAnsi="Arial" w:cs="Arial"/>
          <w:color w:val="000000"/>
          <w:sz w:val="24"/>
          <w:szCs w:val="24"/>
        </w:rPr>
        <w:t xml:space="preserve"> 9º nono da referida lei.</w:t>
      </w:r>
      <w:r>
        <w:rPr>
          <w:rFonts w:ascii="Arial" w:eastAsia="Arial" w:hAnsi="Arial" w:cs="Arial"/>
          <w:sz w:val="24"/>
          <w:szCs w:val="24"/>
        </w:rPr>
        <w:t xml:space="preserve"> Diante dos dispositivos supramencionados, será realizada uma abordagem da sua propositura teórica, para que assim possa ser aplicada aos casos concretos.</w:t>
      </w:r>
    </w:p>
    <w:p w:rsidR="00CD59E8" w:rsidRDefault="004D5397">
      <w:pPr>
        <w:pStyle w:val="normal0"/>
        <w:tabs>
          <w:tab w:val="center" w:pos="4252"/>
          <w:tab w:val="right" w:pos="8504"/>
        </w:tabs>
        <w:spacing w:after="0" w:line="360" w:lineRule="auto"/>
        <w:ind w:firstLine="709"/>
        <w:jc w:val="both"/>
        <w:rPr>
          <w:rFonts w:ascii="Arial" w:eastAsia="Arial" w:hAnsi="Arial" w:cs="Arial"/>
        </w:rPr>
      </w:pPr>
      <w:bookmarkStart w:id="0" w:name="_gjdgxs" w:colFirst="0" w:colLast="0"/>
      <w:bookmarkEnd w:id="0"/>
      <w:r>
        <w:rPr>
          <w:rFonts w:ascii="Arial" w:eastAsia="Arial" w:hAnsi="Arial" w:cs="Arial"/>
          <w:sz w:val="24"/>
          <w:szCs w:val="24"/>
        </w:rPr>
        <w:lastRenderedPageBreak/>
        <w:tab/>
      </w:r>
      <w:r>
        <w:rPr>
          <w:rFonts w:ascii="Arial" w:eastAsia="Arial" w:hAnsi="Arial" w:cs="Arial"/>
          <w:sz w:val="24"/>
          <w:szCs w:val="24"/>
        </w:rPr>
        <w:t>O estudo consistirá em uma aná</w:t>
      </w:r>
      <w:r w:rsidR="00C55B0A">
        <w:rPr>
          <w:rFonts w:ascii="Arial" w:eastAsia="Arial" w:hAnsi="Arial" w:cs="Arial"/>
          <w:sz w:val="24"/>
          <w:szCs w:val="24"/>
        </w:rPr>
        <w:t xml:space="preserve">lise da concessão de liminares </w:t>
      </w:r>
      <w:r>
        <w:rPr>
          <w:rFonts w:ascii="Arial" w:eastAsia="Arial" w:hAnsi="Arial" w:cs="Arial"/>
          <w:sz w:val="24"/>
          <w:szCs w:val="24"/>
        </w:rPr>
        <w:t>nas ações de despejos de imóveis urbanos, trazendo ao embate, uma avaliação junto a sua boa aplicabilidade no âmbito das relações jurídicas, tendo como escopo, o princípio da dignidade da pessoa</w:t>
      </w:r>
      <w:r>
        <w:rPr>
          <w:rFonts w:ascii="Arial" w:eastAsia="Arial" w:hAnsi="Arial" w:cs="Arial"/>
          <w:sz w:val="24"/>
          <w:szCs w:val="24"/>
        </w:rPr>
        <w:t xml:space="preserve"> humana, ao passo que tal princípio e dispositivo legal sejam confrontados, evitando que haja uma distorção na sua interpretação de modo a salvaguardar somente aquele que, no primeiro momento, goza da tutela jurisdicional, a exemplo dos ocupantes de imóvei</w:t>
      </w:r>
      <w:r>
        <w:rPr>
          <w:rFonts w:ascii="Arial" w:eastAsia="Arial" w:hAnsi="Arial" w:cs="Arial"/>
          <w:sz w:val="24"/>
          <w:szCs w:val="24"/>
        </w:rPr>
        <w:t>s que se encontram em uma situação litigiosa usufruindo do impedimento da concessão de liminares.</w:t>
      </w:r>
    </w:p>
    <w:p w:rsidR="00CD59E8" w:rsidRDefault="00CD59E8">
      <w:pPr>
        <w:pStyle w:val="normal0"/>
        <w:keepNext/>
        <w:keepLines/>
        <w:spacing w:after="0" w:line="360" w:lineRule="auto"/>
        <w:jc w:val="both"/>
        <w:rPr>
          <w:rFonts w:ascii="Arial" w:eastAsia="Arial" w:hAnsi="Arial" w:cs="Arial"/>
        </w:rPr>
      </w:pPr>
    </w:p>
    <w:p w:rsidR="00CD59E8" w:rsidRDefault="00CD59E8">
      <w:pPr>
        <w:pStyle w:val="normal0"/>
        <w:keepNext/>
        <w:keepLines/>
        <w:spacing w:after="0" w:line="360" w:lineRule="auto"/>
        <w:jc w:val="both"/>
        <w:rPr>
          <w:rFonts w:ascii="Arial" w:eastAsia="Arial" w:hAnsi="Arial" w:cs="Arial"/>
        </w:rPr>
      </w:pPr>
    </w:p>
    <w:p w:rsidR="00CD59E8" w:rsidRDefault="004D5397">
      <w:pPr>
        <w:pStyle w:val="normal0"/>
        <w:keepNext/>
        <w:keepLines/>
        <w:spacing w:after="0" w:line="360" w:lineRule="auto"/>
        <w:jc w:val="both"/>
        <w:rPr>
          <w:rFonts w:ascii="Arial" w:eastAsia="Arial" w:hAnsi="Arial" w:cs="Arial"/>
          <w:b/>
          <w:sz w:val="24"/>
          <w:szCs w:val="24"/>
        </w:rPr>
      </w:pPr>
      <w:r>
        <w:rPr>
          <w:rFonts w:ascii="Arial" w:eastAsia="Arial" w:hAnsi="Arial" w:cs="Arial"/>
          <w:b/>
          <w:sz w:val="24"/>
          <w:szCs w:val="24"/>
        </w:rPr>
        <w:t>MATERIAL E MÉTODOS</w:t>
      </w:r>
    </w:p>
    <w:p w:rsidR="00CD59E8" w:rsidRDefault="004D5397">
      <w:pPr>
        <w:pStyle w:val="normal0"/>
        <w:pBdr>
          <w:top w:val="nil"/>
          <w:left w:val="nil"/>
          <w:bottom w:val="nil"/>
          <w:right w:val="nil"/>
          <w:between w:val="nil"/>
        </w:pBdr>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highlight w:val="white"/>
        </w:rPr>
        <w:t>Em razão do modelo de trabalho, será adotado o método dedutivo, realizando pesquisas bibliográficas e revisão de literatura sistemática.</w:t>
      </w:r>
    </w:p>
    <w:p w:rsidR="00CD59E8" w:rsidRDefault="004D5397">
      <w:pPr>
        <w:pStyle w:val="normal0"/>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b/>
          <w:sz w:val="24"/>
          <w:szCs w:val="24"/>
        </w:rPr>
        <w:t>DESENVOLVIMENTO</w:t>
      </w:r>
    </w:p>
    <w:p w:rsidR="00CD59E8" w:rsidRDefault="004D5397">
      <w:pPr>
        <w:pStyle w:val="normal0"/>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sz w:val="24"/>
          <w:szCs w:val="24"/>
        </w:rPr>
        <w:tab/>
      </w:r>
      <w:r>
        <w:rPr>
          <w:rFonts w:ascii="Arial" w:eastAsia="Arial" w:hAnsi="Arial" w:cs="Arial"/>
          <w:color w:val="000000"/>
          <w:sz w:val="24"/>
          <w:szCs w:val="24"/>
        </w:rPr>
        <w:t>Pois bem, ante a explanação introdutória, Nogueira (2020) traz para o campo do estudo, uma análise objetiva das mudanças que foram trazidas pela lei 14.010/2020, por se tratar de uma lei transitória em virtude da pandemia sofrida, esta, en</w:t>
      </w:r>
      <w:r w:rsidR="00662700">
        <w:rPr>
          <w:rFonts w:ascii="Arial" w:eastAsia="Arial" w:hAnsi="Arial" w:cs="Arial"/>
          <w:color w:val="000000"/>
          <w:sz w:val="24"/>
          <w:szCs w:val="24"/>
        </w:rPr>
        <w:t>quanto durar trará</w:t>
      </w:r>
      <w:r>
        <w:rPr>
          <w:rFonts w:ascii="Arial" w:eastAsia="Arial" w:hAnsi="Arial" w:cs="Arial"/>
          <w:color w:val="000000"/>
          <w:sz w:val="24"/>
          <w:szCs w:val="24"/>
        </w:rPr>
        <w:t xml:space="preserve"> mudanças no código civil, bem como no código do consumidor. O real objetivo da norma criada foi tutelar a preservação da saúde pública, fazendo com que determinadas relações jurídicas, especificamente as privadas, possam ser protegidas </w:t>
      </w:r>
      <w:r>
        <w:rPr>
          <w:rFonts w:ascii="Arial" w:eastAsia="Arial" w:hAnsi="Arial" w:cs="Arial"/>
          <w:color w:val="000000"/>
          <w:sz w:val="24"/>
          <w:szCs w:val="24"/>
        </w:rPr>
        <w:t>em virtude do flagelo que a sociedade fora acometida (NOGUEIRA, 2020).</w:t>
      </w:r>
    </w:p>
    <w:p w:rsidR="00CD59E8" w:rsidRDefault="004D5397">
      <w:pPr>
        <w:pStyle w:val="normal0"/>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ab/>
        <w:t>Para que possa ser alcançada a plenitude dos esclarecimentos, é de suma importância que seja absorvido pelo operador do direito o que se encontra disposto no artigo 2º da lei em estudo</w:t>
      </w:r>
      <w:r>
        <w:rPr>
          <w:rFonts w:ascii="Arial" w:eastAsia="Arial" w:hAnsi="Arial" w:cs="Arial"/>
          <w:color w:val="000000"/>
          <w:sz w:val="24"/>
          <w:szCs w:val="24"/>
        </w:rPr>
        <w:t>, pois, de imediato o legislador faz questão de não deixar dúvidas quanto a sua transitoriedade, devendo ser compreendido que a suspensão das normas elencadas nesta lei, não incorrerá na alteração ou revogação da norma anterior (NOGUEIRA, 2020).</w:t>
      </w:r>
    </w:p>
    <w:p w:rsidR="00CD59E8" w:rsidRDefault="004D5397">
      <w:pPr>
        <w:pStyle w:val="normal0"/>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ab/>
        <w:t xml:space="preserve">Frente a </w:t>
      </w:r>
      <w:r>
        <w:rPr>
          <w:rFonts w:ascii="Arial" w:eastAsia="Arial" w:hAnsi="Arial" w:cs="Arial"/>
          <w:color w:val="000000"/>
          <w:sz w:val="24"/>
          <w:szCs w:val="24"/>
        </w:rPr>
        <w:t xml:space="preserve">todo exposto, se torna deveras importante adentrar naquele que se fará como o cerne do projeto, dito isso, a lei 14.010 em seu artigo 9º, traz para as </w:t>
      </w:r>
      <w:r>
        <w:rPr>
          <w:rFonts w:ascii="Arial" w:eastAsia="Arial" w:hAnsi="Arial" w:cs="Arial"/>
          <w:color w:val="000000"/>
          <w:sz w:val="24"/>
          <w:szCs w:val="24"/>
        </w:rPr>
        <w:lastRenderedPageBreak/>
        <w:t>relações jurídicas uma norma proibitiva na concessão de liminares para ações de despejos com fulcro no ar</w:t>
      </w:r>
      <w:r>
        <w:rPr>
          <w:rFonts w:ascii="Arial" w:eastAsia="Arial" w:hAnsi="Arial" w:cs="Arial"/>
          <w:color w:val="000000"/>
          <w:sz w:val="24"/>
          <w:szCs w:val="24"/>
        </w:rPr>
        <w:t>tigo 59 § 1º, i</w:t>
      </w:r>
      <w:r w:rsidR="001E1F8A">
        <w:rPr>
          <w:rFonts w:ascii="Arial" w:eastAsia="Arial" w:hAnsi="Arial" w:cs="Arial"/>
          <w:color w:val="000000"/>
          <w:sz w:val="24"/>
          <w:szCs w:val="24"/>
        </w:rPr>
        <w:t>ncisos I, II, V, VII, VIII e IX</w:t>
      </w:r>
      <w:r>
        <w:rPr>
          <w:rFonts w:ascii="Arial" w:eastAsia="Arial" w:hAnsi="Arial" w:cs="Arial"/>
          <w:color w:val="000000"/>
          <w:sz w:val="24"/>
          <w:szCs w:val="24"/>
        </w:rPr>
        <w:t>, da Lei nº 8.245 de 18 de outubro de 1991. Acerca do que dispõe o art. 9º da lei 14.010, pode ser interpretado como um</w:t>
      </w:r>
      <w:r>
        <w:rPr>
          <w:rFonts w:ascii="Arial" w:eastAsia="Arial" w:hAnsi="Arial" w:cs="Arial"/>
          <w:sz w:val="24"/>
          <w:szCs w:val="24"/>
        </w:rPr>
        <w:t>a extensão d</w:t>
      </w:r>
      <w:r>
        <w:rPr>
          <w:rFonts w:ascii="Arial" w:eastAsia="Arial" w:hAnsi="Arial" w:cs="Arial"/>
          <w:color w:val="000000"/>
          <w:sz w:val="24"/>
          <w:szCs w:val="24"/>
        </w:rPr>
        <w:t>o que se encontra discriminado no artigo 393 do código civil (BRASIL, 2020).</w:t>
      </w:r>
    </w:p>
    <w:p w:rsidR="00CD59E8" w:rsidRDefault="004D5397">
      <w:pPr>
        <w:pStyle w:val="normal0"/>
        <w:pBdr>
          <w:top w:val="nil"/>
          <w:left w:val="nil"/>
          <w:bottom w:val="nil"/>
          <w:right w:val="nil"/>
          <w:between w:val="nil"/>
        </w:pBdr>
        <w:spacing w:line="240" w:lineRule="auto"/>
        <w:ind w:left="2267"/>
        <w:jc w:val="both"/>
        <w:rPr>
          <w:rFonts w:ascii="Arial" w:eastAsia="Arial" w:hAnsi="Arial" w:cs="Arial"/>
          <w:color w:val="000000"/>
        </w:rPr>
      </w:pPr>
      <w:r>
        <w:rPr>
          <w:rFonts w:ascii="Arial" w:eastAsia="Arial" w:hAnsi="Arial" w:cs="Arial"/>
          <w:color w:val="000000"/>
        </w:rPr>
        <w:t xml:space="preserve">Art. 9º Não se concederá liminar para desocupação de imóvel urbano nas ações de despejo, a que se refere o art. 59, § 1º, incisos I, II, V, VII, VIII e IX, da Lei nº 8.245, de 18 de outubro de 1991, até 30 de outubro de 2020. </w:t>
      </w:r>
      <w:hyperlink r:id="rId6" w:anchor="derrubadaveto">
        <w:r>
          <w:rPr>
            <w:rFonts w:ascii="Arial" w:eastAsia="Arial" w:hAnsi="Arial" w:cs="Arial"/>
          </w:rPr>
          <w:t>Promulgação partes vetadas</w:t>
        </w:r>
      </w:hyperlink>
      <w:r w:rsidR="00840048">
        <w:rPr>
          <w:rFonts w:ascii="Arial" w:eastAsia="Arial" w:hAnsi="Arial" w:cs="Arial"/>
          <w:color w:val="000000"/>
        </w:rPr>
        <w:t xml:space="preserve"> (BRASIL, 2020)</w:t>
      </w:r>
    </w:p>
    <w:p w:rsidR="00CD59E8" w:rsidRDefault="00CD59E8">
      <w:pPr>
        <w:pStyle w:val="normal0"/>
        <w:pBdr>
          <w:top w:val="nil"/>
          <w:left w:val="nil"/>
          <w:bottom w:val="nil"/>
          <w:right w:val="nil"/>
          <w:between w:val="nil"/>
        </w:pBdr>
        <w:spacing w:line="360" w:lineRule="auto"/>
        <w:jc w:val="both"/>
        <w:rPr>
          <w:rFonts w:ascii="Arial" w:eastAsia="Arial" w:hAnsi="Arial" w:cs="Arial"/>
          <w:color w:val="000000"/>
          <w:sz w:val="24"/>
          <w:szCs w:val="24"/>
        </w:rPr>
      </w:pPr>
    </w:p>
    <w:p w:rsidR="00CD59E8" w:rsidRDefault="004D5397">
      <w:pPr>
        <w:pStyle w:val="normal0"/>
        <w:spacing w:line="360" w:lineRule="auto"/>
        <w:ind w:firstLine="709"/>
        <w:jc w:val="both"/>
        <w:rPr>
          <w:rFonts w:ascii="Arial" w:eastAsia="Arial" w:hAnsi="Arial" w:cs="Arial"/>
          <w:color w:val="000000"/>
          <w:sz w:val="24"/>
          <w:szCs w:val="24"/>
        </w:rPr>
      </w:pPr>
      <w:r>
        <w:rPr>
          <w:rFonts w:ascii="Arial" w:eastAsia="Arial" w:hAnsi="Arial" w:cs="Arial"/>
          <w:sz w:val="24"/>
          <w:szCs w:val="24"/>
          <w:highlight w:val="white"/>
        </w:rPr>
        <w:t>Confo</w:t>
      </w:r>
      <w:r w:rsidR="001E1F8A">
        <w:rPr>
          <w:rFonts w:ascii="Arial" w:eastAsia="Arial" w:hAnsi="Arial" w:cs="Arial"/>
          <w:sz w:val="24"/>
          <w:szCs w:val="24"/>
          <w:highlight w:val="white"/>
        </w:rPr>
        <w:t xml:space="preserve">rme Gagliano e Oliveira (2020) </w:t>
      </w:r>
      <w:r>
        <w:rPr>
          <w:rFonts w:ascii="Arial" w:eastAsia="Arial" w:hAnsi="Arial" w:cs="Arial"/>
          <w:sz w:val="24"/>
          <w:szCs w:val="24"/>
          <w:highlight w:val="white"/>
        </w:rPr>
        <w:t>deve</w:t>
      </w:r>
      <w:r w:rsidR="001E1F8A">
        <w:rPr>
          <w:rFonts w:ascii="Arial" w:eastAsia="Arial" w:hAnsi="Arial" w:cs="Arial"/>
          <w:sz w:val="24"/>
          <w:szCs w:val="24"/>
          <w:highlight w:val="white"/>
        </w:rPr>
        <w:t>m</w:t>
      </w:r>
      <w:r>
        <w:rPr>
          <w:rFonts w:ascii="Arial" w:eastAsia="Arial" w:hAnsi="Arial" w:cs="Arial"/>
          <w:sz w:val="24"/>
          <w:szCs w:val="24"/>
          <w:highlight w:val="white"/>
        </w:rPr>
        <w:t xml:space="preserve"> ser</w:t>
      </w:r>
      <w:r>
        <w:rPr>
          <w:rFonts w:ascii="Arial" w:eastAsia="Arial" w:hAnsi="Arial" w:cs="Arial"/>
          <w:sz w:val="24"/>
          <w:szCs w:val="24"/>
          <w:highlight w:val="white"/>
        </w:rPr>
        <w:t xml:space="preserve"> feito análises pontuais a cada caso concreto, não podendo negar quando se iniciara os efeitos da pandemia, antecedendo assim a norma positivada. Podendo também nada se correlacionar com os efeitos do COVID 19</w:t>
      </w:r>
      <w:r>
        <w:rPr>
          <w:rFonts w:ascii="Arial" w:eastAsia="Arial" w:hAnsi="Arial" w:cs="Arial"/>
          <w:sz w:val="24"/>
          <w:szCs w:val="24"/>
        </w:rPr>
        <w:t xml:space="preserve">, </w:t>
      </w:r>
      <w:r>
        <w:rPr>
          <w:rFonts w:ascii="Arial" w:eastAsia="Arial" w:hAnsi="Arial" w:cs="Arial"/>
          <w:sz w:val="24"/>
          <w:szCs w:val="24"/>
        </w:rPr>
        <w:t>sendo assim, d</w:t>
      </w:r>
      <w:r>
        <w:rPr>
          <w:rFonts w:ascii="Arial" w:eastAsia="Arial" w:hAnsi="Arial" w:cs="Arial"/>
          <w:color w:val="000000"/>
          <w:sz w:val="24"/>
          <w:szCs w:val="24"/>
        </w:rPr>
        <w:t>iante da norma apresentada,</w:t>
      </w:r>
      <w:r w:rsidR="001E1F8A">
        <w:rPr>
          <w:rFonts w:ascii="Arial" w:eastAsia="Arial" w:hAnsi="Arial" w:cs="Arial"/>
          <w:color w:val="000000"/>
          <w:sz w:val="24"/>
          <w:szCs w:val="24"/>
        </w:rPr>
        <w:t xml:space="preserve"> </w:t>
      </w:r>
      <w:r>
        <w:rPr>
          <w:rFonts w:ascii="Arial" w:eastAsia="Arial" w:hAnsi="Arial" w:cs="Arial"/>
          <w:color w:val="000000"/>
          <w:sz w:val="24"/>
          <w:szCs w:val="24"/>
        </w:rPr>
        <w:t xml:space="preserve">cumpre ressaltar que sua aplicação abarca ações com data posterior a aprovação da lei, sendo o período a ser levado em consideração, aquele compreendido entre </w:t>
      </w:r>
      <w:r>
        <w:rPr>
          <w:rFonts w:ascii="Arial" w:eastAsia="Arial" w:hAnsi="Arial" w:cs="Arial"/>
          <w:sz w:val="24"/>
          <w:szCs w:val="24"/>
        </w:rPr>
        <w:t>20</w:t>
      </w:r>
      <w:r>
        <w:rPr>
          <w:rFonts w:ascii="Arial" w:eastAsia="Arial" w:hAnsi="Arial" w:cs="Arial"/>
          <w:color w:val="000000"/>
          <w:sz w:val="24"/>
          <w:szCs w:val="24"/>
        </w:rPr>
        <w:t xml:space="preserve"> de </w:t>
      </w:r>
      <w:r>
        <w:rPr>
          <w:rFonts w:ascii="Arial" w:eastAsia="Arial" w:hAnsi="Arial" w:cs="Arial"/>
          <w:sz w:val="24"/>
          <w:szCs w:val="24"/>
        </w:rPr>
        <w:t>março</w:t>
      </w:r>
      <w:r>
        <w:rPr>
          <w:rFonts w:ascii="Arial" w:eastAsia="Arial" w:hAnsi="Arial" w:cs="Arial"/>
          <w:color w:val="000000"/>
          <w:sz w:val="24"/>
          <w:szCs w:val="24"/>
        </w:rPr>
        <w:t xml:space="preserve"> a 30 de outubro</w:t>
      </w:r>
      <w:r>
        <w:rPr>
          <w:rFonts w:ascii="Arial" w:eastAsia="Arial" w:hAnsi="Arial" w:cs="Arial"/>
          <w:sz w:val="24"/>
          <w:szCs w:val="24"/>
        </w:rPr>
        <w:t>, o que pode representar um</w:t>
      </w:r>
      <w:r>
        <w:rPr>
          <w:rFonts w:ascii="Arial" w:eastAsia="Arial" w:hAnsi="Arial" w:cs="Arial"/>
          <w:sz w:val="24"/>
          <w:szCs w:val="24"/>
        </w:rPr>
        <w:t>a deficiência da norma legal</w:t>
      </w:r>
      <w:r>
        <w:rPr>
          <w:rFonts w:ascii="Arial" w:eastAsia="Arial" w:hAnsi="Arial" w:cs="Arial"/>
          <w:color w:val="000000"/>
          <w:sz w:val="24"/>
          <w:szCs w:val="24"/>
          <w:highlight w:val="white"/>
        </w:rPr>
        <w:t xml:space="preserve">. </w:t>
      </w:r>
      <w:r>
        <w:rPr>
          <w:rFonts w:ascii="Arial" w:eastAsia="Arial" w:hAnsi="Arial" w:cs="Arial"/>
          <w:color w:val="000000"/>
          <w:sz w:val="24"/>
          <w:szCs w:val="24"/>
        </w:rPr>
        <w:t>(GAGLIANO &amp; OLIVEIRA, 2020).</w:t>
      </w:r>
    </w:p>
    <w:p w:rsidR="00CD59E8" w:rsidRDefault="004D5397">
      <w:pPr>
        <w:pStyle w:val="normal0"/>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ab/>
        <w:t>Ante a</w:t>
      </w:r>
      <w:r>
        <w:rPr>
          <w:rFonts w:ascii="Arial" w:eastAsia="Arial" w:hAnsi="Arial" w:cs="Arial"/>
          <w:sz w:val="24"/>
          <w:szCs w:val="24"/>
        </w:rPr>
        <w:t>s explanações</w:t>
      </w:r>
      <w:r>
        <w:rPr>
          <w:rFonts w:ascii="Arial" w:eastAsia="Arial" w:hAnsi="Arial" w:cs="Arial"/>
          <w:color w:val="000000"/>
          <w:sz w:val="24"/>
          <w:szCs w:val="24"/>
        </w:rPr>
        <w:t>, através do acórdão sob relatoria da Des.(a) Mônica Libânio nº 1.0000.20.449554-3/001 pode ser observado o que defende os autores supracitados, ou seja, em uma ação de despejo</w:t>
      </w:r>
      <w:r>
        <w:rPr>
          <w:rFonts w:ascii="Arial" w:eastAsia="Arial" w:hAnsi="Arial" w:cs="Arial"/>
          <w:color w:val="000000"/>
          <w:sz w:val="24"/>
          <w:szCs w:val="24"/>
        </w:rPr>
        <w:t xml:space="preserve"> em que os fatos, a priori antecedem os efeitos da pandemia, foi negado provimento de apelação justamente por se tratar de uma conduta desarrazoada do réu, implicando assim em dívida não contestada, e anterior a pandemia (</w:t>
      </w:r>
      <w:r>
        <w:rPr>
          <w:rFonts w:ascii="Arial" w:eastAsia="Arial" w:hAnsi="Arial" w:cs="Arial"/>
          <w:highlight w:val="white"/>
        </w:rPr>
        <w:t>TRIBUNAL DE JUSTIÇA DE MINAS GERAI</w:t>
      </w:r>
      <w:r>
        <w:rPr>
          <w:rFonts w:ascii="Arial" w:eastAsia="Arial" w:hAnsi="Arial" w:cs="Arial"/>
          <w:highlight w:val="white"/>
        </w:rPr>
        <w:t>S</w:t>
      </w:r>
      <w:r>
        <w:rPr>
          <w:rFonts w:ascii="Arial" w:eastAsia="Arial" w:hAnsi="Arial" w:cs="Arial"/>
          <w:sz w:val="24"/>
          <w:szCs w:val="24"/>
        </w:rPr>
        <w:t>,</w:t>
      </w:r>
      <w:r>
        <w:rPr>
          <w:rFonts w:ascii="Arial" w:eastAsia="Arial" w:hAnsi="Arial" w:cs="Arial"/>
          <w:color w:val="000000"/>
          <w:sz w:val="24"/>
          <w:szCs w:val="24"/>
        </w:rPr>
        <w:t xml:space="preserve"> 2020).</w:t>
      </w:r>
    </w:p>
    <w:p w:rsidR="00CD59E8" w:rsidRDefault="004D5397">
      <w:pPr>
        <w:pStyle w:val="normal0"/>
        <w:pBdr>
          <w:top w:val="nil"/>
          <w:left w:val="nil"/>
          <w:bottom w:val="nil"/>
          <w:right w:val="nil"/>
          <w:between w:val="nil"/>
        </w:pBdr>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Na decisão foi citada a lei 14.010 de 2020, especificamente o artigo 9º, todavia, o caso não encontra previsão neste artigo, destarte, mesmo sendo negado provimento, a relatora optou por dilatar o prazo que legalmente se dava em 15 dias, passando</w:t>
      </w:r>
      <w:r>
        <w:rPr>
          <w:rFonts w:ascii="Arial" w:eastAsia="Arial" w:hAnsi="Arial" w:cs="Arial"/>
          <w:color w:val="000000"/>
          <w:sz w:val="24"/>
          <w:szCs w:val="24"/>
        </w:rPr>
        <w:t xml:space="preserve"> a exigir 60 dias para que o réu buscasse a realocação, demonstrando assim a humanização e sopesamento na aplicação das normas acerca dos problemas advindos do covid 19 (</w:t>
      </w:r>
      <w:r>
        <w:rPr>
          <w:rFonts w:ascii="Arial" w:eastAsia="Arial" w:hAnsi="Arial" w:cs="Arial"/>
          <w:highlight w:val="white"/>
        </w:rPr>
        <w:t>TRIBUNAL DE JUSTIÇA DE MINAS GERAIS,</w:t>
      </w:r>
      <w:r>
        <w:rPr>
          <w:rFonts w:ascii="Arial" w:eastAsia="Arial" w:hAnsi="Arial" w:cs="Arial"/>
          <w:color w:val="000000"/>
          <w:sz w:val="24"/>
          <w:szCs w:val="24"/>
        </w:rPr>
        <w:t xml:space="preserve"> 2020).</w:t>
      </w:r>
    </w:p>
    <w:p w:rsidR="00CD59E8" w:rsidRDefault="004D5397">
      <w:pPr>
        <w:pStyle w:val="normal0"/>
        <w:spacing w:after="0" w:line="360" w:lineRule="auto"/>
        <w:ind w:firstLine="720"/>
        <w:jc w:val="both"/>
        <w:rPr>
          <w:rFonts w:ascii="Arial" w:eastAsia="Arial" w:hAnsi="Arial" w:cs="Arial"/>
          <w:sz w:val="24"/>
          <w:szCs w:val="24"/>
        </w:rPr>
      </w:pPr>
      <w:r>
        <w:rPr>
          <w:rFonts w:ascii="Arial" w:eastAsia="Arial" w:hAnsi="Arial" w:cs="Arial"/>
          <w:color w:val="000000"/>
          <w:sz w:val="24"/>
          <w:szCs w:val="24"/>
        </w:rPr>
        <w:lastRenderedPageBreak/>
        <w:t xml:space="preserve">Embora possa ser mal interpretado, Castro </w:t>
      </w:r>
      <w:r>
        <w:rPr>
          <w:rFonts w:ascii="Arial" w:eastAsia="Arial" w:hAnsi="Arial" w:cs="Arial"/>
          <w:color w:val="000000"/>
          <w:sz w:val="24"/>
          <w:szCs w:val="24"/>
        </w:rPr>
        <w:t>(2020) assevera que, a criação do da lei 14.010, em especial no seu art. 9º, não obsta o ajuizamento das ações de despejo, o que se buscou proteger, foi justamente a concessão de liminares, que de forma rápida e compulsória, obrigam a parte ré a realizar a</w:t>
      </w:r>
      <w:r>
        <w:rPr>
          <w:rFonts w:ascii="Arial" w:eastAsia="Arial" w:hAnsi="Arial" w:cs="Arial"/>
          <w:color w:val="000000"/>
          <w:sz w:val="24"/>
          <w:szCs w:val="24"/>
        </w:rPr>
        <w:t xml:space="preserve"> entrega do bem tutelado, o que poderia atacar diretamente princípios basilares, como o da dignidade da pessoa humana q</w:t>
      </w:r>
      <w:r w:rsidR="00C55B0A">
        <w:rPr>
          <w:rFonts w:ascii="Arial" w:eastAsia="Arial" w:hAnsi="Arial" w:cs="Arial"/>
          <w:color w:val="000000"/>
          <w:sz w:val="24"/>
          <w:szCs w:val="24"/>
        </w:rPr>
        <w:t xml:space="preserve">ue intrinsecamente incorpora o </w:t>
      </w:r>
      <w:r>
        <w:rPr>
          <w:rFonts w:ascii="Arial" w:eastAsia="Arial" w:hAnsi="Arial" w:cs="Arial"/>
          <w:color w:val="000000"/>
          <w:sz w:val="24"/>
          <w:szCs w:val="24"/>
        </w:rPr>
        <w:t>direito à moradia (CASTRO, 2020)</w:t>
      </w:r>
      <w:r>
        <w:rPr>
          <w:rFonts w:ascii="Arial" w:eastAsia="Arial" w:hAnsi="Arial" w:cs="Arial"/>
          <w:sz w:val="24"/>
          <w:szCs w:val="24"/>
        </w:rPr>
        <w:t>.</w:t>
      </w:r>
    </w:p>
    <w:p w:rsidR="00CD59E8" w:rsidRDefault="00CD59E8">
      <w:pPr>
        <w:pStyle w:val="normal0"/>
        <w:tabs>
          <w:tab w:val="center" w:pos="4252"/>
          <w:tab w:val="right" w:pos="8504"/>
        </w:tabs>
        <w:spacing w:after="0" w:line="360" w:lineRule="auto"/>
        <w:jc w:val="both"/>
        <w:rPr>
          <w:rFonts w:ascii="Arial" w:eastAsia="Arial" w:hAnsi="Arial" w:cs="Arial"/>
          <w:b/>
        </w:rPr>
      </w:pPr>
    </w:p>
    <w:p w:rsidR="00CD59E8" w:rsidRDefault="004D5397">
      <w:pPr>
        <w:pStyle w:val="normal0"/>
        <w:tabs>
          <w:tab w:val="center" w:pos="4252"/>
          <w:tab w:val="right" w:pos="8504"/>
        </w:tabs>
        <w:spacing w:after="0" w:line="360" w:lineRule="auto"/>
        <w:jc w:val="both"/>
        <w:rPr>
          <w:rFonts w:ascii="Arial" w:eastAsia="Arial" w:hAnsi="Arial" w:cs="Arial"/>
          <w:b/>
        </w:rPr>
      </w:pPr>
      <w:r>
        <w:rPr>
          <w:rFonts w:ascii="Arial" w:eastAsia="Arial" w:hAnsi="Arial" w:cs="Arial"/>
          <w:b/>
        </w:rPr>
        <w:t>RESULTADOS E DISCUSSÃO</w:t>
      </w:r>
    </w:p>
    <w:p w:rsidR="00CD59E8" w:rsidRDefault="00CD59E8">
      <w:pPr>
        <w:pStyle w:val="normal0"/>
        <w:tabs>
          <w:tab w:val="left" w:pos="567"/>
          <w:tab w:val="right" w:pos="8504"/>
        </w:tabs>
        <w:spacing w:after="0" w:line="360" w:lineRule="auto"/>
        <w:jc w:val="both"/>
        <w:rPr>
          <w:rFonts w:ascii="Arial" w:eastAsia="Arial" w:hAnsi="Arial" w:cs="Arial"/>
          <w:b/>
        </w:rPr>
      </w:pPr>
    </w:p>
    <w:p w:rsidR="00CD59E8" w:rsidRDefault="004D5397">
      <w:pPr>
        <w:pStyle w:val="normal0"/>
        <w:pBdr>
          <w:top w:val="nil"/>
          <w:left w:val="nil"/>
          <w:bottom w:val="nil"/>
          <w:right w:val="nil"/>
          <w:between w:val="nil"/>
        </w:pBdr>
        <w:spacing w:line="360" w:lineRule="auto"/>
        <w:ind w:firstLine="720"/>
        <w:jc w:val="both"/>
        <w:rPr>
          <w:rFonts w:ascii="Arial" w:eastAsia="Arial" w:hAnsi="Arial" w:cs="Arial"/>
          <w:color w:val="000000"/>
          <w:sz w:val="24"/>
          <w:szCs w:val="24"/>
        </w:rPr>
      </w:pPr>
      <w:r>
        <w:rPr>
          <w:rFonts w:ascii="Arial" w:eastAsia="Arial" w:hAnsi="Arial" w:cs="Arial"/>
          <w:b/>
        </w:rPr>
        <w:tab/>
      </w:r>
      <w:r>
        <w:rPr>
          <w:rFonts w:ascii="Arial" w:eastAsia="Arial" w:hAnsi="Arial" w:cs="Arial"/>
          <w:color w:val="000000"/>
          <w:sz w:val="24"/>
          <w:szCs w:val="24"/>
        </w:rPr>
        <w:t>Por Acórdão, o Tribunal de Justiça de São Paulo, fez-se necessário a utilização da Lei 14.010/20 para negar um pedido de ação de despejo por falta de pagamento cumulada com cobrança. Um dos argumentos utilizados pela autora é da necessidade urgente de repa</w:t>
      </w:r>
      <w:r>
        <w:rPr>
          <w:rFonts w:ascii="Arial" w:eastAsia="Arial" w:hAnsi="Arial" w:cs="Arial"/>
          <w:color w:val="000000"/>
          <w:sz w:val="24"/>
          <w:szCs w:val="24"/>
        </w:rPr>
        <w:t xml:space="preserve">ros no imóvel e do inadimplente que já perdurara desde março de 2020, antes da decretação de calamidade pública. Na peça, é dita que a </w:t>
      </w:r>
      <w:r>
        <w:rPr>
          <w:rFonts w:ascii="Arial" w:eastAsia="Arial" w:hAnsi="Arial" w:cs="Arial"/>
          <w:sz w:val="24"/>
          <w:szCs w:val="24"/>
        </w:rPr>
        <w:t>r</w:t>
      </w:r>
      <w:r>
        <w:rPr>
          <w:rFonts w:ascii="Arial" w:eastAsia="Arial" w:hAnsi="Arial" w:cs="Arial"/>
          <w:color w:val="000000"/>
          <w:sz w:val="24"/>
          <w:szCs w:val="24"/>
        </w:rPr>
        <w:t>é não foi afetada pelos fatores econômicos gerados pela pandemia e que o Autor tem como renda principal as parcelas do a</w:t>
      </w:r>
      <w:r>
        <w:rPr>
          <w:rFonts w:ascii="Arial" w:eastAsia="Arial" w:hAnsi="Arial" w:cs="Arial"/>
          <w:color w:val="000000"/>
          <w:sz w:val="24"/>
          <w:szCs w:val="24"/>
        </w:rPr>
        <w:t>luguel. Desta forma, se pleiteia a liminar para a desocupação do Imóvel prevista no artigo 59, §1º, da lei de inquilinato nº 8.245/91 (TJSP, 2020)</w:t>
      </w:r>
    </w:p>
    <w:p w:rsidR="00CD59E8" w:rsidRDefault="004D5397">
      <w:pPr>
        <w:pStyle w:val="normal0"/>
        <w:pBdr>
          <w:top w:val="nil"/>
          <w:left w:val="nil"/>
          <w:bottom w:val="nil"/>
          <w:right w:val="nil"/>
          <w:between w:val="nil"/>
        </w:pBdr>
        <w:shd w:val="clear" w:color="auto" w:fill="FFFFFF"/>
        <w:spacing w:after="48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Porém a Lei 14.010/20 em seu artigo 9º nos fala que não poderá ser concedido liminar para des</w:t>
      </w:r>
      <w:r>
        <w:rPr>
          <w:rFonts w:ascii="Arial" w:eastAsia="Arial" w:hAnsi="Arial" w:cs="Arial"/>
          <w:sz w:val="24"/>
          <w:szCs w:val="24"/>
        </w:rPr>
        <w:t>pejo</w:t>
      </w:r>
      <w:r>
        <w:rPr>
          <w:rFonts w:ascii="Arial" w:eastAsia="Arial" w:hAnsi="Arial" w:cs="Arial"/>
          <w:color w:val="000000"/>
          <w:sz w:val="24"/>
          <w:szCs w:val="24"/>
        </w:rPr>
        <w:t xml:space="preserve"> de imóveis ur</w:t>
      </w:r>
      <w:r>
        <w:rPr>
          <w:rFonts w:ascii="Arial" w:eastAsia="Arial" w:hAnsi="Arial" w:cs="Arial"/>
          <w:sz w:val="24"/>
          <w:szCs w:val="24"/>
        </w:rPr>
        <w:t>banos</w:t>
      </w:r>
      <w:r>
        <w:rPr>
          <w:rFonts w:ascii="Arial" w:eastAsia="Arial" w:hAnsi="Arial" w:cs="Arial"/>
          <w:color w:val="000000"/>
          <w:sz w:val="24"/>
          <w:szCs w:val="24"/>
        </w:rPr>
        <w:t xml:space="preserve">, pois a ação em questão foi ajuizada depois de 20 de março de 2020, data </w:t>
      </w:r>
      <w:r>
        <w:rPr>
          <w:rFonts w:ascii="Arial" w:eastAsia="Arial" w:hAnsi="Arial" w:cs="Arial"/>
          <w:sz w:val="24"/>
          <w:szCs w:val="24"/>
        </w:rPr>
        <w:t>que fora levada como base para reconhecer o estado</w:t>
      </w:r>
      <w:r>
        <w:rPr>
          <w:rFonts w:ascii="Arial" w:eastAsia="Arial" w:hAnsi="Arial" w:cs="Arial"/>
          <w:color w:val="000000"/>
          <w:sz w:val="24"/>
          <w:szCs w:val="24"/>
        </w:rPr>
        <w:t xml:space="preserve"> de calamidade públic</w:t>
      </w:r>
      <w:r>
        <w:rPr>
          <w:rFonts w:ascii="Arial" w:eastAsia="Arial" w:hAnsi="Arial" w:cs="Arial"/>
          <w:sz w:val="24"/>
          <w:szCs w:val="24"/>
        </w:rPr>
        <w:t>a</w:t>
      </w:r>
      <w:r>
        <w:rPr>
          <w:rFonts w:ascii="Arial" w:eastAsia="Arial" w:hAnsi="Arial" w:cs="Arial"/>
          <w:color w:val="000000"/>
          <w:sz w:val="24"/>
          <w:szCs w:val="24"/>
        </w:rPr>
        <w:t xml:space="preserve"> por parte do </w:t>
      </w:r>
      <w:r>
        <w:rPr>
          <w:rFonts w:ascii="Arial" w:eastAsia="Arial" w:hAnsi="Arial" w:cs="Arial"/>
          <w:sz w:val="24"/>
          <w:szCs w:val="24"/>
        </w:rPr>
        <w:t>p</w:t>
      </w:r>
      <w:r>
        <w:rPr>
          <w:rFonts w:ascii="Arial" w:eastAsia="Arial" w:hAnsi="Arial" w:cs="Arial"/>
          <w:color w:val="000000"/>
          <w:sz w:val="24"/>
          <w:szCs w:val="24"/>
        </w:rPr>
        <w:t xml:space="preserve">oder </w:t>
      </w:r>
      <w:r>
        <w:rPr>
          <w:rFonts w:ascii="Arial" w:eastAsia="Arial" w:hAnsi="Arial" w:cs="Arial"/>
          <w:sz w:val="24"/>
          <w:szCs w:val="24"/>
        </w:rPr>
        <w:t>e</w:t>
      </w:r>
      <w:r>
        <w:rPr>
          <w:rFonts w:ascii="Arial" w:eastAsia="Arial" w:hAnsi="Arial" w:cs="Arial"/>
          <w:color w:val="000000"/>
          <w:sz w:val="24"/>
          <w:szCs w:val="24"/>
        </w:rPr>
        <w:t>xecutivo. Desta for</w:t>
      </w:r>
      <w:r w:rsidR="001E1F8A">
        <w:rPr>
          <w:rFonts w:ascii="Arial" w:eastAsia="Arial" w:hAnsi="Arial" w:cs="Arial"/>
          <w:color w:val="000000"/>
          <w:sz w:val="24"/>
          <w:szCs w:val="24"/>
        </w:rPr>
        <w:t xml:space="preserve">ma, o inadimplemento pela </w:t>
      </w:r>
      <w:r>
        <w:rPr>
          <w:rFonts w:ascii="Arial" w:eastAsia="Arial" w:hAnsi="Arial" w:cs="Arial"/>
          <w:color w:val="000000"/>
          <w:sz w:val="24"/>
          <w:szCs w:val="24"/>
        </w:rPr>
        <w:t xml:space="preserve">parte </w:t>
      </w:r>
      <w:r>
        <w:rPr>
          <w:rFonts w:ascii="Arial" w:eastAsia="Arial" w:hAnsi="Arial" w:cs="Arial"/>
          <w:sz w:val="24"/>
          <w:szCs w:val="24"/>
        </w:rPr>
        <w:t>r</w:t>
      </w:r>
      <w:r>
        <w:rPr>
          <w:rFonts w:ascii="Arial" w:eastAsia="Arial" w:hAnsi="Arial" w:cs="Arial"/>
          <w:color w:val="000000"/>
          <w:sz w:val="24"/>
          <w:szCs w:val="24"/>
        </w:rPr>
        <w:t>é não poderá</w:t>
      </w:r>
      <w:r>
        <w:rPr>
          <w:rFonts w:ascii="Arial" w:eastAsia="Arial" w:hAnsi="Arial" w:cs="Arial"/>
          <w:color w:val="000000"/>
          <w:sz w:val="24"/>
          <w:szCs w:val="24"/>
        </w:rPr>
        <w:t xml:space="preserve"> ser argumento para ação de </w:t>
      </w:r>
      <w:r>
        <w:rPr>
          <w:rFonts w:ascii="Arial" w:eastAsia="Arial" w:hAnsi="Arial" w:cs="Arial"/>
          <w:sz w:val="24"/>
          <w:szCs w:val="24"/>
        </w:rPr>
        <w:t>despejo</w:t>
      </w:r>
      <w:r>
        <w:rPr>
          <w:rFonts w:ascii="Arial" w:eastAsia="Arial" w:hAnsi="Arial" w:cs="Arial"/>
          <w:color w:val="000000"/>
          <w:sz w:val="24"/>
          <w:szCs w:val="24"/>
        </w:rPr>
        <w:t xml:space="preserve"> até dia 30 de outubro de 2020, data que estipula o dia final de vigor da lei. E sobre a justificativa de que o Locador necessita fazer reparos no imóvel, não existe uma determinação do poder público de que a Locatária nã</w:t>
      </w:r>
      <w:r>
        <w:rPr>
          <w:rFonts w:ascii="Arial" w:eastAsia="Arial" w:hAnsi="Arial" w:cs="Arial"/>
          <w:color w:val="000000"/>
          <w:sz w:val="24"/>
          <w:szCs w:val="24"/>
        </w:rPr>
        <w:t xml:space="preserve">o possa estar no imóvel enquanto se executa as obras de reparação, já que não </w:t>
      </w:r>
      <w:r>
        <w:rPr>
          <w:rFonts w:ascii="Arial" w:eastAsia="Arial" w:hAnsi="Arial" w:cs="Arial"/>
          <w:sz w:val="24"/>
          <w:szCs w:val="24"/>
        </w:rPr>
        <w:t>foi comprovada pelo locador a necessidade de sua ausência</w:t>
      </w:r>
      <w:r>
        <w:rPr>
          <w:rFonts w:ascii="Arial" w:eastAsia="Arial" w:hAnsi="Arial" w:cs="Arial"/>
          <w:color w:val="000000"/>
          <w:sz w:val="24"/>
          <w:szCs w:val="24"/>
        </w:rPr>
        <w:t xml:space="preserve"> (TJSP, 2020).</w:t>
      </w:r>
    </w:p>
    <w:p w:rsidR="00CD59E8" w:rsidRDefault="004D5397">
      <w:pPr>
        <w:pStyle w:val="normal0"/>
        <w:pBdr>
          <w:top w:val="nil"/>
          <w:left w:val="nil"/>
          <w:bottom w:val="nil"/>
          <w:right w:val="nil"/>
          <w:between w:val="nil"/>
        </w:pBdr>
        <w:shd w:val="clear" w:color="auto" w:fill="FFFFFF"/>
        <w:spacing w:after="48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sz w:val="24"/>
          <w:szCs w:val="24"/>
        </w:rPr>
        <w:t>abo</w:t>
      </w:r>
      <w:r>
        <w:rPr>
          <w:rFonts w:ascii="Arial" w:eastAsia="Arial" w:hAnsi="Arial" w:cs="Arial"/>
          <w:color w:val="000000"/>
          <w:sz w:val="24"/>
          <w:szCs w:val="24"/>
        </w:rPr>
        <w:t xml:space="preserve"> (2020) nos afirma que os prazos prescricionais se encontram suspensos ou impedidos de 12 de junho até</w:t>
      </w:r>
      <w:r>
        <w:rPr>
          <w:rFonts w:ascii="Arial" w:eastAsia="Arial" w:hAnsi="Arial" w:cs="Arial"/>
          <w:color w:val="000000"/>
          <w:sz w:val="24"/>
          <w:szCs w:val="24"/>
        </w:rPr>
        <w:t xml:space="preserve"> dia 30 de outubro de 2020, de acordo com o artigo 3º da lei em </w:t>
      </w:r>
      <w:r>
        <w:rPr>
          <w:rFonts w:ascii="Arial" w:eastAsia="Arial" w:hAnsi="Arial" w:cs="Arial"/>
          <w:sz w:val="24"/>
          <w:szCs w:val="24"/>
        </w:rPr>
        <w:t>análise</w:t>
      </w:r>
      <w:r>
        <w:rPr>
          <w:rFonts w:ascii="Arial" w:eastAsia="Arial" w:hAnsi="Arial" w:cs="Arial"/>
          <w:color w:val="000000"/>
          <w:sz w:val="24"/>
          <w:szCs w:val="24"/>
        </w:rPr>
        <w:t>,</w:t>
      </w:r>
      <w:r>
        <w:rPr>
          <w:rFonts w:ascii="Arial" w:eastAsia="Arial" w:hAnsi="Arial" w:cs="Arial"/>
          <w:sz w:val="24"/>
          <w:szCs w:val="24"/>
        </w:rPr>
        <w:t xml:space="preserve"> no entanto,</w:t>
      </w:r>
      <w:r>
        <w:rPr>
          <w:rFonts w:ascii="Arial" w:eastAsia="Arial" w:hAnsi="Arial" w:cs="Arial"/>
          <w:color w:val="000000"/>
          <w:sz w:val="24"/>
          <w:szCs w:val="24"/>
        </w:rPr>
        <w:t xml:space="preserve"> não existe ato normativo que tenha </w:t>
      </w:r>
      <w:r>
        <w:rPr>
          <w:rFonts w:ascii="Arial" w:eastAsia="Arial" w:hAnsi="Arial" w:cs="Arial"/>
          <w:color w:val="000000"/>
          <w:sz w:val="24"/>
          <w:szCs w:val="24"/>
        </w:rPr>
        <w:lastRenderedPageBreak/>
        <w:t>regulamentado o impedimento ou suspensão dos prazos prescricionais ou decadenciais entre a decretação do Estado de Calamidade Pública, a</w:t>
      </w:r>
      <w:r>
        <w:rPr>
          <w:rFonts w:ascii="Arial" w:eastAsia="Arial" w:hAnsi="Arial" w:cs="Arial"/>
          <w:color w:val="000000"/>
          <w:sz w:val="24"/>
          <w:szCs w:val="24"/>
        </w:rPr>
        <w:t>través do decreto legislativo nº 6, de 20 de março de 2020, até a publicação desta lei, período em que essa providência se fazia muito mais necessária, a fim de garantir a segurança jurídica e principalmente o direito do trabalhador, que a partir dos decre</w:t>
      </w:r>
      <w:r>
        <w:rPr>
          <w:rFonts w:ascii="Arial" w:eastAsia="Arial" w:hAnsi="Arial" w:cs="Arial"/>
          <w:color w:val="000000"/>
          <w:sz w:val="24"/>
          <w:szCs w:val="24"/>
        </w:rPr>
        <w:t>tos de isolamento social t</w:t>
      </w:r>
      <w:r>
        <w:rPr>
          <w:rFonts w:ascii="Arial" w:eastAsia="Arial" w:hAnsi="Arial" w:cs="Arial"/>
          <w:sz w:val="24"/>
          <w:szCs w:val="24"/>
        </w:rPr>
        <w:t>iveram</w:t>
      </w:r>
      <w:r>
        <w:rPr>
          <w:rFonts w:ascii="Arial" w:eastAsia="Arial" w:hAnsi="Arial" w:cs="Arial"/>
          <w:color w:val="000000"/>
          <w:sz w:val="24"/>
          <w:szCs w:val="24"/>
        </w:rPr>
        <w:t xml:space="preserve"> inegavelmente o acesso ao poder judiciário prejudicado. </w:t>
      </w:r>
    </w:p>
    <w:p w:rsidR="00CD59E8" w:rsidRDefault="004D5397">
      <w:pPr>
        <w:pStyle w:val="normal0"/>
        <w:pBdr>
          <w:top w:val="nil"/>
          <w:left w:val="nil"/>
          <w:bottom w:val="nil"/>
          <w:right w:val="nil"/>
          <w:between w:val="nil"/>
        </w:pBdr>
        <w:shd w:val="clear" w:color="auto" w:fill="FFFFFF"/>
        <w:tabs>
          <w:tab w:val="left" w:pos="720"/>
          <w:tab w:val="left" w:pos="8040"/>
        </w:tabs>
        <w:spacing w:line="360" w:lineRule="auto"/>
        <w:ind w:firstLine="720"/>
        <w:jc w:val="both"/>
        <w:rPr>
          <w:rFonts w:ascii="Arial" w:eastAsia="Arial" w:hAnsi="Arial" w:cs="Arial"/>
          <w:color w:val="000000"/>
          <w:sz w:val="24"/>
          <w:szCs w:val="24"/>
        </w:rPr>
      </w:pPr>
      <w:r>
        <w:rPr>
          <w:rFonts w:ascii="Arial" w:eastAsia="Arial" w:hAnsi="Arial" w:cs="Arial"/>
          <w:sz w:val="24"/>
          <w:szCs w:val="24"/>
        </w:rPr>
        <w:t>Em continuidade à</w:t>
      </w:r>
      <w:r>
        <w:rPr>
          <w:rFonts w:ascii="Arial" w:eastAsia="Arial" w:hAnsi="Arial" w:cs="Arial"/>
          <w:color w:val="000000"/>
          <w:sz w:val="24"/>
          <w:szCs w:val="24"/>
        </w:rPr>
        <w:t xml:space="preserve"> autora supracitada, esta aduz que</w:t>
      </w:r>
      <w:r>
        <w:rPr>
          <w:rFonts w:ascii="Arial" w:eastAsia="Arial" w:hAnsi="Arial" w:cs="Arial"/>
          <w:sz w:val="24"/>
          <w:szCs w:val="24"/>
        </w:rPr>
        <w:t>,</w:t>
      </w:r>
      <w:r>
        <w:rPr>
          <w:rFonts w:ascii="Arial" w:eastAsia="Arial" w:hAnsi="Arial" w:cs="Arial"/>
          <w:color w:val="000000"/>
          <w:sz w:val="24"/>
          <w:szCs w:val="24"/>
        </w:rPr>
        <w:t xml:space="preserve"> uma </w:t>
      </w:r>
      <w:r>
        <w:rPr>
          <w:rFonts w:ascii="Arial" w:eastAsia="Arial" w:hAnsi="Arial" w:cs="Arial"/>
          <w:sz w:val="24"/>
          <w:szCs w:val="24"/>
        </w:rPr>
        <w:t>alegação</w:t>
      </w:r>
      <w:r>
        <w:rPr>
          <w:rFonts w:ascii="Arial" w:eastAsia="Arial" w:hAnsi="Arial" w:cs="Arial"/>
          <w:color w:val="000000"/>
          <w:sz w:val="24"/>
          <w:szCs w:val="24"/>
        </w:rPr>
        <w:t xml:space="preserve"> </w:t>
      </w:r>
      <w:r>
        <w:rPr>
          <w:rFonts w:ascii="Arial" w:eastAsia="Arial" w:hAnsi="Arial" w:cs="Arial"/>
          <w:sz w:val="24"/>
          <w:szCs w:val="24"/>
        </w:rPr>
        <w:t>sólida a ser sustentada pelos</w:t>
      </w:r>
      <w:r>
        <w:rPr>
          <w:rFonts w:ascii="Arial" w:eastAsia="Arial" w:hAnsi="Arial" w:cs="Arial"/>
          <w:color w:val="000000"/>
          <w:sz w:val="24"/>
          <w:szCs w:val="24"/>
        </w:rPr>
        <w:t xml:space="preserve"> operadores do direito que defenderão</w:t>
      </w:r>
      <w:r>
        <w:rPr>
          <w:rFonts w:ascii="Arial" w:eastAsia="Arial" w:hAnsi="Arial" w:cs="Arial"/>
          <w:sz w:val="24"/>
          <w:szCs w:val="24"/>
        </w:rPr>
        <w:t xml:space="preserve"> aqueles que outrora se viram lesionados pelo acesso à justiça,</w:t>
      </w:r>
      <w:r>
        <w:rPr>
          <w:rFonts w:ascii="Arial" w:eastAsia="Arial" w:hAnsi="Arial" w:cs="Arial"/>
          <w:color w:val="000000"/>
          <w:sz w:val="24"/>
          <w:szCs w:val="24"/>
        </w:rPr>
        <w:t xml:space="preserve"> é argumentar que não houve inércia por parte dos reclamantes, mas sim um impedimento real decorrente da Pandemia e das regras de isolamento social, que implicaram nos fechamentos dos escritóri</w:t>
      </w:r>
      <w:r>
        <w:rPr>
          <w:rFonts w:ascii="Arial" w:eastAsia="Arial" w:hAnsi="Arial" w:cs="Arial"/>
          <w:color w:val="000000"/>
          <w:sz w:val="24"/>
          <w:szCs w:val="24"/>
        </w:rPr>
        <w:t>os de advocacia. E caberá ao Magistrado levar tais fatos em consideração, um real impedimento a distribuição das reclamações trabalhistas, já que não teve uma regulamentação legal acerca dessa suspensão da prescrição antes do dia 12 de junho e após a decre</w:t>
      </w:r>
      <w:r>
        <w:rPr>
          <w:rFonts w:ascii="Arial" w:eastAsia="Arial" w:hAnsi="Arial" w:cs="Arial"/>
          <w:color w:val="000000"/>
          <w:sz w:val="24"/>
          <w:szCs w:val="24"/>
        </w:rPr>
        <w:t>tação do Estado de Calamidade Público.</w:t>
      </w:r>
    </w:p>
    <w:p w:rsidR="00CD59E8" w:rsidRDefault="004D5397">
      <w:pPr>
        <w:pStyle w:val="normal0"/>
        <w:pBdr>
          <w:top w:val="nil"/>
          <w:left w:val="nil"/>
          <w:bottom w:val="nil"/>
          <w:right w:val="nil"/>
          <w:between w:val="nil"/>
        </w:pBdr>
        <w:shd w:val="clear" w:color="auto" w:fill="FFFFFF"/>
        <w:tabs>
          <w:tab w:val="left" w:pos="720"/>
          <w:tab w:val="left" w:pos="8040"/>
        </w:tabs>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No entanto, mesmo neste curto período, a lei já gerou um entendimento </w:t>
      </w:r>
      <w:r>
        <w:rPr>
          <w:rFonts w:ascii="Arial" w:eastAsia="Arial" w:hAnsi="Arial" w:cs="Arial"/>
          <w:sz w:val="24"/>
          <w:szCs w:val="24"/>
        </w:rPr>
        <w:t>controvertido, a exemplo da decisão prolatada por parte do TJRS (2020)</w:t>
      </w:r>
      <w:r>
        <w:rPr>
          <w:rFonts w:ascii="Arial" w:eastAsia="Arial" w:hAnsi="Arial" w:cs="Arial"/>
          <w:color w:val="000000"/>
          <w:sz w:val="24"/>
          <w:szCs w:val="24"/>
        </w:rPr>
        <w:t>, onde, em uma ação de despejo, a empresa locadora ajuizou ação de des</w:t>
      </w:r>
      <w:r>
        <w:rPr>
          <w:rFonts w:ascii="Arial" w:eastAsia="Arial" w:hAnsi="Arial" w:cs="Arial"/>
          <w:sz w:val="24"/>
          <w:szCs w:val="24"/>
        </w:rPr>
        <w:t>ocupaçã</w:t>
      </w:r>
      <w:r>
        <w:rPr>
          <w:rFonts w:ascii="Arial" w:eastAsia="Arial" w:hAnsi="Arial" w:cs="Arial"/>
          <w:sz w:val="24"/>
          <w:szCs w:val="24"/>
        </w:rPr>
        <w:t>o,</w:t>
      </w:r>
      <w:r>
        <w:rPr>
          <w:rFonts w:ascii="Arial" w:eastAsia="Arial" w:hAnsi="Arial" w:cs="Arial"/>
          <w:color w:val="000000"/>
          <w:sz w:val="24"/>
          <w:szCs w:val="24"/>
        </w:rPr>
        <w:t xml:space="preserve"> </w:t>
      </w:r>
      <w:r>
        <w:rPr>
          <w:rFonts w:ascii="Arial" w:eastAsia="Arial" w:hAnsi="Arial" w:cs="Arial"/>
          <w:sz w:val="24"/>
          <w:szCs w:val="24"/>
        </w:rPr>
        <w:t xml:space="preserve">requerendo a </w:t>
      </w:r>
      <w:r>
        <w:rPr>
          <w:rFonts w:ascii="Arial" w:eastAsia="Arial" w:hAnsi="Arial" w:cs="Arial"/>
          <w:color w:val="000000"/>
          <w:sz w:val="24"/>
          <w:szCs w:val="24"/>
        </w:rPr>
        <w:t xml:space="preserve">concessão de liminar no primeiro grau, todavia, o </w:t>
      </w:r>
      <w:r>
        <w:rPr>
          <w:rFonts w:ascii="Arial" w:eastAsia="Arial" w:hAnsi="Arial" w:cs="Arial"/>
          <w:sz w:val="24"/>
          <w:szCs w:val="24"/>
        </w:rPr>
        <w:t>m</w:t>
      </w:r>
      <w:r>
        <w:rPr>
          <w:rFonts w:ascii="Arial" w:eastAsia="Arial" w:hAnsi="Arial" w:cs="Arial"/>
          <w:color w:val="000000"/>
          <w:sz w:val="24"/>
          <w:szCs w:val="24"/>
        </w:rPr>
        <w:t xml:space="preserve">agistrado </w:t>
      </w:r>
      <w:r>
        <w:rPr>
          <w:rFonts w:ascii="Arial" w:eastAsia="Arial" w:hAnsi="Arial" w:cs="Arial"/>
          <w:sz w:val="24"/>
          <w:szCs w:val="24"/>
        </w:rPr>
        <w:t>entendendo que o locatário possuía</w:t>
      </w:r>
      <w:r>
        <w:rPr>
          <w:rFonts w:ascii="Arial" w:eastAsia="Arial" w:hAnsi="Arial" w:cs="Arial"/>
          <w:color w:val="000000"/>
          <w:sz w:val="24"/>
          <w:szCs w:val="24"/>
        </w:rPr>
        <w:t xml:space="preserve"> fiador, indeferiu</w:t>
      </w:r>
      <w:r>
        <w:rPr>
          <w:rFonts w:ascii="Arial" w:eastAsia="Arial" w:hAnsi="Arial" w:cs="Arial"/>
          <w:sz w:val="24"/>
          <w:szCs w:val="24"/>
        </w:rPr>
        <w:t>-a</w:t>
      </w:r>
      <w:r>
        <w:rPr>
          <w:rFonts w:ascii="Arial" w:eastAsia="Arial" w:hAnsi="Arial" w:cs="Arial"/>
          <w:color w:val="000000"/>
          <w:sz w:val="24"/>
          <w:szCs w:val="24"/>
        </w:rPr>
        <w:t>. Desta forma, a Empresa interpôs agravo que chegou ao segundo grau, e foi verificado que me</w:t>
      </w:r>
      <w:r>
        <w:rPr>
          <w:rFonts w:ascii="Arial" w:eastAsia="Arial" w:hAnsi="Arial" w:cs="Arial"/>
          <w:sz w:val="24"/>
          <w:szCs w:val="24"/>
        </w:rPr>
        <w:t>smo havendo</w:t>
      </w:r>
      <w:r>
        <w:rPr>
          <w:rFonts w:ascii="Arial" w:eastAsia="Arial" w:hAnsi="Arial" w:cs="Arial"/>
          <w:color w:val="000000"/>
          <w:sz w:val="24"/>
          <w:szCs w:val="24"/>
        </w:rPr>
        <w:t xml:space="preserve"> fia</w:t>
      </w:r>
      <w:r>
        <w:rPr>
          <w:rFonts w:ascii="Arial" w:eastAsia="Arial" w:hAnsi="Arial" w:cs="Arial"/>
          <w:sz w:val="24"/>
          <w:szCs w:val="24"/>
        </w:rPr>
        <w:t>dor</w:t>
      </w:r>
      <w:r>
        <w:rPr>
          <w:rFonts w:ascii="Arial" w:eastAsia="Arial" w:hAnsi="Arial" w:cs="Arial"/>
          <w:color w:val="000000"/>
          <w:sz w:val="24"/>
          <w:szCs w:val="24"/>
        </w:rPr>
        <w:t>, o valor d</w:t>
      </w:r>
      <w:r>
        <w:rPr>
          <w:rFonts w:ascii="Arial" w:eastAsia="Arial" w:hAnsi="Arial" w:cs="Arial"/>
          <w:sz w:val="24"/>
          <w:szCs w:val="24"/>
        </w:rPr>
        <w:t>os</w:t>
      </w:r>
      <w:r>
        <w:rPr>
          <w:rFonts w:ascii="Arial" w:eastAsia="Arial" w:hAnsi="Arial" w:cs="Arial"/>
          <w:color w:val="000000"/>
          <w:sz w:val="24"/>
          <w:szCs w:val="24"/>
        </w:rPr>
        <w:t xml:space="preserve"> </w:t>
      </w:r>
      <w:r>
        <w:rPr>
          <w:rFonts w:ascii="Arial" w:eastAsia="Arial" w:hAnsi="Arial" w:cs="Arial"/>
          <w:sz w:val="24"/>
          <w:szCs w:val="24"/>
        </w:rPr>
        <w:t>a</w:t>
      </w:r>
      <w:r>
        <w:rPr>
          <w:rFonts w:ascii="Arial" w:eastAsia="Arial" w:hAnsi="Arial" w:cs="Arial"/>
          <w:sz w:val="24"/>
          <w:szCs w:val="24"/>
        </w:rPr>
        <w:t>luguéis</w:t>
      </w:r>
      <w:r>
        <w:rPr>
          <w:rFonts w:ascii="Arial" w:eastAsia="Arial" w:hAnsi="Arial" w:cs="Arial"/>
          <w:color w:val="000000"/>
          <w:sz w:val="24"/>
          <w:szCs w:val="24"/>
        </w:rPr>
        <w:t xml:space="preserve"> devidos era significativo, passando a casa dos trezentos mil reais, somado a isto, foi</w:t>
      </w:r>
      <w:r>
        <w:rPr>
          <w:rFonts w:ascii="Arial" w:eastAsia="Arial" w:hAnsi="Arial" w:cs="Arial"/>
          <w:sz w:val="24"/>
          <w:szCs w:val="24"/>
        </w:rPr>
        <w:t xml:space="preserve"> verificada</w:t>
      </w:r>
      <w:r>
        <w:rPr>
          <w:rFonts w:ascii="Arial" w:eastAsia="Arial" w:hAnsi="Arial" w:cs="Arial"/>
          <w:color w:val="000000"/>
          <w:sz w:val="24"/>
          <w:szCs w:val="24"/>
        </w:rPr>
        <w:t xml:space="preserve"> a situação dos fiadores</w:t>
      </w:r>
      <w:r>
        <w:rPr>
          <w:rFonts w:ascii="Arial" w:eastAsia="Arial" w:hAnsi="Arial" w:cs="Arial"/>
          <w:sz w:val="24"/>
          <w:szCs w:val="24"/>
        </w:rPr>
        <w:t>,</w:t>
      </w:r>
      <w:r>
        <w:rPr>
          <w:rFonts w:ascii="Arial" w:eastAsia="Arial" w:hAnsi="Arial" w:cs="Arial"/>
          <w:color w:val="000000"/>
          <w:sz w:val="24"/>
          <w:szCs w:val="24"/>
        </w:rPr>
        <w:t xml:space="preserve"> </w:t>
      </w:r>
      <w:r>
        <w:rPr>
          <w:rFonts w:ascii="Arial" w:eastAsia="Arial" w:hAnsi="Arial" w:cs="Arial"/>
          <w:sz w:val="24"/>
          <w:szCs w:val="24"/>
        </w:rPr>
        <w:t>o que se mostrou preocupante,</w:t>
      </w:r>
      <w:r>
        <w:rPr>
          <w:rFonts w:ascii="Arial" w:eastAsia="Arial" w:hAnsi="Arial" w:cs="Arial"/>
          <w:color w:val="000000"/>
          <w:sz w:val="24"/>
          <w:szCs w:val="24"/>
        </w:rPr>
        <w:t xml:space="preserve"> pois, </w:t>
      </w:r>
      <w:r>
        <w:rPr>
          <w:rFonts w:ascii="Arial" w:eastAsia="Arial" w:hAnsi="Arial" w:cs="Arial"/>
          <w:sz w:val="24"/>
          <w:szCs w:val="24"/>
        </w:rPr>
        <w:t>estavam caminhando para um estado de possível insolvência</w:t>
      </w:r>
      <w:r>
        <w:rPr>
          <w:rFonts w:ascii="Arial" w:eastAsia="Arial" w:hAnsi="Arial" w:cs="Arial"/>
          <w:color w:val="000000"/>
          <w:sz w:val="24"/>
          <w:szCs w:val="24"/>
        </w:rPr>
        <w:t xml:space="preserve">. </w:t>
      </w:r>
      <w:r>
        <w:rPr>
          <w:rFonts w:ascii="Arial" w:eastAsia="Arial" w:hAnsi="Arial" w:cs="Arial"/>
          <w:sz w:val="24"/>
          <w:szCs w:val="24"/>
        </w:rPr>
        <w:t>Dessa forma,</w:t>
      </w:r>
      <w:r>
        <w:rPr>
          <w:rFonts w:ascii="Arial" w:eastAsia="Arial" w:hAnsi="Arial" w:cs="Arial"/>
          <w:color w:val="000000"/>
          <w:sz w:val="24"/>
          <w:szCs w:val="24"/>
        </w:rPr>
        <w:t xml:space="preserve"> o julgador decidi</w:t>
      </w:r>
      <w:r>
        <w:rPr>
          <w:rFonts w:ascii="Arial" w:eastAsia="Arial" w:hAnsi="Arial" w:cs="Arial"/>
          <w:color w:val="000000"/>
          <w:sz w:val="24"/>
          <w:szCs w:val="24"/>
        </w:rPr>
        <w:t xml:space="preserve">u que embora tenha fiança, entendeu pela aplicabilidade do artigo 300 do CPC, onde diz:  </w:t>
      </w:r>
    </w:p>
    <w:p w:rsidR="00CD59E8" w:rsidRDefault="00CD59E8">
      <w:pPr>
        <w:pStyle w:val="normal0"/>
        <w:pBdr>
          <w:top w:val="nil"/>
          <w:left w:val="nil"/>
          <w:bottom w:val="nil"/>
          <w:right w:val="nil"/>
          <w:between w:val="nil"/>
        </w:pBdr>
        <w:ind w:left="2268"/>
        <w:jc w:val="both"/>
        <w:rPr>
          <w:rFonts w:ascii="Arial" w:eastAsia="Arial" w:hAnsi="Arial" w:cs="Arial"/>
          <w:color w:val="000000"/>
          <w:sz w:val="24"/>
          <w:szCs w:val="24"/>
        </w:rPr>
      </w:pPr>
    </w:p>
    <w:p w:rsidR="00CD59E8" w:rsidRDefault="004D5397">
      <w:pPr>
        <w:pStyle w:val="normal0"/>
        <w:pBdr>
          <w:top w:val="nil"/>
          <w:left w:val="nil"/>
          <w:bottom w:val="nil"/>
          <w:right w:val="nil"/>
          <w:between w:val="nil"/>
        </w:pBdr>
        <w:spacing w:line="240" w:lineRule="auto"/>
        <w:ind w:left="2268"/>
        <w:jc w:val="both"/>
        <w:rPr>
          <w:rFonts w:ascii="Arial" w:eastAsia="Arial" w:hAnsi="Arial" w:cs="Arial"/>
          <w:color w:val="000000"/>
        </w:rPr>
      </w:pPr>
      <w:r>
        <w:rPr>
          <w:rFonts w:ascii="Arial" w:eastAsia="Arial" w:hAnsi="Arial" w:cs="Arial"/>
          <w:color w:val="000000"/>
        </w:rPr>
        <w:t>Art. 300. A tutela de urgência será concedida quando houver elementos que evidenciem a probabilidade do direito e o perigo de dano ou o risco ao resultado útil</w:t>
      </w:r>
      <w:r w:rsidR="00B953A4">
        <w:rPr>
          <w:rFonts w:ascii="Arial" w:eastAsia="Arial" w:hAnsi="Arial" w:cs="Arial"/>
          <w:color w:val="000000"/>
        </w:rPr>
        <w:t xml:space="preserve"> do processo (BRASIL, 2020</w:t>
      </w:r>
      <w:r>
        <w:rPr>
          <w:rFonts w:ascii="Arial" w:eastAsia="Arial" w:hAnsi="Arial" w:cs="Arial"/>
          <w:color w:val="000000"/>
        </w:rPr>
        <w:t>)</w:t>
      </w:r>
      <w:r w:rsidR="001E1F8A">
        <w:rPr>
          <w:rFonts w:ascii="Arial" w:eastAsia="Arial" w:hAnsi="Arial" w:cs="Arial"/>
          <w:color w:val="000000"/>
        </w:rPr>
        <w:t>.</w:t>
      </w:r>
    </w:p>
    <w:p w:rsidR="00CD59E8" w:rsidRDefault="00CD59E8">
      <w:pPr>
        <w:pStyle w:val="normal0"/>
        <w:pBdr>
          <w:top w:val="nil"/>
          <w:left w:val="nil"/>
          <w:bottom w:val="nil"/>
          <w:right w:val="nil"/>
          <w:between w:val="nil"/>
        </w:pBdr>
        <w:ind w:left="2267"/>
        <w:jc w:val="both"/>
        <w:rPr>
          <w:rFonts w:ascii="Arial" w:eastAsia="Arial" w:hAnsi="Arial" w:cs="Arial"/>
          <w:color w:val="000000"/>
          <w:sz w:val="24"/>
          <w:szCs w:val="24"/>
        </w:rPr>
      </w:pPr>
    </w:p>
    <w:p w:rsidR="00CD59E8" w:rsidRDefault="004D5397">
      <w:pPr>
        <w:pStyle w:val="normal0"/>
        <w:tabs>
          <w:tab w:val="left" w:pos="567"/>
          <w:tab w:val="right" w:pos="8504"/>
        </w:tabs>
        <w:spacing w:after="0" w:line="360" w:lineRule="auto"/>
        <w:ind w:firstLine="567"/>
        <w:jc w:val="both"/>
        <w:rPr>
          <w:rFonts w:ascii="Arial" w:eastAsia="Arial" w:hAnsi="Arial" w:cs="Arial"/>
        </w:rPr>
      </w:pPr>
      <w:r>
        <w:rPr>
          <w:rFonts w:ascii="Arial" w:eastAsia="Arial" w:hAnsi="Arial" w:cs="Arial"/>
          <w:color w:val="000000"/>
          <w:sz w:val="24"/>
          <w:szCs w:val="24"/>
        </w:rPr>
        <w:t xml:space="preserve">O Locador provou que por meio dos boletos atrasados, as </w:t>
      </w:r>
      <w:r>
        <w:rPr>
          <w:rFonts w:ascii="Arial" w:eastAsia="Arial" w:hAnsi="Arial" w:cs="Arial"/>
          <w:sz w:val="24"/>
          <w:szCs w:val="24"/>
        </w:rPr>
        <w:t>dívidas</w:t>
      </w:r>
      <w:r>
        <w:rPr>
          <w:rFonts w:ascii="Arial" w:eastAsia="Arial" w:hAnsi="Arial" w:cs="Arial"/>
          <w:color w:val="000000"/>
          <w:sz w:val="24"/>
          <w:szCs w:val="24"/>
        </w:rPr>
        <w:t xml:space="preserve"> vencidas do locatário e o perigo de dano, pois os fiadores que seriam os garantidores estavam desfazendo-se de seus bens para quitar outra </w:t>
      </w:r>
      <w:r>
        <w:rPr>
          <w:rFonts w:ascii="Arial" w:eastAsia="Arial" w:hAnsi="Arial" w:cs="Arial"/>
          <w:sz w:val="24"/>
          <w:szCs w:val="24"/>
        </w:rPr>
        <w:t>dívida</w:t>
      </w:r>
      <w:r>
        <w:rPr>
          <w:rFonts w:ascii="Arial" w:eastAsia="Arial" w:hAnsi="Arial" w:cs="Arial"/>
          <w:color w:val="000000"/>
          <w:sz w:val="24"/>
          <w:szCs w:val="24"/>
        </w:rPr>
        <w:t xml:space="preserve">, não teriam </w:t>
      </w:r>
      <w:r>
        <w:rPr>
          <w:rFonts w:ascii="Arial" w:eastAsia="Arial" w:hAnsi="Arial" w:cs="Arial"/>
          <w:sz w:val="24"/>
          <w:szCs w:val="24"/>
        </w:rPr>
        <w:t>meios</w:t>
      </w:r>
      <w:r>
        <w:rPr>
          <w:rFonts w:ascii="Arial" w:eastAsia="Arial" w:hAnsi="Arial" w:cs="Arial"/>
          <w:color w:val="000000"/>
          <w:sz w:val="24"/>
          <w:szCs w:val="24"/>
        </w:rPr>
        <w:t xml:space="preserve"> para garantir </w:t>
      </w:r>
      <w:r>
        <w:rPr>
          <w:rFonts w:ascii="Arial" w:eastAsia="Arial" w:hAnsi="Arial" w:cs="Arial"/>
          <w:sz w:val="24"/>
          <w:szCs w:val="24"/>
        </w:rPr>
        <w:t>o compromisso formalizado no negócio em questão</w:t>
      </w:r>
      <w:r>
        <w:rPr>
          <w:rFonts w:ascii="Arial" w:eastAsia="Arial" w:hAnsi="Arial" w:cs="Arial"/>
          <w:color w:val="000000"/>
          <w:sz w:val="24"/>
          <w:szCs w:val="24"/>
        </w:rPr>
        <w:t>, assim foi concedida a</w:t>
      </w:r>
      <w:r>
        <w:rPr>
          <w:rFonts w:ascii="Arial" w:eastAsia="Arial" w:hAnsi="Arial" w:cs="Arial"/>
          <w:color w:val="000000"/>
          <w:sz w:val="24"/>
          <w:szCs w:val="24"/>
        </w:rPr>
        <w:t xml:space="preserve"> liminar de despejo, com base no artigo supracitado, mesmo com o advento da lei 14.010/20 estando em vigor (TJRS, 2020)</w:t>
      </w:r>
      <w:r w:rsidR="001E1F8A">
        <w:rPr>
          <w:rFonts w:ascii="Arial" w:eastAsia="Arial" w:hAnsi="Arial" w:cs="Arial"/>
          <w:color w:val="000000"/>
          <w:sz w:val="24"/>
          <w:szCs w:val="24"/>
        </w:rPr>
        <w:t>.</w:t>
      </w:r>
    </w:p>
    <w:p w:rsidR="00CD59E8" w:rsidRDefault="00CD59E8">
      <w:pPr>
        <w:pStyle w:val="normal0"/>
        <w:spacing w:after="0" w:line="360" w:lineRule="auto"/>
        <w:jc w:val="both"/>
        <w:rPr>
          <w:rFonts w:ascii="Arial" w:eastAsia="Arial" w:hAnsi="Arial" w:cs="Arial"/>
          <w:b/>
          <w:sz w:val="24"/>
          <w:szCs w:val="24"/>
        </w:rPr>
      </w:pPr>
    </w:p>
    <w:p w:rsidR="00CD59E8" w:rsidRDefault="004D5397">
      <w:pPr>
        <w:pStyle w:val="normal0"/>
        <w:spacing w:after="0" w:line="360" w:lineRule="auto"/>
        <w:jc w:val="both"/>
        <w:rPr>
          <w:rFonts w:ascii="Arial" w:eastAsia="Arial" w:hAnsi="Arial" w:cs="Arial"/>
          <w:b/>
          <w:sz w:val="24"/>
          <w:szCs w:val="24"/>
        </w:rPr>
      </w:pPr>
      <w:r>
        <w:rPr>
          <w:rFonts w:ascii="Arial" w:eastAsia="Arial" w:hAnsi="Arial" w:cs="Arial"/>
          <w:b/>
          <w:sz w:val="24"/>
          <w:szCs w:val="24"/>
        </w:rPr>
        <w:t>CONSIDERAÇÕES FINAIS</w:t>
      </w:r>
    </w:p>
    <w:p w:rsidR="00CD59E8" w:rsidRDefault="00CD59E8">
      <w:pPr>
        <w:pStyle w:val="normal0"/>
        <w:spacing w:after="0" w:line="360" w:lineRule="auto"/>
        <w:jc w:val="both"/>
        <w:rPr>
          <w:rFonts w:ascii="Arial" w:eastAsia="Arial" w:hAnsi="Arial" w:cs="Arial"/>
          <w:sz w:val="24"/>
          <w:szCs w:val="24"/>
        </w:rPr>
      </w:pPr>
    </w:p>
    <w:p w:rsidR="00CD59E8" w:rsidRDefault="004D5397">
      <w:pPr>
        <w:pStyle w:val="normal0"/>
        <w:pBdr>
          <w:top w:val="nil"/>
          <w:left w:val="nil"/>
          <w:bottom w:val="nil"/>
          <w:right w:val="nil"/>
          <w:between w:val="nil"/>
        </w:pBdr>
        <w:spacing w:line="360" w:lineRule="auto"/>
        <w:jc w:val="both"/>
        <w:rPr>
          <w:rFonts w:ascii="Arial" w:eastAsia="Arial" w:hAnsi="Arial" w:cs="Arial"/>
          <w:sz w:val="24"/>
          <w:szCs w:val="24"/>
          <w:highlight w:val="white"/>
        </w:rPr>
      </w:pPr>
      <w:r>
        <w:rPr>
          <w:rFonts w:ascii="Arial" w:eastAsia="Arial" w:hAnsi="Arial" w:cs="Arial"/>
          <w:sz w:val="24"/>
          <w:szCs w:val="24"/>
        </w:rPr>
        <w:tab/>
      </w:r>
      <w:r>
        <w:rPr>
          <w:rFonts w:ascii="Arial" w:eastAsia="Arial" w:hAnsi="Arial" w:cs="Arial"/>
          <w:sz w:val="24"/>
          <w:szCs w:val="24"/>
          <w:highlight w:val="white"/>
        </w:rPr>
        <w:t xml:space="preserve">Em suma, o projeto se debruçou acerca do esclarecimento da lei 14010 de 2020, o que demonstrou pontos positivos </w:t>
      </w:r>
      <w:r>
        <w:rPr>
          <w:rFonts w:ascii="Arial" w:eastAsia="Arial" w:hAnsi="Arial" w:cs="Arial"/>
          <w:sz w:val="24"/>
          <w:szCs w:val="24"/>
          <w:highlight w:val="white"/>
        </w:rPr>
        <w:t>bem como aqueles controvertidos, pois, embora a lei tenha buscado tutelar direitos e conceder maior proteção a parte que a princípio se apresenta como a mais vulnerável nas relações jurídicas. Foi trazida também a incongruência entre tal proteção e a tenta</w:t>
      </w:r>
      <w:r>
        <w:rPr>
          <w:rFonts w:ascii="Arial" w:eastAsia="Arial" w:hAnsi="Arial" w:cs="Arial"/>
          <w:sz w:val="24"/>
          <w:szCs w:val="24"/>
          <w:highlight w:val="white"/>
        </w:rPr>
        <w:t>tiva em se desvirtuar a real intenção do legislador.</w:t>
      </w:r>
    </w:p>
    <w:p w:rsidR="00CD59E8" w:rsidRDefault="004D5397">
      <w:pPr>
        <w:pStyle w:val="normal0"/>
        <w:pBdr>
          <w:top w:val="nil"/>
          <w:left w:val="nil"/>
          <w:bottom w:val="nil"/>
          <w:right w:val="nil"/>
          <w:between w:val="nil"/>
        </w:pBdr>
        <w:spacing w:line="360" w:lineRule="auto"/>
        <w:jc w:val="both"/>
        <w:rPr>
          <w:rFonts w:ascii="Arial" w:eastAsia="Arial" w:hAnsi="Arial" w:cs="Arial"/>
          <w:sz w:val="24"/>
          <w:szCs w:val="24"/>
          <w:highlight w:val="white"/>
        </w:rPr>
      </w:pPr>
      <w:r>
        <w:rPr>
          <w:rFonts w:ascii="Arial" w:eastAsia="Arial" w:hAnsi="Arial" w:cs="Arial"/>
          <w:sz w:val="24"/>
          <w:szCs w:val="24"/>
          <w:highlight w:val="white"/>
        </w:rPr>
        <w:tab/>
        <w:t>Embora possa parecer simples sua aplicabilidade, dada sua condição de neonata, ainda se faz complexo seu estudo consolidado, pois, existem doutrinadores, que tecem críticas quando a sua aplicação irrest</w:t>
      </w:r>
      <w:r>
        <w:rPr>
          <w:rFonts w:ascii="Arial" w:eastAsia="Arial" w:hAnsi="Arial" w:cs="Arial"/>
          <w:sz w:val="24"/>
          <w:szCs w:val="24"/>
          <w:highlight w:val="white"/>
        </w:rPr>
        <w:t>rita, devendo ser feito um sopesamento nos casos que são levados ao juízo, pois, embora possa demonstrar sua preocupação em se defender os direitos minoritários, sua utilização absoluta pode abrir precedentes nas decisões desarrazoadas e arraigadas de má-f</w:t>
      </w:r>
      <w:r>
        <w:rPr>
          <w:rFonts w:ascii="Arial" w:eastAsia="Arial" w:hAnsi="Arial" w:cs="Arial"/>
          <w:sz w:val="24"/>
          <w:szCs w:val="24"/>
          <w:highlight w:val="white"/>
        </w:rPr>
        <w:t>é por aqueles que nunca se viram prejudicados pelos efeitos da pandemia existente.</w:t>
      </w:r>
    </w:p>
    <w:p w:rsidR="00CD59E8" w:rsidRDefault="004D5397">
      <w:pPr>
        <w:pStyle w:val="normal0"/>
        <w:spacing w:after="0" w:line="360" w:lineRule="auto"/>
        <w:ind w:firstLine="720"/>
        <w:jc w:val="both"/>
        <w:rPr>
          <w:rFonts w:ascii="Arial" w:eastAsia="Arial" w:hAnsi="Arial" w:cs="Arial"/>
          <w:b/>
          <w:sz w:val="24"/>
          <w:szCs w:val="24"/>
        </w:rPr>
      </w:pPr>
      <w:r>
        <w:rPr>
          <w:rFonts w:ascii="Arial" w:eastAsia="Arial" w:hAnsi="Arial" w:cs="Arial"/>
          <w:color w:val="000000"/>
          <w:sz w:val="24"/>
          <w:szCs w:val="24"/>
          <w:highlight w:val="white"/>
        </w:rPr>
        <w:t xml:space="preserve">A Lei 14.010/20 (Lei da Pandemia) que inicialmente teve seu artigo 9º vetado pelo Chefe do Executivo </w:t>
      </w:r>
      <w:r>
        <w:rPr>
          <w:rFonts w:ascii="Arial" w:eastAsia="Arial" w:hAnsi="Arial" w:cs="Arial"/>
          <w:sz w:val="24"/>
          <w:szCs w:val="24"/>
          <w:highlight w:val="white"/>
        </w:rPr>
        <w:t xml:space="preserve">teve seu veto derrubado, sendo </w:t>
      </w:r>
      <w:r>
        <w:rPr>
          <w:rFonts w:ascii="Arial" w:eastAsia="Arial" w:hAnsi="Arial" w:cs="Arial"/>
          <w:color w:val="000000"/>
          <w:sz w:val="24"/>
          <w:szCs w:val="24"/>
          <w:highlight w:val="white"/>
        </w:rPr>
        <w:t xml:space="preserve">inserida novamente no corpo da norma através da rejeição do veto presidencial por parte do Congresso Nacional. E até 30 de outubro de 2020 estará em Vigor, gerando Benefícios </w:t>
      </w:r>
      <w:r>
        <w:rPr>
          <w:rFonts w:ascii="Arial" w:eastAsia="Arial" w:hAnsi="Arial" w:cs="Arial"/>
          <w:sz w:val="24"/>
          <w:szCs w:val="24"/>
          <w:highlight w:val="white"/>
        </w:rPr>
        <w:t>à</w:t>
      </w:r>
      <w:r>
        <w:rPr>
          <w:rFonts w:ascii="Arial" w:eastAsia="Arial" w:hAnsi="Arial" w:cs="Arial"/>
          <w:color w:val="000000"/>
          <w:sz w:val="24"/>
          <w:szCs w:val="24"/>
          <w:highlight w:val="white"/>
        </w:rPr>
        <w:t xml:space="preserve">s pessoas que se encontrem lesados e atenuando as consequências socioeconômicas </w:t>
      </w:r>
      <w:r>
        <w:rPr>
          <w:rFonts w:ascii="Arial" w:eastAsia="Arial" w:hAnsi="Arial" w:cs="Arial"/>
          <w:color w:val="000000"/>
          <w:sz w:val="24"/>
          <w:szCs w:val="24"/>
          <w:highlight w:val="white"/>
        </w:rPr>
        <w:t>geradas pe</w:t>
      </w:r>
      <w:r>
        <w:rPr>
          <w:rFonts w:ascii="Arial" w:eastAsia="Arial" w:hAnsi="Arial" w:cs="Arial"/>
          <w:sz w:val="24"/>
          <w:szCs w:val="24"/>
          <w:highlight w:val="white"/>
        </w:rPr>
        <w:t>lo covide 19</w:t>
      </w:r>
      <w:r w:rsidR="005824B3">
        <w:rPr>
          <w:rFonts w:ascii="Arial" w:eastAsia="Arial" w:hAnsi="Arial" w:cs="Arial"/>
          <w:sz w:val="24"/>
          <w:szCs w:val="24"/>
        </w:rPr>
        <w:t>.</w:t>
      </w:r>
    </w:p>
    <w:p w:rsidR="00CD59E8" w:rsidRDefault="00CD59E8">
      <w:pPr>
        <w:pStyle w:val="normal0"/>
        <w:spacing w:after="0" w:line="360" w:lineRule="auto"/>
        <w:jc w:val="both"/>
        <w:rPr>
          <w:rFonts w:ascii="Arial" w:eastAsia="Arial" w:hAnsi="Arial" w:cs="Arial"/>
          <w:b/>
          <w:sz w:val="24"/>
          <w:szCs w:val="24"/>
        </w:rPr>
      </w:pPr>
    </w:p>
    <w:p w:rsidR="00CD59E8" w:rsidRDefault="00CD59E8">
      <w:pPr>
        <w:pStyle w:val="normal0"/>
        <w:spacing w:after="0" w:line="360" w:lineRule="auto"/>
        <w:jc w:val="both"/>
        <w:rPr>
          <w:rFonts w:ascii="Arial" w:eastAsia="Arial" w:hAnsi="Arial" w:cs="Arial"/>
          <w:b/>
          <w:sz w:val="24"/>
          <w:szCs w:val="24"/>
        </w:rPr>
      </w:pPr>
    </w:p>
    <w:p w:rsidR="00CD59E8" w:rsidRDefault="004D5397">
      <w:pPr>
        <w:pStyle w:val="normal0"/>
        <w:spacing w:after="0" w:line="360" w:lineRule="auto"/>
        <w:jc w:val="both"/>
        <w:rPr>
          <w:rFonts w:ascii="Arial" w:eastAsia="Arial" w:hAnsi="Arial" w:cs="Arial"/>
          <w:b/>
          <w:sz w:val="24"/>
          <w:szCs w:val="24"/>
        </w:rPr>
      </w:pPr>
      <w:r>
        <w:rPr>
          <w:rFonts w:ascii="Arial" w:eastAsia="Arial" w:hAnsi="Arial" w:cs="Arial"/>
          <w:b/>
          <w:sz w:val="24"/>
          <w:szCs w:val="24"/>
        </w:rPr>
        <w:lastRenderedPageBreak/>
        <w:t>REFERÊNCIAS</w:t>
      </w:r>
    </w:p>
    <w:p w:rsidR="00CD59E8" w:rsidRDefault="00CD59E8">
      <w:pPr>
        <w:pStyle w:val="normal0"/>
        <w:spacing w:after="0" w:line="360" w:lineRule="auto"/>
        <w:jc w:val="both"/>
        <w:rPr>
          <w:rFonts w:ascii="Arial" w:eastAsia="Arial" w:hAnsi="Arial" w:cs="Arial"/>
          <w:b/>
          <w:sz w:val="24"/>
          <w:szCs w:val="24"/>
        </w:rPr>
      </w:pPr>
    </w:p>
    <w:p w:rsidR="00CD59E8" w:rsidRDefault="004D5397">
      <w:pPr>
        <w:pStyle w:val="normal0"/>
        <w:pBdr>
          <w:top w:val="nil"/>
          <w:left w:val="nil"/>
          <w:bottom w:val="nil"/>
          <w:right w:val="nil"/>
          <w:between w:val="nil"/>
        </w:pBdr>
        <w:spacing w:line="240" w:lineRule="auto"/>
        <w:ind w:hanging="2"/>
        <w:jc w:val="both"/>
        <w:rPr>
          <w:rFonts w:ascii="Arial" w:eastAsia="Arial" w:hAnsi="Arial" w:cs="Arial"/>
          <w:b/>
          <w:highlight w:val="white"/>
        </w:rPr>
      </w:pPr>
      <w:r>
        <w:rPr>
          <w:rFonts w:ascii="Arial" w:eastAsia="Arial" w:hAnsi="Arial" w:cs="Arial"/>
        </w:rPr>
        <w:t xml:space="preserve">BABO, Lilian. </w:t>
      </w:r>
      <w:r>
        <w:rPr>
          <w:rFonts w:ascii="Arial" w:eastAsia="Arial" w:hAnsi="Arial" w:cs="Arial"/>
          <w:b/>
        </w:rPr>
        <w:t>A Lei 14010/20 impacta na prescrição da Reclamação Trabalhista? 2020</w:t>
      </w:r>
      <w:r>
        <w:rPr>
          <w:rFonts w:ascii="Arial" w:eastAsia="Arial" w:hAnsi="Arial" w:cs="Arial"/>
        </w:rPr>
        <w:t xml:space="preserve">.  Disponível em: </w:t>
      </w:r>
      <w:hyperlink r:id="rId7">
        <w:r>
          <w:rPr>
            <w:rFonts w:ascii="Arial" w:eastAsia="Arial" w:hAnsi="Arial" w:cs="Arial"/>
          </w:rPr>
          <w:t>https://www.youtube.com/watch?v=4iy0TIiLsxg&amp;ab_channel=LilianBabo</w:t>
        </w:r>
      </w:hyperlink>
      <w:r>
        <w:rPr>
          <w:rFonts w:ascii="Arial" w:eastAsia="Arial" w:hAnsi="Arial" w:cs="Arial"/>
        </w:rPr>
        <w:t>Acesso em: 20 de set. 2020.</w:t>
      </w:r>
    </w:p>
    <w:p w:rsidR="00CD59E8" w:rsidRDefault="004D5397">
      <w:pPr>
        <w:pStyle w:val="normal0"/>
        <w:pBdr>
          <w:top w:val="nil"/>
          <w:left w:val="nil"/>
          <w:bottom w:val="nil"/>
          <w:right w:val="nil"/>
          <w:between w:val="nil"/>
        </w:pBdr>
        <w:spacing w:line="240" w:lineRule="auto"/>
        <w:jc w:val="both"/>
        <w:rPr>
          <w:rFonts w:ascii="Arial" w:eastAsia="Arial" w:hAnsi="Arial" w:cs="Arial"/>
          <w:highlight w:val="white"/>
        </w:rPr>
      </w:pPr>
      <w:bookmarkStart w:id="1" w:name="_30j0zll" w:colFirst="0" w:colLast="0"/>
      <w:bookmarkEnd w:id="1"/>
      <w:r>
        <w:rPr>
          <w:rFonts w:ascii="Arial" w:eastAsia="Arial" w:hAnsi="Arial" w:cs="Arial"/>
          <w:highlight w:val="white"/>
        </w:rPr>
        <w:t xml:space="preserve">BRASIL, </w:t>
      </w:r>
      <w:hyperlink r:id="rId8">
        <w:r>
          <w:rPr>
            <w:rFonts w:ascii="Arial" w:eastAsia="Arial" w:hAnsi="Arial" w:cs="Arial"/>
            <w:b/>
            <w:highlight w:val="white"/>
          </w:rPr>
          <w:t>LEI Nº 14.010, DE 10 DE JUNHO DE</w:t>
        </w:r>
        <w:r>
          <w:rPr>
            <w:rFonts w:ascii="Arial" w:eastAsia="Arial" w:hAnsi="Arial" w:cs="Arial"/>
            <w:b/>
            <w:highlight w:val="white"/>
          </w:rPr>
          <w:t xml:space="preserve"> 2020</w:t>
        </w:r>
      </w:hyperlink>
      <w:r>
        <w:rPr>
          <w:rFonts w:ascii="Arial" w:eastAsia="Arial" w:hAnsi="Arial" w:cs="Arial"/>
          <w:highlight w:val="white"/>
        </w:rPr>
        <w:t xml:space="preserve">. Disponível em: </w:t>
      </w:r>
      <w:hyperlink r:id="rId9">
        <w:r>
          <w:rPr>
            <w:rFonts w:ascii="Arial" w:eastAsia="Arial" w:hAnsi="Arial" w:cs="Arial"/>
            <w:highlight w:val="white"/>
          </w:rPr>
          <w:t>http://www.planalto.gov.br/ccivil_03/_Ato2019-2022/2020/Lei/L14010.htm</w:t>
        </w:r>
      </w:hyperlink>
      <w:r>
        <w:rPr>
          <w:rFonts w:ascii="Arial" w:eastAsia="Arial" w:hAnsi="Arial" w:cs="Arial"/>
          <w:highlight w:val="white"/>
        </w:rPr>
        <w:t>. Acesso em: 20 de set. 2020.</w:t>
      </w:r>
    </w:p>
    <w:p w:rsidR="00CD59E8" w:rsidRDefault="004D5397">
      <w:pPr>
        <w:pStyle w:val="normal0"/>
        <w:pBdr>
          <w:top w:val="nil"/>
          <w:left w:val="nil"/>
          <w:bottom w:val="nil"/>
          <w:right w:val="nil"/>
          <w:between w:val="nil"/>
        </w:pBdr>
        <w:spacing w:line="240" w:lineRule="auto"/>
        <w:jc w:val="both"/>
        <w:rPr>
          <w:rFonts w:ascii="Arial" w:eastAsia="Arial" w:hAnsi="Arial" w:cs="Arial"/>
          <w:highlight w:val="white"/>
        </w:rPr>
      </w:pPr>
      <w:r>
        <w:rPr>
          <w:rFonts w:ascii="Arial" w:eastAsia="Arial" w:hAnsi="Arial" w:cs="Arial"/>
          <w:highlight w:val="white"/>
        </w:rPr>
        <w:t xml:space="preserve">CASTRO, Bruno. </w:t>
      </w:r>
      <w:r>
        <w:rPr>
          <w:rFonts w:ascii="Arial" w:eastAsia="Arial" w:hAnsi="Arial" w:cs="Arial"/>
          <w:b/>
          <w:highlight w:val="white"/>
        </w:rPr>
        <w:t xml:space="preserve">COMO FICA AS AÇÕES DE DESPEJOS </w:t>
      </w:r>
      <w:r>
        <w:rPr>
          <w:rFonts w:ascii="Arial" w:eastAsia="Arial" w:hAnsi="Arial" w:cs="Arial"/>
          <w:b/>
          <w:highlight w:val="white"/>
        </w:rPr>
        <w:t>DURANTE A PANDEMIA?</w:t>
      </w:r>
      <w:r>
        <w:rPr>
          <w:rFonts w:ascii="Arial" w:eastAsia="Arial" w:hAnsi="Arial" w:cs="Arial"/>
          <w:highlight w:val="white"/>
        </w:rPr>
        <w:t xml:space="preserve"> Disponível em: </w:t>
      </w:r>
      <w:hyperlink r:id="rId10">
        <w:r>
          <w:rPr>
            <w:rFonts w:ascii="Arial" w:eastAsia="Arial" w:hAnsi="Arial" w:cs="Arial"/>
            <w:highlight w:val="white"/>
          </w:rPr>
          <w:t>https://www.diariodoaco.com.br/noticia/0078862-como-ficam-as-aaaes-de-despejo-durante-a-pandemia</w:t>
        </w:r>
      </w:hyperlink>
      <w:r>
        <w:rPr>
          <w:rFonts w:ascii="Arial" w:eastAsia="Arial" w:hAnsi="Arial" w:cs="Arial"/>
          <w:highlight w:val="white"/>
        </w:rPr>
        <w:t>. Acesso em</w:t>
      </w:r>
      <w:r>
        <w:rPr>
          <w:rFonts w:ascii="Arial" w:eastAsia="Arial" w:hAnsi="Arial" w:cs="Arial"/>
          <w:highlight w:val="white"/>
        </w:rPr>
        <w:t>: 26 de set. 2020.</w:t>
      </w:r>
    </w:p>
    <w:p w:rsidR="00CD59E8" w:rsidRDefault="004D5397">
      <w:pPr>
        <w:pStyle w:val="normal0"/>
        <w:pBdr>
          <w:top w:val="nil"/>
          <w:left w:val="nil"/>
          <w:bottom w:val="nil"/>
          <w:right w:val="nil"/>
          <w:between w:val="nil"/>
        </w:pBdr>
        <w:spacing w:line="240" w:lineRule="auto"/>
        <w:jc w:val="both"/>
        <w:rPr>
          <w:rFonts w:ascii="Arial" w:eastAsia="Arial" w:hAnsi="Arial" w:cs="Arial"/>
          <w:highlight w:val="white"/>
        </w:rPr>
      </w:pPr>
      <w:bookmarkStart w:id="2" w:name="_2et92p0" w:colFirst="0" w:colLast="0"/>
      <w:bookmarkEnd w:id="2"/>
      <w:r>
        <w:rPr>
          <w:rFonts w:ascii="Arial" w:eastAsia="Arial" w:hAnsi="Arial" w:cs="Arial"/>
        </w:rPr>
        <w:t xml:space="preserve">GAGLIANO, OLIVEIRA. Pablo Stolze &amp; Carlos E. Elias de. </w:t>
      </w:r>
      <w:r>
        <w:rPr>
          <w:rFonts w:ascii="Arial" w:eastAsia="Arial" w:hAnsi="Arial" w:cs="Arial"/>
          <w:b/>
        </w:rPr>
        <w:t>Comentários à “Lei da Pandemia” (Lei nº 14.010, de 10 de junho de 2020 - RJET): Análise Detalhada das Questões de Direito Civil e Direito Processual Civil.</w:t>
      </w:r>
      <w:r>
        <w:rPr>
          <w:rFonts w:ascii="Arial" w:eastAsia="Arial" w:hAnsi="Arial" w:cs="Arial"/>
        </w:rPr>
        <w:t xml:space="preserve"> Disponível em: </w:t>
      </w:r>
      <w:hyperlink r:id="rId11">
        <w:r>
          <w:rPr>
            <w:rFonts w:ascii="Arial" w:eastAsia="Arial" w:hAnsi="Arial" w:cs="Arial"/>
          </w:rPr>
          <w:t>https://flaviotartuce.jusbrasil.com.br/artigos/859582362/comentarios-a-lei-da-pandemia-lei-14010-2020</w:t>
        </w:r>
      </w:hyperlink>
      <w:r w:rsidR="00B65095">
        <w:rPr>
          <w:rFonts w:ascii="Arial" w:eastAsia="Arial" w:hAnsi="Arial" w:cs="Arial"/>
        </w:rPr>
        <w:t xml:space="preserve">. Acesso em: 20 </w:t>
      </w:r>
      <w:r>
        <w:rPr>
          <w:rFonts w:ascii="Arial" w:eastAsia="Arial" w:hAnsi="Arial" w:cs="Arial"/>
        </w:rPr>
        <w:t>de set. 2020.</w:t>
      </w:r>
    </w:p>
    <w:p w:rsidR="00CD59E8" w:rsidRDefault="004D5397">
      <w:pPr>
        <w:pStyle w:val="normal0"/>
        <w:pBdr>
          <w:top w:val="nil"/>
          <w:left w:val="nil"/>
          <w:bottom w:val="nil"/>
          <w:right w:val="nil"/>
          <w:between w:val="nil"/>
        </w:pBdr>
        <w:spacing w:line="240" w:lineRule="auto"/>
        <w:jc w:val="both"/>
        <w:rPr>
          <w:rFonts w:ascii="Arial" w:eastAsia="Arial" w:hAnsi="Arial" w:cs="Arial"/>
        </w:rPr>
      </w:pPr>
      <w:bookmarkStart w:id="3" w:name="_tyjcwt" w:colFirst="0" w:colLast="0"/>
      <w:bookmarkEnd w:id="3"/>
      <w:r>
        <w:rPr>
          <w:rFonts w:ascii="Arial" w:eastAsia="Arial" w:hAnsi="Arial" w:cs="Arial"/>
        </w:rPr>
        <w:t>NOGUEIR</w:t>
      </w:r>
      <w:r>
        <w:rPr>
          <w:rFonts w:ascii="Arial" w:eastAsia="Arial" w:hAnsi="Arial" w:cs="Arial"/>
        </w:rPr>
        <w:t xml:space="preserve">A, Alexandre. </w:t>
      </w:r>
      <w:r>
        <w:rPr>
          <w:rFonts w:ascii="Arial" w:eastAsia="Arial" w:hAnsi="Arial" w:cs="Arial"/>
          <w:b/>
        </w:rPr>
        <w:t>Lei 14010/2020 Regime Jurídico Emergencial e Transitório das Relações Jurídicas de Direito Privado</w:t>
      </w:r>
      <w:r>
        <w:rPr>
          <w:rFonts w:ascii="Arial" w:eastAsia="Arial" w:hAnsi="Arial" w:cs="Arial"/>
        </w:rPr>
        <w:t xml:space="preserve">. Disponível em: </w:t>
      </w:r>
      <w:hyperlink r:id="rId12">
        <w:r>
          <w:rPr>
            <w:rFonts w:ascii="Arial" w:eastAsia="Arial" w:hAnsi="Arial" w:cs="Arial"/>
          </w:rPr>
          <w:t>https://www.youtube.com/watch?v=Zh5-_y0V7M0</w:t>
        </w:r>
      </w:hyperlink>
      <w:r>
        <w:rPr>
          <w:rFonts w:ascii="Arial" w:eastAsia="Arial" w:hAnsi="Arial" w:cs="Arial"/>
        </w:rPr>
        <w:t>. Acesso em: 19 de set.</w:t>
      </w:r>
      <w:r>
        <w:rPr>
          <w:rFonts w:ascii="Arial" w:eastAsia="Arial" w:hAnsi="Arial" w:cs="Arial"/>
        </w:rPr>
        <w:t xml:space="preserve"> 2020.</w:t>
      </w:r>
    </w:p>
    <w:p w:rsidR="00CD59E8" w:rsidRDefault="004D5397">
      <w:pPr>
        <w:pStyle w:val="normal0"/>
        <w:spacing w:before="240" w:after="0"/>
        <w:jc w:val="both"/>
        <w:rPr>
          <w:rFonts w:ascii="Arial" w:eastAsia="Arial" w:hAnsi="Arial" w:cs="Arial"/>
          <w:highlight w:val="white"/>
        </w:rPr>
      </w:pPr>
      <w:r>
        <w:rPr>
          <w:rFonts w:ascii="Arial" w:eastAsia="Arial" w:hAnsi="Arial" w:cs="Arial"/>
          <w:highlight w:val="white"/>
        </w:rPr>
        <w:t xml:space="preserve">TJMG, </w:t>
      </w:r>
      <w:r>
        <w:rPr>
          <w:rFonts w:ascii="Arial" w:eastAsia="Arial" w:hAnsi="Arial" w:cs="Arial"/>
          <w:b/>
          <w:highlight w:val="white"/>
        </w:rPr>
        <w:t>Tribunal de Justiça de Minas Gerais</w:t>
      </w:r>
      <w:hyperlink r:id="rId13">
        <w:r>
          <w:rPr>
            <w:rFonts w:ascii="Arial" w:eastAsia="Arial" w:hAnsi="Arial" w:cs="Arial"/>
            <w:b/>
            <w:highlight w:val="white"/>
            <w:u w:val="single"/>
          </w:rPr>
          <w:t>.</w:t>
        </w:r>
      </w:hyperlink>
      <w:r>
        <w:rPr>
          <w:rFonts w:ascii="Arial" w:eastAsia="Arial" w:hAnsi="Arial" w:cs="Arial"/>
        </w:rPr>
        <w:t xml:space="preserve"> 11ª CÂMARA CÍVEL do Tribunal de Justiça do Estado de Minas Gerais. APELAÇÃO CÍVEL - </w:t>
      </w:r>
      <w:r>
        <w:rPr>
          <w:rFonts w:ascii="Arial" w:eastAsia="Arial" w:hAnsi="Arial" w:cs="Arial"/>
        </w:rPr>
        <w:t xml:space="preserve">AÇÃO ORDINÁRIA DE DESPEJO C/C COBRANÇA DE ALUGUÉIS. </w:t>
      </w:r>
      <w:r>
        <w:rPr>
          <w:rFonts w:ascii="Arial" w:eastAsia="Arial" w:hAnsi="Arial" w:cs="Arial"/>
          <w:highlight w:val="white"/>
        </w:rPr>
        <w:t>APELANTE(S):  FRANCISCO EDMILSON  DE  PAIVA  -  APELADO(A)(S):  GERALDO  OLIVEIRA  DE  SOUZA</w:t>
      </w:r>
      <w:r>
        <w:rPr>
          <w:rFonts w:ascii="Arial" w:eastAsia="Arial" w:hAnsi="Arial" w:cs="Arial"/>
        </w:rPr>
        <w:t>. Processo: 1.0000.20.449554-3/001. COMARCA DE ALFENAS – MG. Relator do Acordão: Mônica Libânio.</w:t>
      </w:r>
      <w:r>
        <w:rPr>
          <w:rFonts w:ascii="Arial" w:eastAsia="Arial" w:hAnsi="Arial" w:cs="Arial"/>
          <w:highlight w:val="white"/>
        </w:rPr>
        <w:t xml:space="preserve"> MINAS GERAIS 12</w:t>
      </w:r>
      <w:r>
        <w:rPr>
          <w:rFonts w:ascii="Arial" w:eastAsia="Arial" w:hAnsi="Arial" w:cs="Arial"/>
          <w:highlight w:val="white"/>
        </w:rPr>
        <w:t xml:space="preserve"> DE AGOSTO DE 2020</w:t>
      </w:r>
      <w:r>
        <w:rPr>
          <w:rFonts w:ascii="Arial" w:eastAsia="Arial" w:hAnsi="Arial" w:cs="Arial"/>
        </w:rPr>
        <w:t>.</w:t>
      </w:r>
      <w:r>
        <w:rPr>
          <w:rFonts w:ascii="Arial" w:eastAsia="Arial" w:hAnsi="Arial" w:cs="Arial"/>
          <w:highlight w:val="white"/>
        </w:rPr>
        <w:t xml:space="preserve"> Disponível em:</w:t>
      </w:r>
      <w:hyperlink r:id="rId14">
        <w:r>
          <w:rPr>
            <w:rFonts w:ascii="Arial" w:eastAsia="Arial" w:hAnsi="Arial" w:cs="Arial"/>
            <w:highlight w:val="white"/>
          </w:rPr>
          <w:t xml:space="preserve"> </w:t>
        </w:r>
      </w:hyperlink>
      <w:hyperlink r:id="rId15">
        <w:r>
          <w:rPr>
            <w:rFonts w:ascii="Arial" w:eastAsia="Arial" w:hAnsi="Arial" w:cs="Arial"/>
            <w:color w:val="1155CC"/>
            <w:highlight w:val="white"/>
            <w:u w:val="single"/>
          </w:rPr>
          <w:t>http://www8.tjmg.jus.br/themis/baixaDocumento.do?tipo=1&amp;numeroVerificador=100002044955430012020860259</w:t>
        </w:r>
      </w:hyperlink>
      <w:r>
        <w:rPr>
          <w:rFonts w:ascii="Arial" w:eastAsia="Arial" w:hAnsi="Arial" w:cs="Arial"/>
          <w:highlight w:val="white"/>
        </w:rPr>
        <w:t>. Acesso em: 26 de set. 2020.</w:t>
      </w:r>
    </w:p>
    <w:p w:rsidR="00CD59E8" w:rsidRDefault="004D5397">
      <w:pPr>
        <w:pStyle w:val="normal0"/>
        <w:spacing w:before="240" w:after="0"/>
        <w:jc w:val="both"/>
        <w:rPr>
          <w:rFonts w:ascii="Arial" w:eastAsia="Arial" w:hAnsi="Arial" w:cs="Arial"/>
        </w:rPr>
      </w:pPr>
      <w:r>
        <w:rPr>
          <w:rFonts w:ascii="Arial" w:eastAsia="Arial" w:hAnsi="Arial" w:cs="Arial"/>
        </w:rPr>
        <w:t xml:space="preserve"> </w:t>
      </w:r>
    </w:p>
    <w:p w:rsidR="00CD59E8" w:rsidRDefault="004D5397">
      <w:pPr>
        <w:pStyle w:val="normal0"/>
        <w:spacing w:before="240" w:after="0"/>
        <w:jc w:val="both"/>
        <w:rPr>
          <w:rFonts w:ascii="Arial" w:eastAsia="Arial" w:hAnsi="Arial" w:cs="Arial"/>
          <w:highlight w:val="white"/>
        </w:rPr>
      </w:pPr>
      <w:r>
        <w:rPr>
          <w:rFonts w:ascii="Arial" w:eastAsia="Arial" w:hAnsi="Arial" w:cs="Arial"/>
        </w:rPr>
        <w:t xml:space="preserve">TJSP, </w:t>
      </w:r>
      <w:r>
        <w:rPr>
          <w:rFonts w:ascii="Arial" w:eastAsia="Arial" w:hAnsi="Arial" w:cs="Arial"/>
          <w:b/>
        </w:rPr>
        <w:t>Tribunal de Justiça de São Paulo</w:t>
      </w:r>
      <w:r>
        <w:rPr>
          <w:rFonts w:ascii="Arial" w:eastAsia="Arial" w:hAnsi="Arial" w:cs="Arial"/>
        </w:rPr>
        <w:t>. 36ª Câmara de Direito Privado do Tribunal de Justiça de São Paulo.</w:t>
      </w:r>
      <w:r>
        <w:rPr>
          <w:rFonts w:ascii="Arial" w:eastAsia="Arial" w:hAnsi="Arial" w:cs="Arial"/>
        </w:rPr>
        <w:t xml:space="preserve"> Ação de despejo por falta de pagamento cumulada com cobrança. AGRAVANTE: José Caparroz Biudes - AGRAVADA: Wellington Muniz. AGRAVO DE INSTRUMENTO Nº 2214280-60.2020. COMARCA: São Paulo F.R. de Santana 9ª Vara Cível. Relator PEDRO BACCARAT. São Paulo, 30 d</w:t>
      </w:r>
      <w:r>
        <w:rPr>
          <w:rFonts w:ascii="Arial" w:eastAsia="Arial" w:hAnsi="Arial" w:cs="Arial"/>
        </w:rPr>
        <w:t xml:space="preserve">e setembro de 2020. </w:t>
      </w:r>
      <w:r>
        <w:rPr>
          <w:rFonts w:ascii="Arial" w:eastAsia="Arial" w:hAnsi="Arial" w:cs="Arial"/>
          <w:highlight w:val="white"/>
        </w:rPr>
        <w:t>Disponível em:</w:t>
      </w:r>
      <w:hyperlink r:id="rId16">
        <w:r>
          <w:rPr>
            <w:rFonts w:ascii="Arial" w:eastAsia="Arial" w:hAnsi="Arial" w:cs="Arial"/>
          </w:rPr>
          <w:t xml:space="preserve"> </w:t>
        </w:r>
      </w:hyperlink>
      <w:hyperlink r:id="rId17">
        <w:r>
          <w:rPr>
            <w:rFonts w:ascii="Arial" w:eastAsia="Arial" w:hAnsi="Arial" w:cs="Arial"/>
            <w:color w:val="1155CC"/>
            <w:u w:val="single"/>
          </w:rPr>
          <w:t>https://esaj.tjsp.jus.br/cjsg/getArquivo.do</w:t>
        </w:r>
        <w:r>
          <w:rPr>
            <w:rFonts w:ascii="Arial" w:eastAsia="Arial" w:hAnsi="Arial" w:cs="Arial"/>
            <w:color w:val="1155CC"/>
            <w:u w:val="single"/>
          </w:rPr>
          <w:t>?cdAcordao=14017716&amp;cdForo=0</w:t>
        </w:r>
      </w:hyperlink>
      <w:r>
        <w:rPr>
          <w:rFonts w:ascii="Arial" w:eastAsia="Arial" w:hAnsi="Arial" w:cs="Arial"/>
        </w:rPr>
        <w:t xml:space="preserve">. </w:t>
      </w:r>
      <w:r>
        <w:rPr>
          <w:rFonts w:ascii="Arial" w:eastAsia="Arial" w:hAnsi="Arial" w:cs="Arial"/>
          <w:highlight w:val="white"/>
        </w:rPr>
        <w:t>Acesso em: 26 de set. 2020.</w:t>
      </w:r>
    </w:p>
    <w:p w:rsidR="00CD59E8" w:rsidRDefault="004D5397">
      <w:pPr>
        <w:pStyle w:val="normal0"/>
        <w:spacing w:before="240" w:after="0"/>
        <w:jc w:val="both"/>
        <w:rPr>
          <w:rFonts w:ascii="Arial" w:eastAsia="Arial" w:hAnsi="Arial" w:cs="Arial"/>
        </w:rPr>
      </w:pPr>
      <w:r>
        <w:rPr>
          <w:rFonts w:ascii="Arial" w:eastAsia="Arial" w:hAnsi="Arial" w:cs="Arial"/>
        </w:rPr>
        <w:t xml:space="preserve"> </w:t>
      </w:r>
    </w:p>
    <w:p w:rsidR="00CD59E8" w:rsidRDefault="004D5397">
      <w:pPr>
        <w:pStyle w:val="normal0"/>
        <w:spacing w:before="240" w:after="0"/>
        <w:jc w:val="both"/>
        <w:rPr>
          <w:rFonts w:ascii="Arial" w:eastAsia="Arial" w:hAnsi="Arial" w:cs="Arial"/>
          <w:highlight w:val="white"/>
        </w:rPr>
      </w:pPr>
      <w:r>
        <w:rPr>
          <w:rFonts w:ascii="Arial" w:eastAsia="Arial" w:hAnsi="Arial" w:cs="Arial"/>
          <w:highlight w:val="white"/>
        </w:rPr>
        <w:t xml:space="preserve">TJRS, </w:t>
      </w:r>
      <w:r>
        <w:rPr>
          <w:rFonts w:ascii="Arial" w:eastAsia="Arial" w:hAnsi="Arial" w:cs="Arial"/>
          <w:b/>
        </w:rPr>
        <w:t xml:space="preserve">Tribunal de Justiça do Rio Grande do Sul. </w:t>
      </w:r>
      <w:r>
        <w:rPr>
          <w:rFonts w:ascii="Arial" w:eastAsia="Arial" w:hAnsi="Arial" w:cs="Arial"/>
        </w:rPr>
        <w:t xml:space="preserve">15º CÂMARA CÍVEL do Tribunal de Justiça do Estado do Rio Grande do Sul. AÇÃO DE DESPEJO POR FALTA DE PAGAMENTO DE ALUGUEL E ACESSÓRIOS. AGRAVANTE TAMBORE PARTICIPACOES </w:t>
      </w:r>
      <w:r>
        <w:rPr>
          <w:rFonts w:ascii="Arial" w:eastAsia="Arial" w:hAnsi="Arial" w:cs="Arial"/>
        </w:rPr>
        <w:lastRenderedPageBreak/>
        <w:t>LTDA</w:t>
      </w:r>
      <w:r>
        <w:rPr>
          <w:rFonts w:ascii="Arial" w:eastAsia="Arial" w:hAnsi="Arial" w:cs="Arial"/>
          <w:highlight w:val="white"/>
        </w:rPr>
        <w:t xml:space="preserve"> - </w:t>
      </w:r>
      <w:r>
        <w:rPr>
          <w:rFonts w:ascii="Arial" w:eastAsia="Arial" w:hAnsi="Arial" w:cs="Arial"/>
        </w:rPr>
        <w:t>AGRAVADO</w:t>
      </w:r>
      <w:r>
        <w:rPr>
          <w:rFonts w:ascii="Arial" w:eastAsia="Arial" w:hAnsi="Arial" w:cs="Arial"/>
          <w:highlight w:val="white"/>
        </w:rPr>
        <w:t xml:space="preserve"> </w:t>
      </w:r>
      <w:r>
        <w:rPr>
          <w:rFonts w:ascii="Arial" w:eastAsia="Arial" w:hAnsi="Arial" w:cs="Arial"/>
        </w:rPr>
        <w:t>G-VETEC GUINDASTES LTDA. AGRAVO DE INSTRUMENTO</w:t>
      </w:r>
      <w:r>
        <w:rPr>
          <w:rFonts w:ascii="Arial" w:eastAsia="Arial" w:hAnsi="Arial" w:cs="Arial"/>
          <w:highlight w:val="white"/>
        </w:rPr>
        <w:t xml:space="preserve"> </w:t>
      </w:r>
      <w:r>
        <w:rPr>
          <w:rFonts w:ascii="Arial" w:eastAsia="Arial" w:hAnsi="Arial" w:cs="Arial"/>
        </w:rPr>
        <w:t>Nº 70083954891</w:t>
      </w:r>
      <w:r>
        <w:rPr>
          <w:rFonts w:ascii="Arial" w:eastAsia="Arial" w:hAnsi="Arial" w:cs="Arial"/>
          <w:highlight w:val="white"/>
        </w:rPr>
        <w:t xml:space="preserve">. </w:t>
      </w:r>
      <w:r>
        <w:rPr>
          <w:rFonts w:ascii="Arial" w:eastAsia="Arial" w:hAnsi="Arial" w:cs="Arial"/>
        </w:rPr>
        <w:t>COMARCA D</w:t>
      </w:r>
      <w:r>
        <w:rPr>
          <w:rFonts w:ascii="Arial" w:eastAsia="Arial" w:hAnsi="Arial" w:cs="Arial"/>
        </w:rPr>
        <w:t>E CAXIAS DO SUL</w:t>
      </w:r>
      <w:r>
        <w:rPr>
          <w:rFonts w:ascii="Arial" w:eastAsia="Arial" w:hAnsi="Arial" w:cs="Arial"/>
          <w:highlight w:val="white"/>
        </w:rPr>
        <w:t xml:space="preserve">, RS. </w:t>
      </w:r>
      <w:r>
        <w:rPr>
          <w:rFonts w:ascii="Arial" w:eastAsia="Arial" w:hAnsi="Arial" w:cs="Arial"/>
        </w:rPr>
        <w:t>Relator LEOBERTO NARCISO BRANCHER. Porto Alegre, 24 de junho de 2020.</w:t>
      </w:r>
      <w:r>
        <w:rPr>
          <w:rFonts w:ascii="Arial" w:eastAsia="Arial" w:hAnsi="Arial" w:cs="Arial"/>
          <w:highlight w:val="white"/>
        </w:rPr>
        <w:t xml:space="preserve"> Disponível em:</w:t>
      </w:r>
      <w:hyperlink r:id="rId18">
        <w:r>
          <w:rPr>
            <w:rFonts w:ascii="Arial" w:eastAsia="Arial" w:hAnsi="Arial" w:cs="Arial"/>
            <w:highlight w:val="white"/>
          </w:rPr>
          <w:t xml:space="preserve"> </w:t>
        </w:r>
      </w:hyperlink>
      <w:hyperlink r:id="rId19">
        <w:r>
          <w:rPr>
            <w:rFonts w:ascii="Arial" w:eastAsia="Arial" w:hAnsi="Arial" w:cs="Arial"/>
            <w:color w:val="1155CC"/>
            <w:u w:val="single"/>
          </w:rPr>
          <w:t>https://drive.google.com/file/d/1g8Iu85b4bfLCphKRJh6UYZskprmG4D3W/view?usp=sharing</w:t>
        </w:r>
      </w:hyperlink>
      <w:r w:rsidR="00B65095">
        <w:rPr>
          <w:rFonts w:ascii="Arial" w:eastAsia="Arial" w:hAnsi="Arial" w:cs="Arial"/>
        </w:rPr>
        <w:t>.</w:t>
      </w:r>
      <w:r>
        <w:rPr>
          <w:rFonts w:ascii="Arial" w:eastAsia="Arial" w:hAnsi="Arial" w:cs="Arial"/>
          <w:highlight w:val="white"/>
        </w:rPr>
        <w:t xml:space="preserve"> Acesso em: 26 de set. 2020.</w:t>
      </w:r>
    </w:p>
    <w:p w:rsidR="00CD59E8" w:rsidRDefault="00CD59E8">
      <w:pPr>
        <w:pStyle w:val="normal0"/>
        <w:spacing w:line="240" w:lineRule="auto"/>
        <w:jc w:val="both"/>
        <w:rPr>
          <w:rFonts w:ascii="Arial" w:eastAsia="Arial" w:hAnsi="Arial" w:cs="Arial"/>
          <w:highlight w:val="white"/>
        </w:rPr>
      </w:pPr>
    </w:p>
    <w:p w:rsidR="00CD59E8" w:rsidRDefault="00CD59E8">
      <w:pPr>
        <w:pStyle w:val="normal0"/>
        <w:spacing w:after="0" w:line="360" w:lineRule="auto"/>
        <w:jc w:val="both"/>
        <w:rPr>
          <w:rFonts w:ascii="Arial" w:eastAsia="Arial" w:hAnsi="Arial" w:cs="Arial"/>
          <w:b/>
          <w:sz w:val="24"/>
          <w:szCs w:val="24"/>
        </w:rPr>
      </w:pPr>
    </w:p>
    <w:p w:rsidR="00CD59E8" w:rsidRDefault="004D5397">
      <w:pPr>
        <w:pStyle w:val="normal0"/>
        <w:spacing w:after="0" w:line="360" w:lineRule="auto"/>
        <w:jc w:val="both"/>
        <w:rPr>
          <w:rFonts w:ascii="Arial" w:eastAsia="Arial" w:hAnsi="Arial" w:cs="Arial"/>
          <w:sz w:val="24"/>
          <w:szCs w:val="24"/>
        </w:rPr>
      </w:pPr>
      <w:r>
        <w:rPr>
          <w:rFonts w:ascii="Arial" w:eastAsia="Arial" w:hAnsi="Arial" w:cs="Arial"/>
          <w:sz w:val="24"/>
          <w:szCs w:val="24"/>
        </w:rPr>
        <w:tab/>
      </w:r>
    </w:p>
    <w:p w:rsidR="00CD59E8" w:rsidRDefault="00CD59E8">
      <w:pPr>
        <w:pStyle w:val="normal0"/>
        <w:spacing w:after="0" w:line="360" w:lineRule="auto"/>
        <w:ind w:firstLine="708"/>
        <w:jc w:val="both"/>
        <w:rPr>
          <w:rFonts w:ascii="Arial" w:eastAsia="Arial" w:hAnsi="Arial" w:cs="Arial"/>
          <w:sz w:val="24"/>
          <w:szCs w:val="24"/>
        </w:rPr>
      </w:pPr>
    </w:p>
    <w:p w:rsidR="00CD59E8" w:rsidRDefault="00CD59E8">
      <w:pPr>
        <w:pStyle w:val="normal0"/>
        <w:spacing w:after="0" w:line="360" w:lineRule="auto"/>
        <w:jc w:val="both"/>
        <w:rPr>
          <w:rFonts w:ascii="Arial" w:eastAsia="Arial" w:hAnsi="Arial" w:cs="Arial"/>
          <w:sz w:val="24"/>
          <w:szCs w:val="24"/>
        </w:rPr>
      </w:pPr>
    </w:p>
    <w:sectPr w:rsidR="00CD59E8" w:rsidSect="00CD59E8">
      <w:headerReference w:type="even" r:id="rId20"/>
      <w:headerReference w:type="default" r:id="rId21"/>
      <w:footerReference w:type="default" r:id="rId22"/>
      <w:headerReference w:type="first" r:id="rId23"/>
      <w:pgSz w:w="11906" w:h="16838"/>
      <w:pgMar w:top="1701" w:right="1134" w:bottom="1134" w:left="1701" w:header="680"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397" w:rsidRDefault="004D5397" w:rsidP="00CD59E8">
      <w:pPr>
        <w:spacing w:after="0" w:line="240" w:lineRule="auto"/>
      </w:pPr>
      <w:r>
        <w:separator/>
      </w:r>
    </w:p>
  </w:endnote>
  <w:endnote w:type="continuationSeparator" w:id="1">
    <w:p w:rsidR="004D5397" w:rsidRDefault="004D5397" w:rsidP="00CD59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9E8" w:rsidRDefault="00CD59E8">
    <w:pPr>
      <w:pStyle w:val="normal0"/>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4D5397">
      <w:rPr>
        <w:rFonts w:ascii="Times New Roman" w:eastAsia="Times New Roman" w:hAnsi="Times New Roman" w:cs="Times New Roman"/>
        <w:color w:val="000000"/>
        <w:sz w:val="24"/>
        <w:szCs w:val="24"/>
      </w:rPr>
      <w:instrText>PAGE</w:instrText>
    </w:r>
    <w:r w:rsidR="005824B3">
      <w:rPr>
        <w:rFonts w:ascii="Times New Roman" w:eastAsia="Times New Roman" w:hAnsi="Times New Roman" w:cs="Times New Roman"/>
        <w:color w:val="000000"/>
        <w:sz w:val="24"/>
        <w:szCs w:val="24"/>
      </w:rPr>
      <w:fldChar w:fldCharType="separate"/>
    </w:r>
    <w:r w:rsidR="00B65095">
      <w:rPr>
        <w:rFonts w:ascii="Times New Roman" w:eastAsia="Times New Roman" w:hAnsi="Times New Roman" w:cs="Times New Roman"/>
        <w:noProof/>
        <w:color w:val="000000"/>
        <w:sz w:val="24"/>
        <w:szCs w:val="24"/>
      </w:rPr>
      <w:t>7</w:t>
    </w:r>
    <w:r>
      <w:rPr>
        <w:rFonts w:ascii="Times New Roman" w:eastAsia="Times New Roman" w:hAnsi="Times New Roman" w:cs="Times New Roman"/>
        <w:color w:val="000000"/>
        <w:sz w:val="24"/>
        <w:szCs w:val="24"/>
      </w:rPr>
      <w:fldChar w:fldCharType="end"/>
    </w:r>
  </w:p>
  <w:p w:rsidR="00CD59E8" w:rsidRDefault="004D5397">
    <w:pPr>
      <w:pStyle w:val="normal0"/>
      <w:pBdr>
        <w:top w:val="nil"/>
        <w:left w:val="nil"/>
        <w:bottom w:val="single" w:sz="12" w:space="1" w:color="000000"/>
        <w:right w:val="nil"/>
        <w:between w:val="nil"/>
      </w:pBdr>
      <w:tabs>
        <w:tab w:val="center" w:pos="4252"/>
        <w:tab w:val="right" w:pos="8504"/>
      </w:tabs>
      <w:spacing w:after="0" w:line="240" w:lineRule="auto"/>
      <w:ind w:right="360"/>
      <w:jc w:val="center"/>
      <w:rPr>
        <w:rFonts w:ascii="Arial" w:eastAsia="Arial" w:hAnsi="Arial" w:cs="Arial"/>
        <w:color w:val="000000"/>
        <w:sz w:val="16"/>
        <w:szCs w:val="16"/>
      </w:rPr>
    </w:pPr>
    <w:r>
      <w:rPr>
        <w:rFonts w:ascii="Arial" w:eastAsia="Arial" w:hAnsi="Arial" w:cs="Arial"/>
        <w:color w:val="000000"/>
        <w:sz w:val="16"/>
        <w:szCs w:val="16"/>
      </w:rPr>
      <w:t>Recredenciamento MEC Portaria Ministerial nº 1.252, de 29/09/2017  DOU de 02/10/2017</w:t>
    </w:r>
  </w:p>
  <w:p w:rsidR="00CD59E8" w:rsidRDefault="004D5397">
    <w:pPr>
      <w:pStyle w:val="normal0"/>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Av. Governador Roberto Silveira,910, Lia Márcia, Bom Jesus do Itabapoana- RJ CNPJ:09.025.861/0001-07  </w:t>
    </w:r>
  </w:p>
  <w:p w:rsidR="00CD59E8" w:rsidRDefault="004D5397">
    <w:pPr>
      <w:pStyle w:val="normal0"/>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Cep: 28.360-000 Tel.:(22)3833-8400 – www.famesc.edu.br</w:t>
    </w:r>
    <w:r>
      <w:rPr>
        <w:rFonts w:ascii="Arial" w:eastAsia="Arial" w:hAnsi="Arial" w:cs="Arial"/>
        <w:color w:val="002060"/>
        <w:sz w:val="16"/>
        <w:szCs w:val="16"/>
      </w:rPr>
      <w:t xml:space="preserve"> </w:t>
    </w:r>
  </w:p>
  <w:p w:rsidR="00CD59E8" w:rsidRDefault="00CD59E8">
    <w:pPr>
      <w:pStyle w:val="normal0"/>
      <w:pBdr>
        <w:top w:val="nil"/>
        <w:left w:val="nil"/>
        <w:bottom w:val="nil"/>
        <w:right w:val="nil"/>
        <w:between w:val="nil"/>
      </w:pBdr>
      <w:tabs>
        <w:tab w:val="center" w:pos="4252"/>
        <w:tab w:val="right" w:pos="8504"/>
      </w:tabs>
      <w:spacing w:after="0" w:line="240" w:lineRule="auto"/>
      <w:jc w:val="both"/>
      <w:rPr>
        <w:rFonts w:ascii="Times New Roman" w:eastAsia="Times New Roman" w:hAnsi="Times New Roman" w:cs="Times New Roman"/>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397" w:rsidRDefault="004D5397" w:rsidP="00CD59E8">
      <w:pPr>
        <w:spacing w:after="0" w:line="240" w:lineRule="auto"/>
      </w:pPr>
      <w:r>
        <w:separator/>
      </w:r>
    </w:p>
  </w:footnote>
  <w:footnote w:type="continuationSeparator" w:id="1">
    <w:p w:rsidR="004D5397" w:rsidRDefault="004D5397" w:rsidP="00CD59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9E8" w:rsidRDefault="00CD59E8">
    <w:pPr>
      <w:pStyle w:val="normal0"/>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9E8" w:rsidRDefault="004D5397">
    <w:pPr>
      <w:pStyle w:val="normal0"/>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1">
          <wp:simplePos x="0" y="0"/>
          <wp:positionH relativeFrom="margin">
            <wp:posOffset>3020695</wp:posOffset>
          </wp:positionH>
          <wp:positionV relativeFrom="margin">
            <wp:posOffset>-971548</wp:posOffset>
          </wp:positionV>
          <wp:extent cx="2647950" cy="61912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47950" cy="619125"/>
                  </a:xfrm>
                  <a:prstGeom prst="rect">
                    <a:avLst/>
                  </a:prstGeom>
                  <a:ln/>
                </pic:spPr>
              </pic:pic>
            </a:graphicData>
          </a:graphic>
        </wp:anchor>
      </w:drawing>
    </w:r>
    <w:r>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1" allowOverlap="1">
          <wp:simplePos x="0" y="0"/>
          <wp:positionH relativeFrom="margin">
            <wp:posOffset>-76198</wp:posOffset>
          </wp:positionH>
          <wp:positionV relativeFrom="margin">
            <wp:posOffset>-962023</wp:posOffset>
          </wp:positionV>
          <wp:extent cx="2390775" cy="65786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390775" cy="657860"/>
                  </a:xfrm>
                  <a:prstGeom prst="rect">
                    <a:avLst/>
                  </a:prstGeom>
                  <a:ln/>
                </pic:spPr>
              </pic:pic>
            </a:graphicData>
          </a:graphic>
        </wp:anchor>
      </w:drawing>
    </w:r>
  </w:p>
  <w:p w:rsidR="00CD59E8" w:rsidRDefault="00CD59E8">
    <w:pPr>
      <w:pStyle w:val="normal0"/>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rsidR="00CD59E8" w:rsidRDefault="004D5397">
    <w:pPr>
      <w:pStyle w:val="normal0"/>
      <w:pBdr>
        <w:top w:val="nil"/>
        <w:left w:val="nil"/>
        <w:bottom w:val="nil"/>
        <w:right w:val="nil"/>
        <w:between w:val="nil"/>
      </w:pBdr>
      <w:tabs>
        <w:tab w:val="center" w:pos="4252"/>
        <w:tab w:val="right" w:pos="8504"/>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Edição Especial – Revista Científica Interdisciplinar Múltiplos Acessos                       ISSN 2526-4036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9E8" w:rsidRDefault="00CD59E8">
    <w:pPr>
      <w:pStyle w:val="normal0"/>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CD59E8"/>
    <w:rsid w:val="001E1F8A"/>
    <w:rsid w:val="004D5397"/>
    <w:rsid w:val="005824B3"/>
    <w:rsid w:val="00662700"/>
    <w:rsid w:val="00840048"/>
    <w:rsid w:val="00B65095"/>
    <w:rsid w:val="00B953A4"/>
    <w:rsid w:val="00C55B0A"/>
    <w:rsid w:val="00CD59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CD59E8"/>
    <w:pPr>
      <w:keepNext/>
      <w:keepLines/>
      <w:spacing w:before="480" w:after="120"/>
      <w:outlineLvl w:val="0"/>
    </w:pPr>
    <w:rPr>
      <w:b/>
      <w:sz w:val="48"/>
      <w:szCs w:val="48"/>
    </w:rPr>
  </w:style>
  <w:style w:type="paragraph" w:styleId="Ttulo2">
    <w:name w:val="heading 2"/>
    <w:basedOn w:val="normal0"/>
    <w:next w:val="normal0"/>
    <w:rsid w:val="00CD59E8"/>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0"/>
    <w:next w:val="normal0"/>
    <w:rsid w:val="00CD59E8"/>
    <w:pPr>
      <w:keepNext/>
      <w:keepLines/>
      <w:spacing w:before="280" w:after="80"/>
      <w:outlineLvl w:val="2"/>
    </w:pPr>
    <w:rPr>
      <w:b/>
      <w:sz w:val="28"/>
      <w:szCs w:val="28"/>
    </w:rPr>
  </w:style>
  <w:style w:type="paragraph" w:styleId="Ttulo4">
    <w:name w:val="heading 4"/>
    <w:basedOn w:val="normal0"/>
    <w:next w:val="normal0"/>
    <w:rsid w:val="00CD59E8"/>
    <w:pPr>
      <w:keepNext/>
      <w:keepLines/>
      <w:spacing w:before="240" w:after="40"/>
      <w:outlineLvl w:val="3"/>
    </w:pPr>
    <w:rPr>
      <w:b/>
      <w:sz w:val="24"/>
      <w:szCs w:val="24"/>
    </w:rPr>
  </w:style>
  <w:style w:type="paragraph" w:styleId="Ttulo5">
    <w:name w:val="heading 5"/>
    <w:basedOn w:val="normal0"/>
    <w:next w:val="normal0"/>
    <w:rsid w:val="00CD59E8"/>
    <w:pPr>
      <w:keepNext/>
      <w:keepLines/>
      <w:spacing w:before="220" w:after="40"/>
      <w:outlineLvl w:val="4"/>
    </w:pPr>
    <w:rPr>
      <w:b/>
    </w:rPr>
  </w:style>
  <w:style w:type="paragraph" w:styleId="Ttulo6">
    <w:name w:val="heading 6"/>
    <w:basedOn w:val="normal0"/>
    <w:next w:val="normal0"/>
    <w:rsid w:val="00CD59E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D59E8"/>
  </w:style>
  <w:style w:type="table" w:customStyle="1" w:styleId="TableNormal">
    <w:name w:val="Table Normal"/>
    <w:rsid w:val="00CD59E8"/>
    <w:tblPr>
      <w:tblCellMar>
        <w:top w:w="0" w:type="dxa"/>
        <w:left w:w="0" w:type="dxa"/>
        <w:bottom w:w="0" w:type="dxa"/>
        <w:right w:w="0" w:type="dxa"/>
      </w:tblCellMar>
    </w:tblPr>
  </w:style>
  <w:style w:type="paragraph" w:styleId="Ttulo">
    <w:name w:val="Title"/>
    <w:basedOn w:val="normal0"/>
    <w:next w:val="normal0"/>
    <w:rsid w:val="00CD59E8"/>
    <w:pPr>
      <w:keepNext/>
      <w:keepLines/>
      <w:spacing w:before="480" w:after="120"/>
    </w:pPr>
    <w:rPr>
      <w:b/>
      <w:sz w:val="72"/>
      <w:szCs w:val="72"/>
    </w:rPr>
  </w:style>
  <w:style w:type="paragraph" w:styleId="Subttulo">
    <w:name w:val="Subtitle"/>
    <w:basedOn w:val="normal0"/>
    <w:next w:val="normal0"/>
    <w:rsid w:val="00CD59E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14.010-2020?OpenDocument" TargetMode="External"/><Relationship Id="rId13" Type="http://schemas.openxmlformats.org/officeDocument/2006/relationships/hyperlink" Target="http://legislacao.planalto.gov.br/legisla/legislacao.nsf/Viw_Identificacao/lei%208.245-1991?OpenDocument" TargetMode="External"/><Relationship Id="rId18" Type="http://schemas.openxmlformats.org/officeDocument/2006/relationships/hyperlink" Target="https://drive.google.com/file/d/1g8Iu85b4bfLCphKRJh6UYZskprmG4D3W/view?usp=sharing" TargetMode="Externa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www.youtube.com/watch?v=4iy0TIiLsxg&amp;ab_channel=LilianBabo" TargetMode="External"/><Relationship Id="rId12" Type="http://schemas.openxmlformats.org/officeDocument/2006/relationships/hyperlink" Target="https://www.youtube.com/watch?v=Zh5-_y0V7M0" TargetMode="External"/><Relationship Id="rId17" Type="http://schemas.openxmlformats.org/officeDocument/2006/relationships/hyperlink" Target="https://esaj.tjsp.jus.br/cjsg/getArquivo.do?cdAcordao=14017716&amp;cdForo=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saj.tjsp.jus.br/cjsg/getArquivo.do?cdAcordao=14017716&amp;cdForo=0"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planalto.gov.br/ccivil_03/_ato2019-2022/2020/lei/L14010.htm" TargetMode="External"/><Relationship Id="rId11" Type="http://schemas.openxmlformats.org/officeDocument/2006/relationships/hyperlink" Target="https://flaviotartuce.jusbrasil.com.br/artigos/859582362/comentarios-a-lei-da-pandemia-lei-14010-2020"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8.tjmg.jus.br/themis/baixaDocumento.do?tipo=1&amp;numeroVerificador=100002044955430012020860259" TargetMode="External"/><Relationship Id="rId23" Type="http://schemas.openxmlformats.org/officeDocument/2006/relationships/header" Target="header3.xml"/><Relationship Id="rId10" Type="http://schemas.openxmlformats.org/officeDocument/2006/relationships/hyperlink" Target="https://www.diariodoaco.com.br/noticia/0078862-como-ficam-as-aaaes-de-despejo-durante-a-pandemia" TargetMode="External"/><Relationship Id="rId19" Type="http://schemas.openxmlformats.org/officeDocument/2006/relationships/hyperlink" Target="https://drive.google.com/file/d/1g8Iu85b4bfLCphKRJh6UYZskprmG4D3W/view?usp=sharing" TargetMode="External"/><Relationship Id="rId4" Type="http://schemas.openxmlformats.org/officeDocument/2006/relationships/footnotes" Target="footnotes.xml"/><Relationship Id="rId9" Type="http://schemas.openxmlformats.org/officeDocument/2006/relationships/hyperlink" Target="http://www.planalto.gov.br/ccivil_03/_Ato2019-2022/2020/Lei/L14010.htm" TargetMode="External"/><Relationship Id="rId14" Type="http://schemas.openxmlformats.org/officeDocument/2006/relationships/hyperlink" Target="http://www8.tjmg.jus.br/themis/baixaDocumento.do?tipo=1&amp;numeroVerificador=100002044955430012020860259"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2510</Words>
  <Characters>13555</Characters>
  <Application>Microsoft Office Word</Application>
  <DocSecurity>0</DocSecurity>
  <Lines>112</Lines>
  <Paragraphs>32</Paragraphs>
  <ScaleCrop>false</ScaleCrop>
  <Company/>
  <LinksUpToDate>false</LinksUpToDate>
  <CharactersWithSpaces>16033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Usuário do Windows</cp:lastModifiedBy>
  <cp:revision>8</cp:revision>
  <dcterms:created xsi:type="dcterms:W3CDTF">2020-10-15T20:10:00Z</dcterms:created>
  <dcterms:modified xsi:type="dcterms:W3CDTF">2020-10-15T20:17:00Z</dcterms:modified>
</cp:coreProperties>
</file>