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>ISOERITRÓLISE NEONATAL EQUINA: RELATO DE CASO</w:t>
      </w:r>
    </w:p>
    <w:p>
      <w:pPr>
        <w:pStyle w:val="2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 Carolina Ribeiro Amaral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>*, Ana Clara Paioleti Paiva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>, Daniel Augusto Costa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 xml:space="preserve">, Jennifer Carmo Silva¹, Rafael Almeida Romano¹, </w:t>
      </w:r>
      <w:r>
        <w:rPr>
          <w:rFonts w:ascii="Arial" w:hAnsi="Arial" w:cs="Arial"/>
          <w:b/>
          <w:bCs/>
          <w:sz w:val="20"/>
          <w:szCs w:val="20"/>
        </w:rPr>
        <w:t>Luísa Martha Jardim de Almeida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bCs/>
        </w:rPr>
        <w:t xml:space="preserve"> e Priscila Fantini</w:t>
      </w:r>
      <w:r>
        <w:rPr>
          <w:rFonts w:ascii="Arial" w:hAnsi="Arial" w:cs="Arial"/>
          <w:b/>
          <w:bCs/>
          <w:vertAlign w:val="superscript"/>
        </w:rPr>
        <w:t>3</w:t>
      </w:r>
      <w:r>
        <w:rPr>
          <w:rFonts w:ascii="Arial" w:hAnsi="Arial" w:cs="Arial"/>
          <w:b/>
          <w:bCs/>
        </w:rPr>
        <w:t>.</w:t>
      </w:r>
    </w:p>
    <w:p>
      <w:pPr>
        <w:pStyle w:val="25"/>
        <w:jc w:val="center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  <w:vertAlign w:val="superscript"/>
        </w:rPr>
        <w:t>1</w:t>
      </w:r>
      <w:r>
        <w:rPr>
          <w:rFonts w:ascii="Arial" w:hAnsi="Arial" w:cs="Arial"/>
          <w:i/>
          <w:iCs/>
          <w:sz w:val="14"/>
          <w:szCs w:val="14"/>
        </w:rPr>
        <w:t xml:space="preserve">Graduando em Medicina Veterinária –Centro Universitário Una– Bom Despacho/MG – Brasil – *Contato: </w:t>
      </w:r>
      <w:r>
        <w:rPr>
          <w:rFonts w:ascii="Arial" w:hAnsi="Arial" w:cs="Arial"/>
          <w:i/>
          <w:iCs/>
          <w:sz w:val="14"/>
          <w:szCs w:val="14"/>
        </w:rPr>
        <w:fldChar w:fldCharType="begin"/>
      </w:r>
      <w:r>
        <w:rPr>
          <w:rFonts w:ascii="Arial" w:hAnsi="Arial" w:cs="Arial"/>
          <w:i/>
          <w:iCs/>
          <w:sz w:val="14"/>
          <w:szCs w:val="14"/>
        </w:rPr>
        <w:instrText xml:space="preserve"> HYPERLINK "mailto:acarolinamaral.vet@gmail.com" </w:instrText>
      </w:r>
      <w:r>
        <w:rPr>
          <w:rFonts w:ascii="Arial" w:hAnsi="Arial" w:cs="Arial"/>
          <w:i/>
          <w:iCs/>
          <w:sz w:val="14"/>
          <w:szCs w:val="14"/>
        </w:rPr>
        <w:fldChar w:fldCharType="separate"/>
      </w:r>
      <w:r>
        <w:rPr>
          <w:rStyle w:val="14"/>
          <w:rFonts w:ascii="Arial" w:hAnsi="Arial" w:cs="Arial"/>
          <w:i/>
          <w:iCs/>
          <w:color w:val="auto"/>
          <w:sz w:val="14"/>
          <w:szCs w:val="14"/>
        </w:rPr>
        <w:t>acarolinamaral.vet@gmail.com</w:t>
      </w:r>
      <w:r>
        <w:rPr>
          <w:rFonts w:ascii="Arial" w:hAnsi="Arial" w:cs="Arial"/>
          <w:i/>
          <w:iCs/>
          <w:sz w:val="14"/>
          <w:szCs w:val="14"/>
        </w:rPr>
        <w:fldChar w:fldCharType="end"/>
      </w:r>
    </w:p>
    <w:p>
      <w:pPr>
        <w:pStyle w:val="25"/>
        <w:jc w:val="center"/>
        <w:rPr>
          <w:rFonts w:ascii="Arial" w:hAnsi="Arial" w:cs="Arial"/>
          <w:i w:val="0"/>
          <w:iCs w:val="0"/>
          <w:sz w:val="14"/>
          <w:szCs w:val="14"/>
        </w:rPr>
      </w:pPr>
      <w:r>
        <w:rPr>
          <w:rFonts w:ascii="Arial" w:hAnsi="Arial" w:cs="Arial"/>
          <w:sz w:val="14"/>
          <w:szCs w:val="14"/>
          <w:vertAlign w:val="superscript"/>
        </w:rPr>
        <w:t>2</w:t>
      </w:r>
      <w:r>
        <w:rPr>
          <w:rFonts w:ascii="Arial" w:hAnsi="Arial" w:cs="Arial"/>
          <w:sz w:val="14"/>
          <w:szCs w:val="14"/>
        </w:rPr>
        <w:t>Médica Veterinária autônoma especialista em Reprodução Equina – Pará de Minas/MG – Brasil</w:t>
      </w:r>
    </w:p>
    <w:p>
      <w:pPr>
        <w:pStyle w:val="25"/>
        <w:jc w:val="center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  <w:vertAlign w:val="superscript"/>
        </w:rPr>
        <w:t>3</w:t>
      </w:r>
      <w:r>
        <w:rPr>
          <w:rFonts w:ascii="Arial" w:hAnsi="Arial" w:cs="Arial"/>
          <w:i/>
          <w:iCs/>
          <w:sz w:val="14"/>
          <w:szCs w:val="14"/>
        </w:rPr>
        <w:t>Professora de Medicina Veterinária – Una – Bom Despacho/MG – Brasil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  <w:sectPr>
          <w:headerReference r:id="rId3" w:type="default"/>
          <w:pgSz w:w="11906" w:h="16838"/>
          <w:pgMar w:top="1560" w:right="424" w:bottom="720" w:left="426" w:header="426" w:footer="708" w:gutter="0"/>
          <w:cols w:space="708" w:num="1"/>
          <w:docGrid w:linePitch="360" w:charSpace="0"/>
        </w:sectPr>
      </w:pPr>
    </w:p>
    <w:p>
      <w:pPr>
        <w:pStyle w:val="5"/>
        <w:pBdr>
          <w:bottom w:val="single" w:color="auto" w:sz="4" w:space="1"/>
        </w:pBdr>
        <w:jc w:val="both"/>
        <w:rPr>
          <w:b/>
          <w:bCs/>
          <w:color w:val="auto"/>
        </w:rPr>
      </w:pPr>
      <w:r>
        <w:rPr>
          <w:b/>
          <w:bCs/>
          <w:color w:val="auto"/>
        </w:rPr>
        <w:t>INTRODUÇÃO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Arial" w:hAnsi="Arial" w:eastAsia="ArialMT" w:cs="Arial"/>
          <w:color w:val="auto"/>
          <w:kern w:val="0"/>
          <w:sz w:val="18"/>
          <w:szCs w:val="18"/>
          <w:lang w:val="pt-BR" w:eastAsia="zh-CN" w:bidi="ar"/>
        </w:rPr>
      </w:pPr>
      <w:r>
        <w:rPr>
          <w:rFonts w:ascii="Arial" w:hAnsi="Arial" w:cs="Arial"/>
          <w:sz w:val="18"/>
          <w:szCs w:val="18"/>
        </w:rPr>
        <w:t>A Isoetritólise Neonatal Equina (INE) é uma enfermidade isoimune caracterizada pela destruição das hemácias do neonato e se manifesta entre 2 a 24 horas após a ingestão do colostro</w:t>
      </w:r>
      <w:r>
        <w:rPr>
          <w:rFonts w:ascii="Arial" w:hAnsi="Arial" w:cs="Arial"/>
          <w:sz w:val="18"/>
          <w:szCs w:val="18"/>
          <w:vertAlign w:val="superscript"/>
        </w:rPr>
        <w:t>8</w:t>
      </w:r>
      <w:r>
        <w:rPr>
          <w:rFonts w:ascii="Arial" w:hAnsi="Arial" w:cs="Arial"/>
          <w:sz w:val="18"/>
          <w:szCs w:val="18"/>
        </w:rPr>
        <w:t>. Nessa doença, ocorre um processo de sensibilização e produção de anticorpos maternos em razão da incompatibilidade sanguínea do filhote herdada do pai</w:t>
      </w: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eastAsia="ArialMT" w:cs="Arial"/>
          <w:sz w:val="18"/>
          <w:szCs w:val="18"/>
        </w:rPr>
        <w:t>As raças puras possuem maior predisposição à enfermidade com até 2% de prevalência, enquanto que em muares, esse índice chega até 10%</w:t>
      </w:r>
      <w:r>
        <w:rPr>
          <w:rFonts w:ascii="Arial" w:hAnsi="Arial" w:eastAsia="ArialMT" w:cs="Arial"/>
          <w:sz w:val="18"/>
          <w:szCs w:val="18"/>
          <w:vertAlign w:val="superscript"/>
        </w:rPr>
        <w:t xml:space="preserve">7. </w:t>
      </w:r>
      <w:r>
        <w:rPr>
          <w:rFonts w:ascii="Arial" w:hAnsi="Arial" w:eastAsia="ArialMT" w:cs="Arial"/>
          <w:sz w:val="18"/>
          <w:szCs w:val="18"/>
        </w:rPr>
        <w:t>Processos de transfusão sanguínea incompatível, patologias placentárias, pluridade ou exposição ao sangue fetal durante a parturição contribuem para seu desenvolvimento</w:t>
      </w:r>
      <w:r>
        <w:rPr>
          <w:rFonts w:ascii="Arial" w:hAnsi="Arial" w:eastAsia="ArialMT" w:cs="Arial"/>
          <w:sz w:val="18"/>
          <w:szCs w:val="18"/>
          <w:vertAlign w:val="superscript"/>
        </w:rPr>
        <w:t>9.</w:t>
      </w:r>
      <w:r>
        <w:rPr>
          <w:rFonts w:ascii="Arial" w:hAnsi="Arial" w:eastAsia="ArialMT" w:cs="Arial"/>
          <w:sz w:val="18"/>
          <w:szCs w:val="18"/>
        </w:rPr>
        <w:t xml:space="preserve"> Os sinais clínicos são inespecíficos como apatia, depressão, fadiga, redução do reflexo de sucção, </w:t>
      </w:r>
      <w:r>
        <w:rPr>
          <w:rFonts w:ascii="Arial" w:hAnsi="Arial" w:eastAsia="SimSun" w:cs="Arial"/>
          <w:sz w:val="18"/>
          <w:szCs w:val="18"/>
        </w:rPr>
        <w:t xml:space="preserve">decúbito lateral ou esternal, </w:t>
      </w:r>
      <w:r>
        <w:rPr>
          <w:rFonts w:ascii="Arial" w:hAnsi="Arial" w:eastAsia="ArialMT" w:cs="Arial"/>
          <w:sz w:val="18"/>
          <w:szCs w:val="18"/>
        </w:rPr>
        <w:t xml:space="preserve">anemia hemolítica e icterícia, de </w:t>
      </w:r>
      <w:r>
        <w:rPr>
          <w:rFonts w:ascii="Arial" w:hAnsi="Arial" w:eastAsia="SimSun" w:cs="Arial"/>
          <w:sz w:val="18"/>
          <w:szCs w:val="18"/>
        </w:rPr>
        <w:t>evolução rápida para morte nos casos não tratados</w:t>
      </w:r>
      <w:r>
        <w:rPr>
          <w:rFonts w:ascii="Arial" w:hAnsi="Arial" w:eastAsia="SimSun" w:cs="Arial"/>
          <w:sz w:val="18"/>
          <w:szCs w:val="18"/>
          <w:vertAlign w:val="superscript"/>
        </w:rPr>
        <w:t>2,1</w:t>
      </w:r>
      <w:r>
        <w:rPr>
          <w:rFonts w:ascii="Arial" w:hAnsi="Arial" w:eastAsia="SimSun" w:cs="Arial"/>
          <w:sz w:val="18"/>
          <w:szCs w:val="18"/>
        </w:rPr>
        <w:t>.</w:t>
      </w:r>
      <w:r>
        <w:rPr>
          <w:rFonts w:ascii="Arial" w:hAnsi="Arial" w:eastAsia="SimSun" w:cs="Arial"/>
          <w:sz w:val="18"/>
          <w:szCs w:val="18"/>
          <w:vertAlign w:val="superscript"/>
        </w:rPr>
        <w:t xml:space="preserve"> </w:t>
      </w:r>
      <w:r>
        <w:rPr>
          <w:rFonts w:ascii="Arial" w:hAnsi="Arial" w:eastAsia="ArialMT" w:cs="Arial"/>
          <w:sz w:val="18"/>
          <w:szCs w:val="18"/>
        </w:rPr>
        <w:t>A gravidade varia de acordo com a quantidade de aloanticorpos maternos produzidos e absorvidos pelo neonato</w:t>
      </w:r>
      <w:r>
        <w:rPr>
          <w:rFonts w:ascii="Arial" w:hAnsi="Arial" w:eastAsia="ArialMT" w:cs="Arial"/>
          <w:sz w:val="18"/>
          <w:szCs w:val="18"/>
          <w:vertAlign w:val="superscript"/>
        </w:rPr>
        <w:t>4</w:t>
      </w:r>
      <w:r>
        <w:rPr>
          <w:rFonts w:ascii="Arial" w:hAnsi="Arial" w:eastAsia="ArialMT" w:cs="Arial"/>
          <w:sz w:val="18"/>
          <w:szCs w:val="18"/>
        </w:rPr>
        <w:t>.</w:t>
      </w:r>
      <w:r>
        <w:rPr>
          <w:rFonts w:ascii="Arial" w:hAnsi="Arial" w:eastAsia="SimSun" w:cs="Arial"/>
          <w:sz w:val="18"/>
          <w:szCs w:val="18"/>
        </w:rPr>
        <w:t xml:space="preserve"> Em c</w:t>
      </w:r>
      <w:r>
        <w:rPr>
          <w:rFonts w:ascii="Arial" w:hAnsi="Arial" w:eastAsia="ArialMT" w:cs="Arial"/>
          <w:sz w:val="18"/>
          <w:szCs w:val="18"/>
        </w:rPr>
        <w:t>asos hiperagudos, os sinais ocorrem entre 8 a 36 horas de nascimento com alta taxa de mortalidade devido ao quadro de choque e grave hemoglobinúria. Nos casos agudos,  há presença de icterícia acentuada e se manifesta após as primeiras 48 horas de vida. Já na fase subaguda, os sinais aparecem após 5 dias de nascimento, com a presença de icterícia, discreta palidez das mucosas sem evidência de hemoglobinúria</w:t>
      </w:r>
      <w:r>
        <w:rPr>
          <w:rFonts w:ascii="Arial" w:hAnsi="Arial" w:eastAsia="ArialMT" w:cs="Arial"/>
          <w:sz w:val="18"/>
          <w:szCs w:val="18"/>
          <w:vertAlign w:val="superscript"/>
        </w:rPr>
        <w:t>5</w:t>
      </w:r>
      <w:r>
        <w:rPr>
          <w:rFonts w:ascii="Arial" w:hAnsi="Arial" w:eastAsia="ArialMT" w:cs="Arial"/>
          <w:sz w:val="18"/>
          <w:szCs w:val="18"/>
        </w:rPr>
        <w:t>. O diagnóstico pode ser presuntivo através dos sinais clínicos, quando há anemia e o histórico da mãe. A confirmação se dá pela identificação dos grupos sanguíneos dos equinos ou por testes hemolíticos, de antiglobulinas e aglutinação que avaliam a compatibilidade entre mãe e neonato</w:t>
      </w:r>
      <w:r>
        <w:rPr>
          <w:rFonts w:ascii="Arial" w:hAnsi="Arial" w:eastAsia="ArialMT" w:cs="Arial"/>
          <w:sz w:val="18"/>
          <w:szCs w:val="18"/>
          <w:vertAlign w:val="superscript"/>
        </w:rPr>
        <w:t>4</w:t>
      </w:r>
      <w:r>
        <w:rPr>
          <w:rFonts w:ascii="Arial" w:hAnsi="Arial" w:eastAsia="ArialMT" w:cs="Arial"/>
          <w:sz w:val="18"/>
          <w:szCs w:val="18"/>
        </w:rPr>
        <w:t>. Para o tratamento, é indicado inicialmente a restrição da ingestão de colostro pelo neonato por até 48 horas</w:t>
      </w:r>
      <w:r>
        <w:rPr>
          <w:rFonts w:ascii="Arial" w:hAnsi="Arial" w:eastAsia="ArialMT" w:cs="Arial"/>
          <w:sz w:val="18"/>
          <w:szCs w:val="18"/>
          <w:vertAlign w:val="superscript"/>
        </w:rPr>
        <w:t>5</w:t>
      </w:r>
      <w:r>
        <w:rPr>
          <w:rFonts w:ascii="Arial" w:hAnsi="Arial" w:eastAsia="ArialMT" w:cs="Arial"/>
          <w:sz w:val="18"/>
          <w:szCs w:val="18"/>
        </w:rPr>
        <w:t>. Em alguns casos, é necessário terapia intensiva com antibioticoterapia, corticoterapia, oxigenoterapia, fluidoterapia ou ainda, transfusão sanguínea. Em casos brandos, necessita-se apenas de manejo nutricional e ambiental</w:t>
      </w:r>
      <w:r>
        <w:rPr>
          <w:rFonts w:ascii="Arial" w:hAnsi="Arial" w:eastAsia="ArialMT" w:cs="Arial"/>
          <w:sz w:val="18"/>
          <w:szCs w:val="18"/>
          <w:vertAlign w:val="superscript"/>
        </w:rPr>
        <w:t>3</w:t>
      </w:r>
      <w:r>
        <w:rPr>
          <w:rFonts w:ascii="Arial" w:hAnsi="Arial" w:eastAsia="ArialMT" w:cs="Arial"/>
          <w:sz w:val="18"/>
          <w:szCs w:val="18"/>
        </w:rPr>
        <w:t xml:space="preserve">. </w:t>
      </w:r>
      <w:r>
        <w:rPr>
          <w:rFonts w:ascii="Arial" w:hAnsi="Arial" w:eastAsia="SimSun" w:cs="Arial"/>
          <w:sz w:val="18"/>
          <w:szCs w:val="18"/>
        </w:rPr>
        <w:t>O prognóstico depende do grau de acometimento ao recém-nascido</w:t>
      </w:r>
      <w:r>
        <w:rPr>
          <w:rFonts w:ascii="Arial" w:hAnsi="Arial" w:eastAsia="SimSun" w:cs="Arial"/>
          <w:sz w:val="18"/>
          <w:szCs w:val="18"/>
          <w:vertAlign w:val="superscript"/>
        </w:rPr>
        <w:t>7</w:t>
      </w:r>
      <w:r>
        <w:rPr>
          <w:rFonts w:ascii="Arial" w:hAnsi="Arial" w:eastAsia="SimSun" w:cs="Arial"/>
          <w:sz w:val="18"/>
          <w:szCs w:val="18"/>
        </w:rPr>
        <w:t>.</w:t>
      </w:r>
      <w:r>
        <w:rPr>
          <w:rFonts w:hint="default" w:ascii="Arial" w:hAnsi="Arial" w:eastAsia="SimSun" w:cs="Arial"/>
          <w:sz w:val="18"/>
          <w:szCs w:val="18"/>
          <w:lang w:val="pt-BR"/>
        </w:rPr>
        <w:t xml:space="preserve"> </w:t>
      </w:r>
      <w:bookmarkStart w:id="0" w:name="_GoBack"/>
      <w:bookmarkEnd w:id="0"/>
      <w:r>
        <w:rPr>
          <w:rFonts w:ascii="Arial" w:hAnsi="Arial" w:eastAsia="ArialMT" w:cs="Arial"/>
          <w:sz w:val="18"/>
          <w:szCs w:val="18"/>
        </w:rPr>
        <w:t xml:space="preserve">A aplicação de medidas preventivas ainda é a melhor forma para a não incidência da </w:t>
      </w:r>
      <w:r>
        <w:rPr>
          <w:rFonts w:hint="default" w:ascii="Arial" w:hAnsi="Arial" w:eastAsia="ArialMT" w:cs="Arial"/>
          <w:color w:val="auto"/>
          <w:sz w:val="18"/>
          <w:szCs w:val="18"/>
        </w:rPr>
        <w:t>INE</w:t>
      </w:r>
      <w:r>
        <w:rPr>
          <w:rFonts w:hint="default" w:ascii="Arial" w:hAnsi="Arial" w:eastAsia="ArialMT" w:cs="Arial"/>
          <w:color w:val="auto"/>
          <w:sz w:val="18"/>
          <w:szCs w:val="18"/>
          <w:vertAlign w:val="superscript"/>
        </w:rPr>
        <w:t>8</w:t>
      </w:r>
      <w:r>
        <w:rPr>
          <w:rFonts w:hint="default" w:ascii="Arial" w:hAnsi="Arial" w:eastAsia="ArialMT" w:cs="Arial"/>
          <w:color w:val="auto"/>
          <w:sz w:val="18"/>
          <w:szCs w:val="18"/>
        </w:rPr>
        <w:t xml:space="preserve">. </w:t>
      </w:r>
      <w:r>
        <w:rPr>
          <w:rFonts w:hint="default" w:ascii="Arial" w:hAnsi="Arial" w:eastAsia="Helvetica" w:cs="Arial"/>
          <w:i w:val="0"/>
          <w:caps w:val="0"/>
          <w:color w:val="auto"/>
          <w:spacing w:val="0"/>
          <w:sz w:val="18"/>
          <w:szCs w:val="18"/>
          <w:shd w:val="clear" w:color="auto" w:fill="auto"/>
        </w:rPr>
        <w:t>O presente trabalho tem como objetivo relatar o caso de isoeritrólise neonatal, suas complicações, e apresentar as técnicas de diagnóstico da doença</w:t>
      </w:r>
      <w:r>
        <w:rPr>
          <w:rFonts w:hint="default" w:ascii="Arial" w:hAnsi="Arial" w:eastAsia="Helvetica" w:cs="Arial"/>
          <w:i w:val="0"/>
          <w:caps w:val="0"/>
          <w:color w:val="auto"/>
          <w:spacing w:val="0"/>
          <w:sz w:val="18"/>
          <w:szCs w:val="18"/>
          <w:shd w:val="clear" w:color="auto" w:fill="auto"/>
          <w:lang w:val="pt-BR"/>
        </w:rPr>
        <w:t>.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Arial" w:hAnsi="Arial" w:eastAsia="ArialMT" w:cs="Arial"/>
          <w:color w:val="auto"/>
          <w:kern w:val="0"/>
          <w:sz w:val="18"/>
          <w:szCs w:val="18"/>
          <w:lang w:val="pt-BR" w:eastAsia="zh-CN" w:bidi="ar"/>
        </w:rPr>
      </w:pPr>
    </w:p>
    <w:p>
      <w:pPr>
        <w:pStyle w:val="5"/>
        <w:pBdr>
          <w:bottom w:val="single" w:color="auto" w:sz="4" w:space="1"/>
        </w:pBdr>
        <w:jc w:val="both"/>
        <w:rPr>
          <w:b/>
          <w:bCs/>
        </w:rPr>
      </w:pPr>
      <w:r>
        <w:rPr>
          <w:b/>
          <w:bCs/>
        </w:rPr>
        <w:t xml:space="preserve">RELATO DE CASO E DISCUSSÃO </w:t>
      </w:r>
    </w:p>
    <w:p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eastAsia="ArialMT" w:cs="Arial"/>
          <w:sz w:val="18"/>
          <w:szCs w:val="18"/>
        </w:rPr>
        <w:t xml:space="preserve">Em um parto anterior, uma égua gestante da raça Mangalarga Marchador, com 5 anos de idade amanheceu parida em uma propriedade situada no município de Florestal - MG. O animal apresentava histórico de uma parição cujo recém-nascido foi encontrado muito fraco, com icterícia , febre, letargia e veio a óbito. Diante dessas informações, a veterinária responsável suspeitou de um caso de isoeritrólise neonatal e então deu-se início à produção de um banco de colostro preventivamente à morte dos futuros neonatos oriundos dessa égua. A 30 dias do parto, a égua foi acompanhada e observada quanto a sua produção de colostro para ordenha e testagem de aglutinação. No entanto, ela apresentou deficiência na produção do mesmo antes do parto. A nova potra nasceu sem complicações e encontrava-se muito bem, com os parâmetros vitais normais e esperta, mas já havia mamado antes da percepção dos funcionários da fazenda que foram orientados previamente pela separação entre mãe e neonato, logo após o nascimento. Como o filhote não apresentou alterações comportamentais, o gerente da fazenda optou pela não separação. Após 24 horas do nascimento, a veterinária foi informada de que a potra </w:t>
      </w:r>
      <w:r>
        <w:rPr>
          <w:rFonts w:ascii="Arial" w:hAnsi="Arial" w:eastAsia="ArialMT" w:cs="Arial"/>
          <w:sz w:val="18"/>
          <w:szCs w:val="18"/>
          <w:highlight w:val="none"/>
        </w:rPr>
        <w:t>encontrava-se</w:t>
      </w:r>
      <w:r>
        <w:rPr>
          <w:rFonts w:ascii="Arial" w:hAnsi="Arial" w:eastAsia="ArialMT" w:cs="Arial"/>
          <w:sz w:val="18"/>
          <w:szCs w:val="18"/>
        </w:rPr>
        <w:t xml:space="preserve"> debilitada, com desidratação, ictérica, mucosas pálidas, sinais vitais baixos, letárgica e hipotérmica. Foi colhido seu sangue e realizado o </w:t>
      </w:r>
      <w:r>
        <w:rPr>
          <w:rFonts w:ascii="Arial" w:hAnsi="Arial" w:eastAsia="ArialMT" w:cs="Arial"/>
          <w:i/>
          <w:iCs/>
          <w:sz w:val="18"/>
          <w:szCs w:val="18"/>
        </w:rPr>
        <w:t>teste de Coombs</w:t>
      </w:r>
      <w:r>
        <w:rPr>
          <w:rFonts w:ascii="Arial" w:hAnsi="Arial" w:eastAsia="ArialMT" w:cs="Arial"/>
          <w:sz w:val="18"/>
          <w:szCs w:val="18"/>
        </w:rPr>
        <w:t xml:space="preserve"> com o colostro materno diluído em solução salina para o fechamento do diagnóstico. O teste apresentou reação de aglutinação nas diluições de 1:8 e 1:16 (Fig.1) confirmando, desta forma, a casuística de isoetrilólise. Ainda tentou-se o tratamento suporte do neonato com fluidoterapia, corticoterapia e antibióticoterapia. Ainda assim, ela não resistiu e veio à óbito (Fig.2). De acordo com vários trabalhos, a INE pode ser confundida com algumas patologias neonatais não somente pela ocorrência de mortalidade nas primeiras 24 horas de vida bem como apresentar sintomatologia inespecífica de hipóxia, isquemia e alterações sistêmicas. Referente à primeira, são exemplos os casos de dismaturidade e síndrome do mau ajustamento neonatal (SMA). Na necropsia</w:t>
      </w:r>
      <w:r>
        <w:rPr>
          <w:rFonts w:ascii="Arial" w:hAnsi="Arial" w:eastAsia="SimSun" w:cs="Arial"/>
          <w:sz w:val="18"/>
          <w:szCs w:val="18"/>
        </w:rPr>
        <w:t xml:space="preserve"> também apresenta achados semelhantes ao da piroplasmose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highlight w:val="none"/>
        </w:rPr>
        <w:t>(sangue aquoso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highlight w:val="none"/>
        </w:rPr>
        <w:t xml:space="preserve">tecido cutâneo </w:t>
      </w:r>
      <w:r>
        <w:rPr>
          <w:rFonts w:ascii="Arial" w:hAnsi="Arial" w:cs="Arial"/>
          <w:sz w:val="18"/>
          <w:szCs w:val="18"/>
        </w:rPr>
        <w:t>ict</w:t>
      </w:r>
      <w:r>
        <w:rPr>
          <w:rFonts w:ascii="Arial" w:hAnsi="Arial" w:cs="Arial"/>
          <w:sz w:val="18"/>
          <w:szCs w:val="18"/>
          <w:highlight w:val="none"/>
        </w:rPr>
        <w:t xml:space="preserve">érico, </w:t>
      </w:r>
      <w:r>
        <w:rPr>
          <w:rFonts w:ascii="Arial" w:hAnsi="Arial" w:cs="Arial"/>
          <w:sz w:val="18"/>
          <w:szCs w:val="18"/>
        </w:rPr>
        <w:t>edema</w:t>
      </w:r>
      <w:r>
        <w:rPr>
          <w:rFonts w:ascii="Arial" w:hAnsi="Arial" w:cs="Arial"/>
          <w:sz w:val="18"/>
          <w:szCs w:val="18"/>
          <w:highlight w:val="none"/>
        </w:rPr>
        <w:t xml:space="preserve">, </w:t>
      </w:r>
      <w:r>
        <w:rPr>
          <w:rFonts w:ascii="Arial" w:hAnsi="Arial" w:cs="Arial"/>
          <w:sz w:val="18"/>
          <w:szCs w:val="18"/>
        </w:rPr>
        <w:t>esplenomegalia</w:t>
      </w:r>
      <w:r>
        <w:rPr>
          <w:rFonts w:ascii="Arial" w:hAnsi="Arial" w:cs="Arial"/>
          <w:sz w:val="18"/>
          <w:szCs w:val="18"/>
          <w:highlight w:val="none"/>
        </w:rPr>
        <w:t xml:space="preserve"> e hepatomegalia com coloração vermelho alaranjada</w:t>
      </w:r>
      <w:r>
        <w:rPr>
          <w:rFonts w:ascii="Arial" w:hAnsi="Arial" w:cs="Arial"/>
          <w:sz w:val="18"/>
          <w:szCs w:val="18"/>
        </w:rPr>
        <w:t xml:space="preserve">).  </w:t>
      </w:r>
      <w:r>
        <w:rPr>
          <w:rFonts w:ascii="Arial" w:hAnsi="Arial" w:eastAsia="ArialMT" w:cs="Arial"/>
          <w:sz w:val="18"/>
          <w:szCs w:val="18"/>
        </w:rPr>
        <w:t>Contudo, na INE, os potros nascem saudáveis e são acometidos somente após a ingestão do colostro. Por isso é importante a adoção do manejo preventivo e observação do período de desenvolvimento dos sinais que, no presente caso, foram ignorados, até a diferenciação diagnóstica.</w:t>
      </w:r>
    </w:p>
    <w:p>
      <w:pPr>
        <w:jc w:val="center"/>
        <w:rPr>
          <w:rFonts w:ascii="Arial" w:hAnsi="Arial" w:cs="Arial"/>
          <w:color w:val="000000"/>
          <w:sz w:val="18"/>
        </w:rPr>
      </w:pPr>
    </w:p>
    <w:p>
      <w:pPr>
        <w:jc w:val="center"/>
        <w:rPr>
          <w:rFonts w:ascii="Arial" w:hAnsi="Arial" w:cs="Arial"/>
          <w:color w:val="000000"/>
          <w:sz w:val="18"/>
        </w:rPr>
      </w:pPr>
    </w:p>
    <w:p>
      <w:pPr>
        <w:jc w:val="center"/>
        <w:rPr>
          <w:rFonts w:ascii="Arial" w:hAnsi="Arial" w:cs="Arial"/>
          <w:color w:val="000000"/>
          <w:sz w:val="18"/>
        </w:rPr>
      </w:pPr>
      <w:r>
        <w:rPr>
          <w:sz w:val="18"/>
        </w:rPr>
        <w:pict>
          <v:shape id="Caixa de Texto 6" o:spid="_x0000_s2050" o:spt="202" type="#_x0000_t202" style="position:absolute;left:0pt;margin-left:130pt;margin-top:63.55pt;height:33pt;width:26.9pt;z-index:251659264;mso-width-relative:page;mso-height-relative:page;" filled="f" stroked="f" coordsize="21600,21600" o:gfxdata="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Tjljm&#10;2gAAAAoBAAAPAAAAAAAAAAEAIAAAACIAAABkcnMvZG93bnJldi54bWxQSwECFAAUAAAACACHTuJA&#10;OEz0+a0BAABAAwAADgAAAAAAAAABACAAAAApAQAAZHJzL2Uyb0RvYy54bWxQSwUGAAAAAAYABgBZ&#10;AQAAS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default"/>
                      <w:b/>
                      <w:bCs/>
                      <w:color w:val="000000" w:themeColor="text1"/>
                      <w:sz w:val="40"/>
                      <w:szCs w:val="40"/>
                      <w:lang w:val="pt-BR"/>
                    </w:rPr>
                  </w:pPr>
                  <w:r>
                    <w:rPr>
                      <w:rFonts w:hint="default"/>
                      <w:b/>
                      <w:bCs/>
                      <w:color w:val="000000" w:themeColor="text1"/>
                      <w:sz w:val="40"/>
                      <w:szCs w:val="40"/>
                      <w:lang w:val="pt-BR"/>
                    </w:rPr>
                    <w:t>2</w:t>
                  </w:r>
                </w:p>
              </w:txbxContent>
            </v:textbox>
          </v:shape>
        </w:pic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794385</wp:posOffset>
                </wp:positionV>
                <wp:extent cx="341630" cy="4191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pt-BR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pt-BR"/>
                              </w:rPr>
                              <w:t>1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15pt;margin-top:62.55pt;height:33pt;width:26.9pt;z-index:251658240;mso-width-relative:page;mso-height-relative:page;" filled="f" stroked="f" coordsize="21600,21600" o:gfxdata="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pzvd7aAAAACQEAAA8A&#10;AAAAAAAAAQAgAAAAIgAAAGRycy9kb3ducmV2LnhtbFBLAQIUABQAAAAIAIdO4kD3iyO2owEAADQD&#10;AAAOAAAAAAAAAAEAIAAAACkBAABkcnMvZTJvRG9jLnhtbFBLBQYAAAAABgAGAFkBAAA+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000000" w:themeColor="text1"/>
                          <w:sz w:val="40"/>
                          <w:szCs w:val="40"/>
                          <w:lang w:val="pt-BR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40"/>
                          <w:szCs w:val="40"/>
                          <w:lang w:val="pt-B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485265" cy="1144905"/>
            <wp:effectExtent l="0" t="0" r="635" b="1714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87170" cy="1146810"/>
            <wp:effectExtent l="0" t="0" r="17780" b="1524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jc w:val="right"/>
        <w:rPr>
          <w:rFonts w:hint="default" w:ascii="Arial" w:hAnsi="Arial" w:cs="Arial"/>
          <w:color w:val="000000"/>
          <w:sz w:val="18"/>
          <w:lang w:val="pt-BR"/>
        </w:rPr>
      </w:pPr>
      <w:r>
        <w:rPr>
          <w:rFonts w:hint="default" w:ascii="Arial" w:hAnsi="Arial" w:cs="Arial"/>
          <w:color w:val="000000"/>
          <w:sz w:val="16"/>
          <w:szCs w:val="16"/>
          <w:lang w:val="pt-BR"/>
        </w:rPr>
        <w:t xml:space="preserve">           Fonte: Arquivo pessoal.</w:t>
      </w:r>
      <w:r>
        <w:rPr>
          <w:rFonts w:hint="default" w:ascii="Arial" w:hAnsi="Arial" w:cs="Arial"/>
          <w:color w:val="000000"/>
          <w:sz w:val="18"/>
          <w:lang w:val="pt-BR"/>
        </w:rPr>
        <w:t xml:space="preserve">          </w:t>
      </w:r>
    </w:p>
    <w:p>
      <w:pPr>
        <w:jc w:val="left"/>
        <w:rPr>
          <w:rFonts w:ascii="Arial" w:hAnsi="Arial" w:cs="Arial"/>
          <w:b/>
          <w:color w:val="000000"/>
          <w:sz w:val="18"/>
        </w:rPr>
      </w:pPr>
    </w:p>
    <w:p>
      <w:pPr>
        <w:pStyle w:val="2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Figura 1: </w:t>
      </w:r>
      <w:r>
        <w:rPr>
          <w:rFonts w:ascii="Arial" w:hAnsi="Arial" w:cs="Arial"/>
          <w:sz w:val="18"/>
          <w:szCs w:val="18"/>
        </w:rPr>
        <w:t xml:space="preserve">Teste de aglutinação positivo. </w:t>
      </w:r>
      <w:r>
        <w:rPr>
          <w:rFonts w:ascii="Arial" w:hAnsi="Arial" w:cs="Arial"/>
          <w:b/>
          <w:bCs/>
          <w:sz w:val="18"/>
          <w:szCs w:val="18"/>
        </w:rPr>
        <w:t xml:space="preserve">Figura 2: </w:t>
      </w:r>
      <w:r>
        <w:rPr>
          <w:rFonts w:ascii="Arial" w:hAnsi="Arial" w:cs="Arial"/>
          <w:sz w:val="18"/>
          <w:szCs w:val="18"/>
        </w:rPr>
        <w:t>Óbito aproximadamente 30 horas após a ingestão do colostro.</w:t>
      </w:r>
    </w:p>
    <w:p>
      <w:pPr>
        <w:jc w:val="both"/>
        <w:rPr>
          <w:rFonts w:ascii="Arial" w:hAnsi="Arial" w:cs="Arial"/>
          <w:sz w:val="18"/>
        </w:rPr>
      </w:pPr>
    </w:p>
    <w:p>
      <w:pPr>
        <w:pStyle w:val="5"/>
        <w:pBdr>
          <w:bottom w:val="single" w:color="auto" w:sz="4" w:space="1"/>
        </w:pBdr>
        <w:jc w:val="both"/>
        <w:rPr>
          <w:b/>
          <w:bCs/>
        </w:rPr>
      </w:pPr>
      <w:r>
        <w:rPr>
          <w:b/>
          <w:bCs/>
        </w:rPr>
        <w:t>CONSIDERAÇÕES FINAIS</w:t>
      </w:r>
    </w:p>
    <w:p>
      <w:pPr>
        <w:pStyle w:val="25"/>
        <w:jc w:val="both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ascii="Arial" w:hAnsi="Arial" w:eastAsia="ArialMT" w:cs="Arial"/>
          <w:sz w:val="18"/>
          <w:szCs w:val="18"/>
        </w:rPr>
        <w:t xml:space="preserve">O diagnóstico imediato da INE é imprescindível devido a rápida evolução da doença. As medidas preventivas devem ser baseadas na tipagem sanguínea oriunda de cruzamentos desconhecidos ou incompatíveis, </w:t>
      </w:r>
      <w:r>
        <w:rPr>
          <w:rFonts w:ascii="Arial" w:hAnsi="Arial" w:cs="Arial"/>
          <w:sz w:val="18"/>
          <w:szCs w:val="18"/>
        </w:rPr>
        <w:t xml:space="preserve">principalmente de </w:t>
      </w:r>
      <w:r>
        <w:rPr>
          <w:rFonts w:ascii="Arial" w:hAnsi="Arial" w:eastAsia="SimSun" w:cs="Arial"/>
          <w:sz w:val="18"/>
          <w:szCs w:val="18"/>
        </w:rPr>
        <w:t>animais de raças puras ou éguas multíparas sensibilizadas,</w:t>
      </w:r>
      <w:r>
        <w:rPr>
          <w:rFonts w:ascii="Arial" w:hAnsi="Arial" w:eastAsia="ArialMT" w:cs="Arial"/>
          <w:sz w:val="18"/>
          <w:szCs w:val="18"/>
        </w:rPr>
        <w:t xml:space="preserve"> teste de aglutinação para detecção de anticorpos e adoção do manejo adequado para filhotes potencialmente em risco.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rPr>
          <w:rFonts w:ascii="Arial" w:hAnsi="Arial" w:cs="Arial"/>
          <w:sz w:val="18"/>
        </w:rPr>
      </w:pPr>
      <w:r>
        <w:rPr>
          <w:rFonts w:ascii="SimSun" w:hAnsi="SimSun" w:eastAsia="SimSun" w:cs="SimSun"/>
          <w:sz w:val="24"/>
          <w:szCs w:val="24"/>
        </w:rPr>
        <w:t xml:space="preserve"> </w:t>
      </w:r>
    </w:p>
    <w:p>
      <w:pPr>
        <w:pStyle w:val="5"/>
        <w:pBdr>
          <w:bottom w:val="single" w:color="auto" w:sz="4" w:space="1"/>
        </w:pBdr>
        <w:jc w:val="both"/>
        <w:rPr>
          <w:b/>
          <w:bCs/>
        </w:rPr>
      </w:pPr>
      <w:r>
        <w:rPr>
          <w:b/>
          <w:bCs/>
        </w:rPr>
        <w:t>REFERÊNCI</w:t>
      </w:r>
      <w:r>
        <w:rPr>
          <w:rFonts w:hint="default"/>
          <w:b/>
          <w:bCs/>
          <w:lang w:val="pt-BR"/>
        </w:rPr>
        <w:t>AS</w:t>
      </w:r>
      <w:r>
        <w:rPr>
          <w:b/>
          <w:bCs/>
        </w:rPr>
        <w:t xml:space="preserve"> BIBLIOGRÁFICAS</w:t>
      </w:r>
    </w:p>
    <w:p>
      <w:pPr>
        <w:jc w:val="center"/>
        <w:rPr>
          <w:rFonts w:ascii="Arial" w:hAnsi="Arial" w:cs="Arial"/>
          <w:b/>
          <w:sz w:val="18"/>
        </w:rPr>
      </w:pPr>
    </w:p>
    <w:p>
      <w:pPr>
        <w:jc w:val="center"/>
        <w:rPr>
          <w:rFonts w:ascii="Arial" w:hAnsi="Arial" w:cs="Arial"/>
          <w:b/>
          <w:sz w:val="18"/>
        </w:rPr>
      </w:pPr>
    </w:p>
    <w:p>
      <w:pPr>
        <w:jc w:val="center"/>
        <w:rPr>
          <w:rFonts w:ascii="Arial" w:hAnsi="Arial" w:cs="Arial"/>
          <w:b/>
          <w:sz w:val="18"/>
        </w:rPr>
      </w:pPr>
      <w:r>
        <w:drawing>
          <wp:inline distT="0" distB="0" distL="0" distR="0">
            <wp:extent cx="719455" cy="71945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3" t="4213" r="4477" b="4759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Arial" w:hAnsi="Arial" w:cs="Arial"/>
          <w:b/>
          <w:sz w:val="18"/>
        </w:rPr>
      </w:pPr>
    </w:p>
    <w:p>
      <w:pPr>
        <w:jc w:val="both"/>
        <w:rPr>
          <w:rFonts w:ascii="Arial" w:hAnsi="Arial" w:cs="Arial"/>
          <w:b/>
          <w:sz w:val="18"/>
        </w:rPr>
      </w:pPr>
    </w:p>
    <w:p>
      <w:pPr>
        <w:jc w:val="center"/>
        <w:rPr>
          <w:rFonts w:ascii="Arial" w:hAnsi="Arial" w:cs="Arial"/>
          <w:b/>
          <w:sz w:val="18"/>
        </w:rPr>
      </w:pPr>
    </w:p>
    <w:p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APOIO:</w:t>
      </w:r>
    </w:p>
    <w:p>
      <w:pPr>
        <w:jc w:val="center"/>
        <w:rPr>
          <w:rFonts w:ascii="SimSun" w:hAnsi="SimSun" w:eastAsia="SimSun" w:cs="SimSun"/>
          <w:sz w:val="24"/>
          <w:szCs w:val="24"/>
        </w:rPr>
      </w:pPr>
      <w:r>
        <w:rPr>
          <w:rFonts w:ascii="Arial" w:hAnsi="Arial" w:cs="Arial"/>
          <w:b/>
          <w:sz w:val="14"/>
        </w:rPr>
        <w:t xml:space="preserve"> </w:t>
      </w:r>
      <w:r>
        <w:rPr>
          <w:rFonts w:hint="default" w:ascii="Arial" w:hAnsi="Arial" w:cs="Arial"/>
          <w:b/>
          <w:sz w:val="14"/>
          <w:lang w:val="pt-BR"/>
        </w:rPr>
        <w:drawing>
          <wp:inline distT="0" distB="0" distL="114300" distR="114300">
            <wp:extent cx="966470" cy="666115"/>
            <wp:effectExtent l="0" t="0" r="5080" b="635"/>
            <wp:docPr id="4" name="Imagem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720" w:right="424" w:bottom="720" w:left="426" w:header="708" w:footer="708" w:gutter="0"/>
      <w:cols w:space="402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Arial Rounded MT Bold" w:hAnsi="Arial Rounded MT Bold" w:eastAsia="Arial Unicode MS" w:cs="Arial Unicode MS"/>
        <w:color w:val="002060"/>
        <w:sz w:val="28"/>
      </w:rPr>
    </w:pPr>
    <w:r>
      <w:rPr>
        <w:rFonts w:ascii="Arial Rounded MT Bold" w:hAnsi="Arial Rounded MT Bold"/>
        <w:color w:val="002060"/>
        <w:sz w:val="18"/>
      </w:rPr>
      <w:pict>
        <v:shape id="_x0000_s4097" o:spid="_x0000_s4097" o:spt="75" type="#_x0000_t75" style="position:absolute;left:0pt;margin-left:468.35pt;margin-top:-9.9pt;height:56.7pt;width:62.3pt;mso-wrap-distance-left:9pt;mso-wrap-distance-right:9pt;z-index:-251658240;mso-width-relative:page;mso-height-relative:page;" filled="f" o:preferrelative="t" stroked="f" coordsize="21600,21600" wrapcoords="8877 967 3847 6125 2663 8704 1184 16442 1184 17409 7101 20310 8877 20310 16274 20310 17162 20310 18049 17731 18049 16442 20712 10316 19529 8704 11836 967 8877 967">
          <v:path/>
          <v:fill on="f" focussize="0,0"/>
          <v:stroke on="f" joinstyle="miter"/>
          <v:imagedata r:id="rId1" cropleft="2599f" cropright="4116f" cropbottom="12664f" o:title="coloquilogo"/>
          <o:lock v:ext="edit" aspectratio="t"/>
          <w10:wrap type="through"/>
        </v:shape>
      </w:pict>
    </w:r>
    <w:r>
      <w:rPr>
        <w:rFonts w:ascii="Arial Rounded MT Bold" w:hAnsi="Arial Rounded MT Bold" w:eastAsia="Arial Unicode MS" w:cs="Arial Unicode MS"/>
        <w:color w:val="002060"/>
        <w:sz w:val="28"/>
      </w:rPr>
      <w:t xml:space="preserve">VI Colóquio Técnico Científico de Saúde Única, </w:t>
    </w:r>
  </w:p>
  <w:p>
    <w:pPr>
      <w:pStyle w:val="6"/>
      <w:jc w:val="center"/>
      <w:rPr>
        <w:rFonts w:ascii="Arial Rounded MT Bold" w:hAnsi="Arial Rounded MT Bold" w:eastAsia="Arial Unicode MS" w:cs="Arial Unicode MS"/>
        <w:color w:val="002060"/>
        <w:sz w:val="16"/>
      </w:rPr>
    </w:pPr>
    <w:r>
      <w:rPr>
        <w:rFonts w:ascii="Arial Rounded MT Bold" w:hAnsi="Arial Rounded MT Bold" w:eastAsia="Arial Unicode MS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3D6782"/>
    <w:rsid w:val="00017875"/>
    <w:rsid w:val="0007204F"/>
    <w:rsid w:val="00073A0F"/>
    <w:rsid w:val="000B50B8"/>
    <w:rsid w:val="000D2072"/>
    <w:rsid w:val="00130AD3"/>
    <w:rsid w:val="00134721"/>
    <w:rsid w:val="001A5C84"/>
    <w:rsid w:val="001D1C3F"/>
    <w:rsid w:val="00242601"/>
    <w:rsid w:val="0024512E"/>
    <w:rsid w:val="00285B52"/>
    <w:rsid w:val="00295A0F"/>
    <w:rsid w:val="002F1618"/>
    <w:rsid w:val="00305F4B"/>
    <w:rsid w:val="00343752"/>
    <w:rsid w:val="003D6782"/>
    <w:rsid w:val="00411A99"/>
    <w:rsid w:val="004527F2"/>
    <w:rsid w:val="004C7FDF"/>
    <w:rsid w:val="00522953"/>
    <w:rsid w:val="005864D4"/>
    <w:rsid w:val="00615BEE"/>
    <w:rsid w:val="00616238"/>
    <w:rsid w:val="00626EC3"/>
    <w:rsid w:val="006712EC"/>
    <w:rsid w:val="0067418F"/>
    <w:rsid w:val="006A7E7C"/>
    <w:rsid w:val="00717CB1"/>
    <w:rsid w:val="007A1EE5"/>
    <w:rsid w:val="007A6765"/>
    <w:rsid w:val="007C3386"/>
    <w:rsid w:val="007F4630"/>
    <w:rsid w:val="00842425"/>
    <w:rsid w:val="00907773"/>
    <w:rsid w:val="00A63DA2"/>
    <w:rsid w:val="00A650D4"/>
    <w:rsid w:val="00A95EDE"/>
    <w:rsid w:val="00C15B7B"/>
    <w:rsid w:val="00C52E0A"/>
    <w:rsid w:val="00CD3E24"/>
    <w:rsid w:val="00EE1D93"/>
    <w:rsid w:val="00F13307"/>
    <w:rsid w:val="00F47AFA"/>
    <w:rsid w:val="00F95082"/>
    <w:rsid w:val="00FB2132"/>
    <w:rsid w:val="04BA7444"/>
    <w:rsid w:val="0B261D2E"/>
    <w:rsid w:val="0B552770"/>
    <w:rsid w:val="0C082958"/>
    <w:rsid w:val="0FB02D39"/>
    <w:rsid w:val="15DF53D7"/>
    <w:rsid w:val="186B3373"/>
    <w:rsid w:val="18CD7417"/>
    <w:rsid w:val="19AC35A5"/>
    <w:rsid w:val="1D797103"/>
    <w:rsid w:val="1E755BAB"/>
    <w:rsid w:val="215C6690"/>
    <w:rsid w:val="223A4646"/>
    <w:rsid w:val="295C1E64"/>
    <w:rsid w:val="2DFB5D84"/>
    <w:rsid w:val="311901DD"/>
    <w:rsid w:val="340E6556"/>
    <w:rsid w:val="351E2138"/>
    <w:rsid w:val="35BF4356"/>
    <w:rsid w:val="454C0737"/>
    <w:rsid w:val="466928F1"/>
    <w:rsid w:val="472A373F"/>
    <w:rsid w:val="4F3D0F03"/>
    <w:rsid w:val="52563E80"/>
    <w:rsid w:val="549E61E1"/>
    <w:rsid w:val="66B64D48"/>
    <w:rsid w:val="793D784E"/>
    <w:rsid w:val="7CC17DCD"/>
    <w:rsid w:val="7E467FA2"/>
    <w:rsid w:val="7FC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paragraph" w:styleId="2">
    <w:name w:val="heading 3"/>
    <w:basedOn w:val="1"/>
    <w:next w:val="1"/>
    <w:link w:val="19"/>
    <w:qFormat/>
    <w:uiPriority w:val="99"/>
    <w:pPr>
      <w:keepNext/>
      <w:pBdr>
        <w:bottom w:val="single" w:color="auto" w:sz="6" w:space="1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3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qFormat/>
    <w:uiPriority w:val="99"/>
    <w:pPr>
      <w:jc w:val="center"/>
    </w:pPr>
    <w:rPr>
      <w:color w:val="FF0000"/>
    </w:rPr>
  </w:style>
  <w:style w:type="paragraph" w:styleId="5">
    <w:name w:val="Body Text 2"/>
    <w:basedOn w:val="1"/>
    <w:link w:val="18"/>
    <w:qFormat/>
    <w:uiPriority w:val="99"/>
    <w:rPr>
      <w:rFonts w:ascii="Arial" w:hAnsi="Arial" w:cs="Arial"/>
      <w:color w:val="000000"/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footnote text"/>
    <w:basedOn w:val="1"/>
    <w:link w:val="22"/>
    <w:semiHidden/>
    <w:unhideWhenUsed/>
    <w:qFormat/>
    <w:uiPriority w:val="99"/>
  </w:style>
  <w:style w:type="paragraph" w:styleId="10">
    <w:name w:val="Body Text Indent"/>
    <w:basedOn w:val="1"/>
    <w:link w:val="21"/>
    <w:semiHidden/>
    <w:unhideWhenUsed/>
    <w:uiPriority w:val="99"/>
    <w:pPr>
      <w:spacing w:after="120"/>
      <w:ind w:left="283"/>
    </w:pPr>
  </w:style>
  <w:style w:type="character" w:styleId="12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3">
    <w:name w:val="footnote reference"/>
    <w:basedOn w:val="11"/>
    <w:semiHidden/>
    <w:unhideWhenUsed/>
    <w:uiPriority w:val="99"/>
    <w:rPr>
      <w:vertAlign w:val="superscript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customStyle="1" w:styleId="16">
    <w:name w:val="Texto de comentário Char"/>
    <w:basedOn w:val="11"/>
    <w:link w:val="4"/>
    <w:semiHidden/>
    <w:qFormat/>
    <w:uiPriority w:val="99"/>
    <w:rPr>
      <w:rFonts w:ascii="Times New Roman" w:hAnsi="Times New Roman" w:eastAsia="Times New Roman" w:cs="Times New Roman"/>
      <w:color w:val="FF0000"/>
      <w:sz w:val="20"/>
      <w:szCs w:val="20"/>
      <w:lang w:eastAsia="pt-BR"/>
    </w:rPr>
  </w:style>
  <w:style w:type="character" w:customStyle="1" w:styleId="17">
    <w:name w:val="Texto de balão Char"/>
    <w:basedOn w:val="11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pt-BR"/>
    </w:rPr>
  </w:style>
  <w:style w:type="character" w:customStyle="1" w:styleId="18">
    <w:name w:val="Corpo de texto 2 Char"/>
    <w:basedOn w:val="11"/>
    <w:link w:val="5"/>
    <w:qFormat/>
    <w:uiPriority w:val="99"/>
    <w:rPr>
      <w:rFonts w:ascii="Arial" w:hAnsi="Arial" w:eastAsia="Times New Roman" w:cs="Arial"/>
      <w:color w:val="000000"/>
      <w:sz w:val="18"/>
      <w:szCs w:val="18"/>
      <w:lang w:eastAsia="pt-BR"/>
    </w:rPr>
  </w:style>
  <w:style w:type="character" w:customStyle="1" w:styleId="19">
    <w:name w:val="Título 3 Char"/>
    <w:basedOn w:val="11"/>
    <w:link w:val="2"/>
    <w:qFormat/>
    <w:uiPriority w:val="99"/>
    <w:rPr>
      <w:rFonts w:ascii="Arial" w:hAnsi="Arial" w:eastAsia="Times New Roman" w:cs="Arial"/>
      <w:b/>
      <w:bCs/>
      <w:sz w:val="18"/>
      <w:szCs w:val="18"/>
      <w:lang w:eastAsia="pt-BR"/>
    </w:rPr>
  </w:style>
  <w:style w:type="character" w:customStyle="1" w:styleId="20">
    <w:name w:val="Título 4 Char"/>
    <w:basedOn w:val="11"/>
    <w:link w:val="3"/>
    <w:semiHidden/>
    <w:qFormat/>
    <w:uiPriority w:val="9"/>
    <w:rPr>
      <w:rFonts w:asciiTheme="majorHAnsi" w:hAnsiTheme="majorHAnsi" w:eastAsiaTheme="majorEastAsia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21">
    <w:name w:val="Recuo de corpo de texto Char"/>
    <w:basedOn w:val="11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2">
    <w:name w:val="Texto de nota de rodapé Char"/>
    <w:basedOn w:val="11"/>
    <w:link w:val="9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3">
    <w:name w:val="Cabeçalho Char"/>
    <w:basedOn w:val="11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4">
    <w:name w:val="Rodapé Char"/>
    <w:basedOn w:val="11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2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205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4D2C1-7467-4404-9FA8-3FDB80B294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3148</Characters>
  <Lines>26</Lines>
  <Paragraphs>7</Paragraphs>
  <TotalTime>11</TotalTime>
  <ScaleCrop>false</ScaleCrop>
  <LinksUpToDate>false</LinksUpToDate>
  <CharactersWithSpaces>3723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2018-10-26T14:15:00Z</dcterms:created>
  <dc:creator>Pri Sadanã</dc:creator>
  <cp:lastModifiedBy>google1592320194</cp:lastModifiedBy>
  <dcterms:modified xsi:type="dcterms:W3CDTF">2020-10-14T12:47:24Z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