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E236" w14:textId="00317E32" w:rsidR="003D6782" w:rsidRPr="003D6782" w:rsidRDefault="006B5CB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Uso do Plasma Rico em plaquetas (prp) no tratamento de endometrite pós cobertura ou inseminação artificial</w:t>
      </w:r>
      <w:r w:rsidR="00EB070D">
        <w:rPr>
          <w:rFonts w:ascii="Arial" w:hAnsi="Arial" w:cs="Arial"/>
          <w:b/>
          <w:bCs/>
          <w:caps/>
          <w:sz w:val="22"/>
          <w:szCs w:val="22"/>
        </w:rPr>
        <w:t xml:space="preserve"> em éguas</w:t>
      </w:r>
      <w:r w:rsidR="00DC3445">
        <w:rPr>
          <w:rFonts w:ascii="Arial" w:hAnsi="Arial" w:cs="Arial"/>
          <w:b/>
          <w:bCs/>
          <w:caps/>
          <w:sz w:val="22"/>
          <w:szCs w:val="22"/>
        </w:rPr>
        <w:t xml:space="preserve"> – revisão de literatura</w:t>
      </w:r>
    </w:p>
    <w:p w14:paraId="251AF1AF" w14:textId="719F4940" w:rsidR="00B94C38" w:rsidRDefault="006B5CB5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Ana Clara Paioleti Paiva ¹*, Ana Carolina Amaral¹, Daniel Augusto da Costa¹, Rafael Almeida Romano¹ e Priscila Fantini²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15B685AB" w14:textId="7473C15C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</w:t>
      </w:r>
      <w:r w:rsidR="006B5CB5">
        <w:rPr>
          <w:rFonts w:ascii="Arial" w:hAnsi="Arial" w:cs="Arial"/>
          <w:i/>
          <w:iCs/>
          <w:color w:val="auto"/>
          <w:sz w:val="14"/>
          <w:szCs w:val="18"/>
        </w:rPr>
        <w:t>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6B5CB5">
        <w:rPr>
          <w:rFonts w:ascii="Arial" w:hAnsi="Arial" w:cs="Arial"/>
          <w:i/>
          <w:iCs/>
          <w:color w:val="auto"/>
          <w:sz w:val="14"/>
          <w:szCs w:val="18"/>
        </w:rPr>
        <w:t>om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6B5CB5">
        <w:rPr>
          <w:rFonts w:ascii="Arial" w:hAnsi="Arial" w:cs="Arial"/>
          <w:i/>
          <w:iCs/>
          <w:color w:val="auto"/>
          <w:sz w:val="14"/>
          <w:szCs w:val="18"/>
        </w:rPr>
        <w:t>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 – *Contato: karen@gmail.com</w:t>
      </w:r>
    </w:p>
    <w:p w14:paraId="2F8B1723" w14:textId="09E3DB8F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6B5CB5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²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6B5CB5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</w:t>
      </w:r>
      <w:r w:rsidR="006B5CB5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6B5CB5">
        <w:rPr>
          <w:rFonts w:ascii="Arial" w:hAnsi="Arial" w:cs="Arial"/>
          <w:i/>
          <w:iCs/>
          <w:color w:val="auto"/>
          <w:sz w:val="14"/>
          <w:szCs w:val="18"/>
        </w:rPr>
        <w:t>om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6B5CB5">
        <w:rPr>
          <w:rFonts w:ascii="Arial" w:hAnsi="Arial" w:cs="Arial"/>
          <w:i/>
          <w:iCs/>
          <w:color w:val="auto"/>
          <w:sz w:val="14"/>
          <w:szCs w:val="18"/>
        </w:rPr>
        <w:t>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0603554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48EB9481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6641A3">
          <w:headerReference w:type="default" r:id="rId7"/>
          <w:pgSz w:w="11906" w:h="16838"/>
          <w:pgMar w:top="720" w:right="425" w:bottom="425" w:left="425" w:header="425" w:footer="709" w:gutter="0"/>
          <w:cols w:space="708"/>
          <w:docGrid w:linePitch="360"/>
        </w:sectPr>
      </w:pPr>
    </w:p>
    <w:p w14:paraId="10AD018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4581173" w14:textId="6BD40006" w:rsidR="002F1306" w:rsidRDefault="00EA3060" w:rsidP="003D6782">
      <w:pPr>
        <w:pStyle w:val="Corpodetexto2"/>
        <w:jc w:val="both"/>
      </w:pPr>
      <w:r>
        <w:t xml:space="preserve">Após o processo de monta natural ou inseminação artificial, ocorre um processo inflamatório local denominado endometrite pós-cobertura, </w:t>
      </w:r>
      <w:r w:rsidR="00302573">
        <w:t>sendo importante ressaltar que não é produzida uma resposta infamatória sistêmica</w:t>
      </w:r>
      <w:r w:rsidR="00DD7F4D">
        <w:rPr>
          <w:vertAlign w:val="superscript"/>
        </w:rPr>
        <w:t>1</w:t>
      </w:r>
      <w:r w:rsidR="00C229BA">
        <w:rPr>
          <w:vertAlign w:val="superscript"/>
        </w:rPr>
        <w:t>,3,4</w:t>
      </w:r>
      <w:r w:rsidR="00EB070D">
        <w:t>. O</w:t>
      </w:r>
      <w:r w:rsidR="00DD7F4D">
        <w:t xml:space="preserve"> </w:t>
      </w:r>
      <w:r w:rsidR="00EB070D">
        <w:t xml:space="preserve">objetivo deste processo baseia-se na remoção dos espermatozoides em excesso, plasma seminal e contaminantes, favorecendo a criação de um ambiente compatível com a sobrevivência do embrião, o qual será recebido </w:t>
      </w:r>
      <w:r w:rsidR="002F1306">
        <w:t xml:space="preserve">pelo útero </w:t>
      </w:r>
      <w:r w:rsidR="00EB070D">
        <w:t>após o quinto ou sexto dia pós ovulação</w:t>
      </w:r>
      <w:r w:rsidR="00DD7F4D">
        <w:rPr>
          <w:vertAlign w:val="superscript"/>
        </w:rPr>
        <w:t>1,</w:t>
      </w:r>
      <w:r w:rsidR="00C229BA">
        <w:rPr>
          <w:vertAlign w:val="superscript"/>
        </w:rPr>
        <w:t>3,</w:t>
      </w:r>
      <w:r w:rsidR="00DD7F4D">
        <w:rPr>
          <w:vertAlign w:val="superscript"/>
        </w:rPr>
        <w:t>5</w:t>
      </w:r>
      <w:r w:rsidR="00A90D68">
        <w:t>.</w:t>
      </w:r>
    </w:p>
    <w:p w14:paraId="1475EC07" w14:textId="02261D2E" w:rsidR="002F1306" w:rsidRDefault="00DD7F4D" w:rsidP="003D6782">
      <w:pPr>
        <w:pStyle w:val="Corpodetexto2"/>
        <w:jc w:val="both"/>
      </w:pPr>
      <w:r>
        <w:t xml:space="preserve">O plasma rico em plaquetas </w:t>
      </w:r>
      <w:r w:rsidR="00C229BA">
        <w:t>(PRP</w:t>
      </w:r>
      <w:r w:rsidR="002F1306">
        <w:t>)</w:t>
      </w:r>
      <w:r w:rsidR="00C229BA">
        <w:t xml:space="preserve"> corresponde à fração do plasma sanguíneo, </w:t>
      </w:r>
      <w:r w:rsidR="003F335C">
        <w:t xml:space="preserve">obtido a partir do sangue não coagulado, </w:t>
      </w:r>
      <w:r w:rsidR="00C229BA">
        <w:t>o qual possui uma alta concentração de plaquetas, em níveis maiores que do sangue total</w:t>
      </w:r>
      <w:r w:rsidR="00C229BA">
        <w:rPr>
          <w:vertAlign w:val="superscript"/>
        </w:rPr>
        <w:t>2</w:t>
      </w:r>
      <w:r w:rsidR="00302573">
        <w:rPr>
          <w:vertAlign w:val="superscript"/>
        </w:rPr>
        <w:t>,5</w:t>
      </w:r>
      <w:r w:rsidR="00C229BA">
        <w:t xml:space="preserve">. </w:t>
      </w:r>
      <w:r w:rsidR="003F335C">
        <w:t>É composto por mediadores estimulantes e inibitórios naturais, os quais possuem fatores de crescimento, estimulando os componentes das células ou favorece</w:t>
      </w:r>
      <w:r w:rsidR="002F1306">
        <w:t>ndo</w:t>
      </w:r>
      <w:r w:rsidR="003F335C">
        <w:t xml:space="preserve"> as etapas de reparo recidual</w:t>
      </w:r>
      <w:r w:rsidR="003F335C">
        <w:rPr>
          <w:vertAlign w:val="superscript"/>
        </w:rPr>
        <w:t>2</w:t>
      </w:r>
      <w:r w:rsidR="00302573">
        <w:rPr>
          <w:vertAlign w:val="superscript"/>
        </w:rPr>
        <w:t>,5</w:t>
      </w:r>
      <w:r w:rsidR="003F335C">
        <w:t>. Possui uma ação complexa</w:t>
      </w:r>
      <w:r w:rsidR="00302573">
        <w:t>,</w:t>
      </w:r>
      <w:r w:rsidR="003F335C">
        <w:t xml:space="preserve"> devido ao fato </w:t>
      </w:r>
      <w:r w:rsidR="00302573">
        <w:t>de as</w:t>
      </w:r>
      <w:r w:rsidR="003F335C">
        <w:t xml:space="preserve"> plaquetas possu</w:t>
      </w:r>
      <w:r w:rsidR="001E37D6">
        <w:t>írem</w:t>
      </w:r>
      <w:r w:rsidR="003F335C">
        <w:t xml:space="preserve"> centenas de proteínas</w:t>
      </w:r>
      <w:r w:rsidR="00302573">
        <w:t xml:space="preserve"> as quais também podem compreender o processo de reparação</w:t>
      </w:r>
      <w:r w:rsidR="002F1306">
        <w:t>, além d</w:t>
      </w:r>
      <w:r w:rsidR="00302573">
        <w:t>os fatores de crescimento</w:t>
      </w:r>
      <w:r w:rsidR="00302573">
        <w:rPr>
          <w:vertAlign w:val="superscript"/>
        </w:rPr>
        <w:t>2,5</w:t>
      </w:r>
      <w:r w:rsidR="00302573">
        <w:t>.</w:t>
      </w:r>
    </w:p>
    <w:p w14:paraId="092629A6" w14:textId="4DA2CE7A" w:rsidR="00302573" w:rsidRPr="00302573" w:rsidRDefault="002F1306" w:rsidP="003D6782">
      <w:pPr>
        <w:pStyle w:val="Corpodetexto2"/>
        <w:jc w:val="both"/>
      </w:pPr>
      <w:r>
        <w:t>O PRP é empregado como terapia para tal enfermidade, de modo que esta técnica realiza a redução da resposta inflamatória produzida localmente, além de promover a reparação das lesões presentes no epitélio uterino</w:t>
      </w:r>
      <w:r>
        <w:rPr>
          <w:vertAlign w:val="superscript"/>
        </w:rPr>
        <w:t>5</w:t>
      </w:r>
      <w:r>
        <w:t>.</w:t>
      </w:r>
    </w:p>
    <w:p w14:paraId="4BB919A7" w14:textId="77777777" w:rsidR="00EB070D" w:rsidRPr="00EA3060" w:rsidRDefault="00EB070D" w:rsidP="003D6782">
      <w:pPr>
        <w:pStyle w:val="Corpodetexto2"/>
        <w:jc w:val="both"/>
      </w:pPr>
    </w:p>
    <w:p w14:paraId="792A54DC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68066E2F" w14:textId="7FA09F8F" w:rsidR="00A63DA2" w:rsidRDefault="006844B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presente trabalho, foram utilizados como fonte de pesquisa</w:t>
      </w:r>
      <w:r w:rsidR="00350D36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artigos científicos oriundos da Revista Acadêmica Ciência Animal, Revista Veterinária e Zootecnia, Revista Brasileira de Reprodução Animal, plataforma PUBVET e Investigação, publicados entre 2014 a 2019. </w:t>
      </w:r>
      <w:r w:rsidR="000342A4">
        <w:rPr>
          <w:rFonts w:ascii="Arial" w:hAnsi="Arial" w:cs="Arial"/>
          <w:sz w:val="18"/>
        </w:rPr>
        <w:t>Imagem</w:t>
      </w:r>
      <w:r w:rsidR="00C630AE">
        <w:rPr>
          <w:rFonts w:ascii="Arial" w:hAnsi="Arial" w:cs="Arial"/>
          <w:sz w:val="18"/>
        </w:rPr>
        <w:t xml:space="preserve"> feita e</w:t>
      </w:r>
      <w:r w:rsidR="000342A4">
        <w:rPr>
          <w:rFonts w:ascii="Arial" w:hAnsi="Arial" w:cs="Arial"/>
          <w:sz w:val="18"/>
        </w:rPr>
        <w:t xml:space="preserve"> traduzida a partir de um artigo oriundo da </w:t>
      </w:r>
      <w:r w:rsidR="000342A4" w:rsidRPr="000342A4">
        <w:rPr>
          <w:rFonts w:ascii="Arial" w:hAnsi="Arial" w:cs="Arial"/>
          <w:sz w:val="18"/>
          <w:szCs w:val="18"/>
        </w:rPr>
        <w:t>Theriogenology</w:t>
      </w:r>
      <w:r w:rsidR="000342A4">
        <w:rPr>
          <w:rFonts w:ascii="Arial" w:hAnsi="Arial" w:cs="Arial"/>
          <w:sz w:val="18"/>
        </w:rPr>
        <w:t xml:space="preserve">. </w:t>
      </w:r>
    </w:p>
    <w:p w14:paraId="59BE016D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69499234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5FD0F4F7" w14:textId="7DABEFD6" w:rsidR="003D6782" w:rsidRDefault="00C630AE" w:rsidP="00C630A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</w:rPr>
        <w:t>De acordo com a literatura, a inflamação do útero induzida através da cobertura/inseminação artificial emerge de uma resposta ao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>s componentes do ejaculado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introduzido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>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no útero, 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 xml:space="preserve">este processo é transitório, no qual 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>estes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 xml:space="preserve"> são eliminados do trato genital da fêmea</w:t>
      </w:r>
      <w:r w:rsidR="001C57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1,3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>. Tal reação é de extrema necessidade, visto que ela visa a sobrevivência e o desenvolvimento do embrião</w:t>
      </w:r>
      <w:r w:rsidR="001C57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3,5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>. Todavia, quando acentuada</w:t>
      </w:r>
      <w:r w:rsidR="006E0BB0">
        <w:rPr>
          <w:rFonts w:ascii="Arial" w:hAnsi="Arial" w:cs="Arial"/>
          <w:color w:val="000000" w:themeColor="text1"/>
          <w:sz w:val="18"/>
          <w:szCs w:val="18"/>
        </w:rPr>
        <w:t xml:space="preserve"> em éguas susceptíveis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>, manifesta intensa migração de células polimorfonucleares (PMNs)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E37D6">
        <w:rPr>
          <w:rFonts w:ascii="Arial" w:hAnsi="Arial" w:cs="Arial"/>
          <w:color w:val="000000" w:themeColor="text1"/>
          <w:sz w:val="18"/>
          <w:szCs w:val="18"/>
        </w:rPr>
        <w:t>neutrófilos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>;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 xml:space="preserve"> recrutada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>s por citocinas: leucotrieno B4 (LTB4), prostaglandina E (PGE)</w:t>
      </w:r>
      <w:r w:rsidR="006E0BB0">
        <w:rPr>
          <w:rFonts w:ascii="Arial" w:hAnsi="Arial" w:cs="Arial"/>
          <w:color w:val="000000" w:themeColor="text1"/>
          <w:sz w:val="18"/>
          <w:szCs w:val="18"/>
        </w:rPr>
        <w:t>,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 xml:space="preserve">prostaglandina </w:t>
      </w:r>
      <w:r w:rsidR="00BD5C59">
        <w:rPr>
          <w:rFonts w:ascii="Arial" w:hAnsi="Arial" w:cs="Arial"/>
          <w:color w:val="000000" w:themeColor="text1"/>
          <w:sz w:val="18"/>
          <w:szCs w:val="18"/>
        </w:rPr>
        <w:t>F</w:t>
      </w:r>
      <w:r w:rsidR="00B8790F">
        <w:rPr>
          <w:rFonts w:ascii="Arial" w:hAnsi="Arial" w:cs="Arial"/>
          <w:color w:val="000000" w:themeColor="text1"/>
          <w:sz w:val="18"/>
          <w:szCs w:val="18"/>
        </w:rPr>
        <w:t>2 alfa (PGF2</w:t>
      </w:r>
      <w:r w:rsidR="00B8790F" w:rsidRPr="00B8790F">
        <w:rPr>
          <w:rFonts w:ascii="Arial" w:hAnsi="Arial" w:cs="Arial"/>
          <w:sz w:val="18"/>
          <w:szCs w:val="18"/>
          <w:shd w:val="clear" w:color="auto" w:fill="FFFFFF"/>
        </w:rPr>
        <w:t>α</w:t>
      </w:r>
      <w:r w:rsidR="00B8790F"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BD5C59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6E0BB0">
        <w:rPr>
          <w:rFonts w:ascii="Arial" w:hAnsi="Arial" w:cs="Arial"/>
          <w:sz w:val="18"/>
          <w:szCs w:val="18"/>
          <w:shd w:val="clear" w:color="auto" w:fill="FFFFFF"/>
        </w:rPr>
        <w:t>bem como citocinas, quimiocinas e outros mediadores que juntos, correspondem a resposta celular</w:t>
      </w:r>
      <w:r w:rsidR="00BD5C59">
        <w:rPr>
          <w:rFonts w:ascii="Arial" w:hAnsi="Arial" w:cs="Arial"/>
          <w:sz w:val="18"/>
          <w:szCs w:val="18"/>
          <w:shd w:val="clear" w:color="auto" w:fill="FFFFFF"/>
        </w:rPr>
        <w:t>;  para o lúmen do útero</w:t>
      </w:r>
      <w:r w:rsidR="001C573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1,3,5</w:t>
      </w:r>
      <w:r w:rsidR="006E0BB0">
        <w:rPr>
          <w:rFonts w:ascii="Arial" w:hAnsi="Arial" w:cs="Arial"/>
          <w:sz w:val="18"/>
          <w:szCs w:val="18"/>
          <w:shd w:val="clear" w:color="auto" w:fill="FFFFFF"/>
        </w:rPr>
        <w:t>. Nessas éguas</w:t>
      </w:r>
      <w:r w:rsidR="006E0BB0" w:rsidRPr="006E0BB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E37D6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6E0BB0">
        <w:rPr>
          <w:rFonts w:ascii="Arial" w:hAnsi="Arial" w:cs="Arial"/>
          <w:color w:val="000000" w:themeColor="text1"/>
          <w:sz w:val="18"/>
          <w:szCs w:val="18"/>
        </w:rPr>
        <w:t>PGF2</w:t>
      </w:r>
      <w:r w:rsidR="006E0BB0" w:rsidRPr="00B8790F">
        <w:rPr>
          <w:rFonts w:ascii="Arial" w:hAnsi="Arial" w:cs="Arial"/>
          <w:sz w:val="18"/>
          <w:szCs w:val="18"/>
          <w:shd w:val="clear" w:color="auto" w:fill="FFFFFF"/>
        </w:rPr>
        <w:t>α</w:t>
      </w:r>
      <w:r w:rsidR="006E0BB0">
        <w:rPr>
          <w:rFonts w:ascii="Arial" w:hAnsi="Arial" w:cs="Arial"/>
          <w:sz w:val="18"/>
          <w:szCs w:val="18"/>
          <w:shd w:val="clear" w:color="auto" w:fill="FFFFFF"/>
        </w:rPr>
        <w:t>, a qual auxilia na contração do miométrio e na limpeza realizada de modo mecânico do útero, possui sua capacidade reduzida, embora possuam concentrações mais elevadas de anticorpos em suas secreções do útero, comparadas às éguas resistentes, assim acumula</w:t>
      </w:r>
      <w:r w:rsidR="001C573D">
        <w:rPr>
          <w:rFonts w:ascii="Arial" w:hAnsi="Arial" w:cs="Arial"/>
          <w:sz w:val="18"/>
          <w:szCs w:val="18"/>
          <w:shd w:val="clear" w:color="auto" w:fill="FFFFFF"/>
        </w:rPr>
        <w:t>m enzimas do processo inflamatório, podendo destruir os mediadores de inflamação que sejam benéficos ao processo de limpeza uterino</w:t>
      </w:r>
      <w:r w:rsidR="001C573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1,5</w:t>
      </w:r>
      <w:r w:rsidR="001C573D">
        <w:rPr>
          <w:rFonts w:ascii="Arial" w:hAnsi="Arial" w:cs="Arial"/>
          <w:sz w:val="18"/>
          <w:szCs w:val="18"/>
          <w:shd w:val="clear" w:color="auto" w:fill="FFFFFF"/>
        </w:rPr>
        <w:t>. Tendo como resultado, uma opsonização ineficaz dos antígenos os quais driblaram o processo de fagocitose</w:t>
      </w:r>
      <w:r w:rsidR="001C573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3,4,5</w:t>
      </w:r>
      <w:r w:rsidR="001C573D">
        <w:rPr>
          <w:rFonts w:ascii="Arial" w:hAnsi="Arial" w:cs="Arial"/>
          <w:sz w:val="18"/>
          <w:szCs w:val="18"/>
          <w:shd w:val="clear" w:color="auto" w:fill="FFFFFF"/>
        </w:rPr>
        <w:t>. Por sua vez o acúmulo enzimático gera uma degradação enzimática dos tecidos responsáveis por alterações fibróticas degenerativas do endométrio</w:t>
      </w:r>
      <w:r w:rsidR="001C573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="001C573D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69B12EB" w14:textId="5757EF74" w:rsidR="001C573D" w:rsidRDefault="001C573D" w:rsidP="00C630A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O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 plasma rico em plaquetas é uma técnica promissora empregada em diversos tratamentos, além da citada anteriormente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commentRangeStart w:id="0"/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No caso da enfermidade citada, </w:t>
      </w:r>
      <w:r w:rsidR="009F606F">
        <w:rPr>
          <w:rFonts w:ascii="Arial" w:hAnsi="Arial" w:cs="Arial"/>
          <w:sz w:val="18"/>
          <w:szCs w:val="18"/>
          <w:shd w:val="clear" w:color="auto" w:fill="FFFFFF"/>
        </w:rPr>
        <w:t>o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F606F">
        <w:rPr>
          <w:rFonts w:ascii="Arial" w:hAnsi="Arial" w:cs="Arial"/>
          <w:sz w:val="18"/>
          <w:szCs w:val="18"/>
          <w:shd w:val="clear" w:color="auto" w:fill="FFFFFF"/>
        </w:rPr>
        <w:t>protocolo é realizado através da</w:t>
      </w:r>
      <w:r w:rsidR="00701581">
        <w:rPr>
          <w:rFonts w:ascii="Arial" w:hAnsi="Arial" w:cs="Arial"/>
          <w:sz w:val="18"/>
          <w:szCs w:val="18"/>
          <w:shd w:val="clear" w:color="auto" w:fill="FFFFFF"/>
        </w:rPr>
        <w:t xml:space="preserve"> infusão intrauterina de 20 ml de PRP com o auxílio de uma pipeta de inseminação artificial, </w:t>
      </w:r>
      <w:r w:rsidR="00131C57">
        <w:rPr>
          <w:rFonts w:ascii="Arial" w:hAnsi="Arial" w:cs="Arial"/>
          <w:sz w:val="18"/>
          <w:szCs w:val="18"/>
          <w:shd w:val="clear" w:color="auto" w:fill="FFFFFF"/>
        </w:rPr>
        <w:t>podendo ser realizad</w:t>
      </w:r>
      <w:r w:rsidR="009F606F">
        <w:rPr>
          <w:rFonts w:ascii="Arial" w:hAnsi="Arial" w:cs="Arial"/>
          <w:sz w:val="18"/>
          <w:szCs w:val="18"/>
          <w:shd w:val="clear" w:color="auto" w:fill="FFFFFF"/>
        </w:rPr>
        <w:t>o</w:t>
      </w:r>
      <w:r w:rsidR="00131C57">
        <w:rPr>
          <w:rFonts w:ascii="Arial" w:hAnsi="Arial" w:cs="Arial"/>
          <w:sz w:val="18"/>
          <w:szCs w:val="18"/>
          <w:shd w:val="clear" w:color="auto" w:fill="FFFFFF"/>
        </w:rPr>
        <w:t xml:space="preserve"> 24 horas antes ou 4 horas após </w:t>
      </w:r>
      <w:r w:rsidR="009F606F">
        <w:rPr>
          <w:rFonts w:ascii="Arial" w:hAnsi="Arial" w:cs="Arial"/>
          <w:sz w:val="18"/>
          <w:szCs w:val="18"/>
          <w:shd w:val="clear" w:color="auto" w:fill="FFFFFF"/>
        </w:rPr>
        <w:t>a cobertura ou inseminação artificial</w:t>
      </w:r>
      <w:r w:rsidR="00131C57">
        <w:rPr>
          <w:rFonts w:ascii="Arial" w:hAnsi="Arial" w:cs="Arial"/>
          <w:sz w:val="18"/>
          <w:szCs w:val="18"/>
          <w:shd w:val="clear" w:color="auto" w:fill="FFFFFF"/>
        </w:rPr>
        <w:t>, em aplicação única, ambos terão resultados satisfatórios e similares</w:t>
      </w:r>
      <w:r w:rsidR="00131C57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 w:rsidR="00131C57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70158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>permit</w:t>
      </w:r>
      <w:r w:rsidR="00131C57">
        <w:rPr>
          <w:rFonts w:ascii="Arial" w:hAnsi="Arial" w:cs="Arial"/>
          <w:sz w:val="18"/>
          <w:szCs w:val="18"/>
          <w:shd w:val="clear" w:color="auto" w:fill="FFFFFF"/>
        </w:rPr>
        <w:t>indo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 a modulação da resposta inflamatória e a promoção de reparação do tecido uterino lesionado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commentRangeEnd w:id="0"/>
      <w:r w:rsidR="009D763E">
        <w:rPr>
          <w:rStyle w:val="Refdecomentrio"/>
          <w:color w:val="FF0000"/>
        </w:rPr>
        <w:commentReference w:id="0"/>
      </w:r>
      <w:r w:rsidR="00701581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554F9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É uma terapia que têm ganhado 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>grande espaço no meio dos equinos, uma vez que possui baixo custo e é de fácil aquisição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2,5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1E37D6">
        <w:rPr>
          <w:rFonts w:ascii="Arial" w:hAnsi="Arial" w:cs="Arial"/>
          <w:sz w:val="18"/>
          <w:szCs w:val="18"/>
          <w:shd w:val="clear" w:color="auto" w:fill="FFFFFF"/>
        </w:rPr>
        <w:t>O PRP é um derivado do sangue e contém uma quantidade de plaquetas cinco vezes maior que os níveis fisiológicos</w:t>
      </w:r>
      <w:r w:rsidR="001E37D6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2,5</w:t>
      </w:r>
      <w:r w:rsidR="001E37D6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>É um material rico em fatores de crescimento de extrema importância para o reparo de tecidos, devido suas propriedades quimiotáxicas, neovasculares e mitogênicas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4,5</w:t>
      </w:r>
      <w:r w:rsidR="00E46BF2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14:paraId="1C491202" w14:textId="4E8A4054" w:rsidR="004B4B8B" w:rsidRDefault="00E46BF2" w:rsidP="00C630A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As plaquetas vão interagir com os neutrófilos, resultando na biossíntese da lipoxina A4, molécula esta moduladora dos processos inflamatórios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>
        <w:rPr>
          <w:rFonts w:ascii="Arial" w:hAnsi="Arial" w:cs="Arial"/>
          <w:sz w:val="18"/>
          <w:szCs w:val="18"/>
          <w:shd w:val="clear" w:color="auto" w:fill="FFFFFF"/>
        </w:rPr>
        <w:t>. Exercendo uma redução direta</w:t>
      </w:r>
      <w:r w:rsidR="004B4B8B">
        <w:rPr>
          <w:rFonts w:ascii="Arial" w:hAnsi="Arial" w:cs="Arial"/>
          <w:sz w:val="18"/>
          <w:szCs w:val="18"/>
          <w:shd w:val="clear" w:color="auto" w:fill="FFFFFF"/>
        </w:rPr>
        <w:t xml:space="preserve"> na quimioatração dos neutrófilos para a região lesada e promove a apoptose dos mesmos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="004B4B8B">
        <w:rPr>
          <w:rFonts w:ascii="Arial" w:hAnsi="Arial" w:cs="Arial"/>
          <w:sz w:val="18"/>
          <w:szCs w:val="18"/>
          <w:shd w:val="clear" w:color="auto" w:fill="FFFFFF"/>
        </w:rPr>
        <w:t>. Elas também realizam a quimiotaxia de monócitos, os quais se transformarão em macrófagos nos tecidos, a fim de resolver o processo inflamatório e dar auxílio no processo de cicatrização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="004B4B8B">
        <w:rPr>
          <w:rFonts w:ascii="Arial" w:hAnsi="Arial" w:cs="Arial"/>
          <w:sz w:val="18"/>
          <w:szCs w:val="18"/>
          <w:shd w:val="clear" w:color="auto" w:fill="FFFFFF"/>
        </w:rPr>
        <w:t>. Então, se entende que elas podem ter relação com o processo de resolução da inflamação</w:t>
      </w:r>
      <w:r w:rsidR="004B4B8B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="004B4B8B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28D2B141" w14:textId="77777777" w:rsidR="0009422C" w:rsidRPr="004B4B8B" w:rsidRDefault="0009422C" w:rsidP="00C630AE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E5295DF" w14:textId="5A12718B" w:rsidR="00A63DA2" w:rsidRDefault="00FE5EE6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51EB02D5" wp14:editId="581A72F1">
            <wp:extent cx="3409651" cy="2247489"/>
            <wp:effectExtent l="0" t="0" r="635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178" cy="22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C8CA9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20BD2AF4" w14:textId="2364B8B4"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426503">
        <w:rPr>
          <w:rFonts w:ascii="Arial" w:hAnsi="Arial" w:cs="Arial"/>
          <w:b/>
          <w:color w:val="000000"/>
          <w:sz w:val="18"/>
        </w:rPr>
        <w:t xml:space="preserve"> </w:t>
      </w:r>
      <w:r w:rsidR="000342A4">
        <w:rPr>
          <w:rFonts w:ascii="Arial" w:hAnsi="Arial" w:cs="Arial"/>
          <w:color w:val="000000"/>
          <w:sz w:val="18"/>
        </w:rPr>
        <w:t>Esquema dos mecanismos de defesa do útero</w:t>
      </w:r>
      <w:r w:rsidR="000821BA">
        <w:rPr>
          <w:rFonts w:ascii="Arial" w:hAnsi="Arial" w:cs="Arial"/>
          <w:color w:val="000000"/>
          <w:sz w:val="18"/>
        </w:rPr>
        <w:t>, tradução do modelo</w:t>
      </w:r>
      <w:r w:rsidR="000342A4">
        <w:rPr>
          <w:rFonts w:ascii="Arial" w:hAnsi="Arial" w:cs="Arial"/>
          <w:color w:val="000000"/>
          <w:sz w:val="18"/>
        </w:rPr>
        <w:t xml:space="preserve"> proposto por Troedsson</w:t>
      </w:r>
      <w:r w:rsidR="000342A4">
        <w:rPr>
          <w:rFonts w:ascii="Arial" w:hAnsi="Arial" w:cs="Arial"/>
          <w:color w:val="000000"/>
          <w:sz w:val="18"/>
          <w:vertAlign w:val="superscript"/>
        </w:rPr>
        <w:t>6</w:t>
      </w:r>
      <w:r w:rsidR="00305F4B">
        <w:rPr>
          <w:rFonts w:ascii="Arial" w:hAnsi="Arial" w:cs="Arial"/>
          <w:color w:val="000000"/>
          <w:sz w:val="18"/>
        </w:rPr>
        <w:t>.</w:t>
      </w:r>
    </w:p>
    <w:p w14:paraId="14259A5A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5C29368F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41EE38B" w14:textId="55F08125" w:rsidR="003D6782" w:rsidRDefault="004B4B8B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emprego do PRP no tratamento de endometrite pós cobertura/inseminação artificial, mostrou-se uma técnica promissora, devido ao seu baixo cur</w:t>
      </w:r>
      <w:r w:rsidR="001E37D6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o</w:t>
      </w:r>
      <w:r w:rsidR="001E37D6">
        <w:rPr>
          <w:rFonts w:ascii="Arial" w:hAnsi="Arial" w:cs="Arial"/>
          <w:sz w:val="18"/>
        </w:rPr>
        <w:t xml:space="preserve"> e</w:t>
      </w:r>
      <w:r>
        <w:rPr>
          <w:rFonts w:ascii="Arial" w:hAnsi="Arial" w:cs="Arial"/>
          <w:sz w:val="18"/>
        </w:rPr>
        <w:t xml:space="preserve"> fácil a</w:t>
      </w:r>
      <w:r w:rsidR="001E37D6">
        <w:rPr>
          <w:rFonts w:ascii="Arial" w:hAnsi="Arial" w:cs="Arial"/>
          <w:sz w:val="18"/>
        </w:rPr>
        <w:t>quisição</w:t>
      </w:r>
      <w:r>
        <w:rPr>
          <w:rFonts w:ascii="Arial" w:hAnsi="Arial" w:cs="Arial"/>
          <w:sz w:val="18"/>
        </w:rPr>
        <w:t xml:space="preserve"> e eficiência </w:t>
      </w:r>
      <w:r w:rsidR="00884D61">
        <w:rPr>
          <w:rFonts w:ascii="Arial" w:hAnsi="Arial" w:cs="Arial"/>
          <w:sz w:val="18"/>
        </w:rPr>
        <w:t>na modulação da resposta inflamatória, produzida exageradamente por éguas susceptíveis.</w:t>
      </w:r>
    </w:p>
    <w:p w14:paraId="200C0BF0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932B1C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8DA2276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8FF1ABB" w14:textId="7363BC83" w:rsidR="003D6782" w:rsidRDefault="00CD72B0" w:rsidP="00884D61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06C626A1" wp14:editId="428D4DBB">
            <wp:extent cx="720000" cy="720000"/>
            <wp:effectExtent l="0" t="0" r="444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3D7FD" w14:textId="77777777" w:rsidR="00554F9F" w:rsidRDefault="00554F9F" w:rsidP="00884D61">
      <w:pPr>
        <w:jc w:val="center"/>
        <w:rPr>
          <w:rFonts w:ascii="Arial" w:hAnsi="Arial" w:cs="Arial"/>
          <w:b/>
          <w:sz w:val="18"/>
        </w:rPr>
      </w:pPr>
    </w:p>
    <w:p w14:paraId="6F7688B0" w14:textId="71BB9052" w:rsidR="00554F9F" w:rsidRPr="00554F9F" w:rsidRDefault="00554F9F" w:rsidP="00884D61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APOIO: </w:t>
      </w:r>
      <w:r>
        <w:rPr>
          <w:rFonts w:ascii="Arial" w:hAnsi="Arial" w:cs="Arial"/>
          <w:b/>
          <w:noProof/>
          <w:sz w:val="14"/>
          <w:szCs w:val="14"/>
        </w:rPr>
        <w:drawing>
          <wp:inline distT="0" distB="0" distL="0" distR="0" wp14:anchorId="439C93D9" wp14:editId="5E11FEAB">
            <wp:extent cx="935245" cy="720000"/>
            <wp:effectExtent l="0" t="0" r="0" b="4445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4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F9F" w:rsidRPr="00554F9F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orge Tiburcio Barbosa" w:date="2020-10-11T19:10:00Z" w:initials="JTB">
    <w:p w14:paraId="5BE29E44" w14:textId="21555CDE" w:rsidR="009D763E" w:rsidRDefault="009D763E">
      <w:pPr>
        <w:pStyle w:val="Textodecomentrio"/>
      </w:pPr>
      <w:r>
        <w:rPr>
          <w:rStyle w:val="Refdecomentrio"/>
        </w:rPr>
        <w:annotationRef/>
      </w:r>
      <w:r>
        <w:t>Explicar em qual momento é feita a aplicação do PRP, como é feito e se necessita de repetição...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E29E4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D728" w16cex:dateUtc="2020-10-11T2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E29E44" w16cid:durableId="232DD7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95DA5" w14:textId="77777777" w:rsidR="00CC66C6" w:rsidRDefault="00CC66C6" w:rsidP="00522953">
      <w:r>
        <w:separator/>
      </w:r>
    </w:p>
  </w:endnote>
  <w:endnote w:type="continuationSeparator" w:id="0">
    <w:p w14:paraId="301E028B" w14:textId="77777777" w:rsidR="00CC66C6" w:rsidRDefault="00CC66C6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9ADFB" w14:textId="77777777" w:rsidR="00CC66C6" w:rsidRDefault="00CC66C6" w:rsidP="00522953">
      <w:r>
        <w:separator/>
      </w:r>
    </w:p>
  </w:footnote>
  <w:footnote w:type="continuationSeparator" w:id="0">
    <w:p w14:paraId="24F47B5E" w14:textId="77777777" w:rsidR="00CC66C6" w:rsidRDefault="00CC66C6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BC472" w14:textId="780B0213" w:rsidR="00A90D68" w:rsidRPr="00130AD3" w:rsidRDefault="00A90D6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84311CF" wp14:editId="518F0DA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79C16AB" w14:textId="77777777" w:rsidR="00A90D68" w:rsidRPr="00130AD3" w:rsidRDefault="00A90D6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rge Tiburcio Barbosa">
    <w15:presenceInfo w15:providerId="Windows Live" w15:userId="7fcc930766c2a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342A4"/>
    <w:rsid w:val="0007204F"/>
    <w:rsid w:val="00073A0F"/>
    <w:rsid w:val="000821BA"/>
    <w:rsid w:val="0009422C"/>
    <w:rsid w:val="000B50B8"/>
    <w:rsid w:val="000D2072"/>
    <w:rsid w:val="001161B2"/>
    <w:rsid w:val="00130AD3"/>
    <w:rsid w:val="00131C57"/>
    <w:rsid w:val="00134721"/>
    <w:rsid w:val="001A5193"/>
    <w:rsid w:val="001A5C84"/>
    <w:rsid w:val="001B4CE9"/>
    <w:rsid w:val="001C573D"/>
    <w:rsid w:val="001D1C3F"/>
    <w:rsid w:val="001E37D6"/>
    <w:rsid w:val="00242601"/>
    <w:rsid w:val="0024512E"/>
    <w:rsid w:val="00266FB1"/>
    <w:rsid w:val="00285B52"/>
    <w:rsid w:val="00295A0F"/>
    <w:rsid w:val="002A05C4"/>
    <w:rsid w:val="002E5DFD"/>
    <w:rsid w:val="002F1306"/>
    <w:rsid w:val="002F1618"/>
    <w:rsid w:val="00302573"/>
    <w:rsid w:val="00305F4B"/>
    <w:rsid w:val="00343752"/>
    <w:rsid w:val="00350D36"/>
    <w:rsid w:val="00371AD9"/>
    <w:rsid w:val="003D6782"/>
    <w:rsid w:val="003F132E"/>
    <w:rsid w:val="003F335C"/>
    <w:rsid w:val="00411A99"/>
    <w:rsid w:val="00426503"/>
    <w:rsid w:val="004B4B8B"/>
    <w:rsid w:val="00522953"/>
    <w:rsid w:val="00554F9F"/>
    <w:rsid w:val="005864D4"/>
    <w:rsid w:val="005B3087"/>
    <w:rsid w:val="005C01CB"/>
    <w:rsid w:val="005E6601"/>
    <w:rsid w:val="00615BEE"/>
    <w:rsid w:val="00616238"/>
    <w:rsid w:val="00626EC3"/>
    <w:rsid w:val="006511EE"/>
    <w:rsid w:val="006641A3"/>
    <w:rsid w:val="006712EC"/>
    <w:rsid w:val="0067418F"/>
    <w:rsid w:val="006844B0"/>
    <w:rsid w:val="006A7026"/>
    <w:rsid w:val="006A7E7C"/>
    <w:rsid w:val="006B5CB5"/>
    <w:rsid w:val="006C0C34"/>
    <w:rsid w:val="006E0BB0"/>
    <w:rsid w:val="006F7796"/>
    <w:rsid w:val="00701581"/>
    <w:rsid w:val="00716350"/>
    <w:rsid w:val="00717CB1"/>
    <w:rsid w:val="00742ACE"/>
    <w:rsid w:val="007A1EE5"/>
    <w:rsid w:val="007A6765"/>
    <w:rsid w:val="007C3386"/>
    <w:rsid w:val="007F4630"/>
    <w:rsid w:val="0082726E"/>
    <w:rsid w:val="00842425"/>
    <w:rsid w:val="00860C06"/>
    <w:rsid w:val="00884D61"/>
    <w:rsid w:val="00907773"/>
    <w:rsid w:val="0091030C"/>
    <w:rsid w:val="009C6315"/>
    <w:rsid w:val="009D763E"/>
    <w:rsid w:val="009F606F"/>
    <w:rsid w:val="00A63DA2"/>
    <w:rsid w:val="00A650D4"/>
    <w:rsid w:val="00A90D68"/>
    <w:rsid w:val="00A95EDE"/>
    <w:rsid w:val="00AA68C8"/>
    <w:rsid w:val="00B8442D"/>
    <w:rsid w:val="00B8790F"/>
    <w:rsid w:val="00B94C38"/>
    <w:rsid w:val="00BD5C59"/>
    <w:rsid w:val="00C15B7B"/>
    <w:rsid w:val="00C229BA"/>
    <w:rsid w:val="00C52E0A"/>
    <w:rsid w:val="00C630AE"/>
    <w:rsid w:val="00C81831"/>
    <w:rsid w:val="00CC66C6"/>
    <w:rsid w:val="00CD3E24"/>
    <w:rsid w:val="00CD72B0"/>
    <w:rsid w:val="00D26400"/>
    <w:rsid w:val="00DA3A38"/>
    <w:rsid w:val="00DC3445"/>
    <w:rsid w:val="00DD7F4D"/>
    <w:rsid w:val="00E46BF2"/>
    <w:rsid w:val="00EA3060"/>
    <w:rsid w:val="00EB070D"/>
    <w:rsid w:val="00ED60B6"/>
    <w:rsid w:val="00EE1D93"/>
    <w:rsid w:val="00F1155C"/>
    <w:rsid w:val="00F13307"/>
    <w:rsid w:val="00F47AFA"/>
    <w:rsid w:val="00F95082"/>
    <w:rsid w:val="00FE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E6BE6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763E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763E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848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Clara Paioleti Paiva</cp:lastModifiedBy>
  <cp:revision>22</cp:revision>
  <cp:lastPrinted>2020-09-22T21:50:00Z</cp:lastPrinted>
  <dcterms:created xsi:type="dcterms:W3CDTF">2020-09-18T19:46:00Z</dcterms:created>
  <dcterms:modified xsi:type="dcterms:W3CDTF">2020-10-14T12:24:00Z</dcterms:modified>
</cp:coreProperties>
</file>