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spacing w:after="200" w:line="276" w:lineRule="auto"/>
        <w:jc w:val="center"/>
        <w:rPr>
          <w:rFonts w:ascii="Arial" w:cs="Arial" w:eastAsia="Arial" w:hAnsi="Arial"/>
          <w:b w:val="0"/>
          <w:i w:val="0"/>
          <w:color w:val="000000"/>
          <w:sz w:val="28"/>
          <w:szCs w:val="28"/>
        </w:rPr>
      </w:pPr>
      <w:r w:rsidDel="00000000" w:rsidR="00000000" w:rsidRPr="00000000">
        <w:rPr>
          <w:rFonts w:ascii="Arial" w:cs="Arial" w:eastAsia="Arial" w:hAnsi="Arial"/>
          <w:b w:val="1"/>
          <w:i w:val="0"/>
          <w:color w:val="000000"/>
          <w:sz w:val="28"/>
          <w:szCs w:val="28"/>
          <w:rtl w:val="0"/>
        </w:rPr>
        <w:t xml:space="preserve">DEFEITOS NO METABOLISMO DE GORDURAS: DOENÇA DE GAUCHER</w:t>
      </w: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mallCaps w:val="1"/>
          <w:color w:val="000000"/>
          <w:sz w:val="28"/>
          <w:szCs w:val="28"/>
        </w:rPr>
      </w:pPr>
      <w:r w:rsidDel="00000000" w:rsidR="00000000" w:rsidRPr="00000000">
        <w:rPr>
          <w:rtl w:val="0"/>
        </w:rPr>
      </w:r>
    </w:p>
    <w:p w:rsidR="00000000" w:rsidDel="00000000" w:rsidP="00000000" w:rsidRDefault="00000000" w:rsidRPr="00000000" w14:paraId="00000004">
      <w:pPr>
        <w:widowControl w:val="0"/>
        <w:spacing w:after="0" w:line="240" w:lineRule="auto"/>
        <w:jc w:val="center"/>
        <w:rPr>
          <w:rFonts w:ascii="Times New Roman" w:cs="Times New Roman" w:eastAsia="Times New Roman" w:hAnsi="Times New Roman"/>
          <w:b w:val="1"/>
          <w:smallCaps w:val="1"/>
          <w:color w:val="000000"/>
          <w:sz w:val="28"/>
          <w:szCs w:val="28"/>
        </w:rPr>
      </w:pPr>
      <w:r w:rsidDel="00000000" w:rsidR="00000000" w:rsidRPr="00000000">
        <w:rPr>
          <w:rtl w:val="0"/>
        </w:rPr>
      </w:r>
    </w:p>
    <w:p w:rsidR="00000000" w:rsidDel="00000000" w:rsidP="00000000" w:rsidRDefault="00000000" w:rsidRPr="00000000" w14:paraId="00000005">
      <w:pPr>
        <w:widowControl w:val="0"/>
        <w:spacing w:after="200" w:before="355" w:line="276" w:lineRule="auto"/>
        <w:ind w:left="3825" w:right="-316" w:firstLine="0"/>
        <w:jc w:val="right"/>
        <w:rPr>
          <w:rFonts w:ascii="Arial" w:cs="Arial" w:eastAsia="Arial" w:hAnsi="Arial"/>
          <w:b w:val="0"/>
          <w:i w:val="0"/>
          <w:color w:val="000000"/>
          <w:sz w:val="22"/>
          <w:szCs w:val="22"/>
        </w:rPr>
      </w:pPr>
      <w:r w:rsidDel="00000000" w:rsidR="00000000" w:rsidRPr="00000000">
        <w:rPr>
          <w:rFonts w:ascii="Arial" w:cs="Arial" w:eastAsia="Arial" w:hAnsi="Arial"/>
          <w:b w:val="0"/>
          <w:i w:val="0"/>
          <w:color w:val="000000"/>
          <w:sz w:val="22"/>
          <w:szCs w:val="22"/>
          <w:rtl w:val="0"/>
        </w:rPr>
        <w:t xml:space="preserve">SOUZA, Gabriel Dias Coutinho; Graduando da              Faculdade Metropolitana de São Carlos </w:t>
      </w:r>
      <w:r w:rsidDel="00000000" w:rsidR="00000000" w:rsidRPr="00000000">
        <w:rPr>
          <w:rFonts w:ascii="Arial" w:cs="Arial" w:eastAsia="Arial" w:hAnsi="Arial"/>
          <w:b w:val="0"/>
          <w:i w:val="1"/>
          <w:color w:val="000000"/>
          <w:sz w:val="22"/>
          <w:szCs w:val="22"/>
          <w:rtl w:val="0"/>
        </w:rPr>
        <w:t xml:space="preserve">- </w:t>
      </w:r>
      <w:hyperlink r:id="rId6">
        <w:r w:rsidDel="00000000" w:rsidR="00000000" w:rsidRPr="00000000">
          <w:rPr>
            <w:rFonts w:ascii="Arial" w:cs="Arial" w:eastAsia="Arial" w:hAnsi="Arial"/>
            <w:b w:val="0"/>
            <w:i w:val="1"/>
            <w:color w:val="1155cc"/>
            <w:sz w:val="22"/>
            <w:szCs w:val="22"/>
            <w:u w:val="single"/>
            <w:rtl w:val="0"/>
          </w:rPr>
          <w:t xml:space="preserve">Gabriel2dias15@gmail.com</w:t>
        </w:r>
      </w:hyperlink>
      <w:r w:rsidDel="00000000" w:rsidR="00000000" w:rsidRPr="00000000">
        <w:rPr>
          <w:rFonts w:ascii="Arial" w:cs="Arial" w:eastAsia="Arial" w:hAnsi="Arial"/>
          <w:b w:val="0"/>
          <w:i w:val="1"/>
          <w:color w:val="000000"/>
          <w:sz w:val="22"/>
          <w:szCs w:val="22"/>
          <w:rtl w:val="0"/>
        </w:rPr>
        <w:t xml:space="preserve"> </w:t>
      </w:r>
      <w:r w:rsidDel="00000000" w:rsidR="00000000" w:rsidRPr="00000000">
        <w:rPr>
          <w:rtl w:val="0"/>
        </w:rPr>
      </w:r>
    </w:p>
    <w:p w:rsidR="00000000" w:rsidDel="00000000" w:rsidP="00000000" w:rsidRDefault="00000000" w:rsidRPr="00000000" w14:paraId="00000006">
      <w:pPr>
        <w:widowControl w:val="0"/>
        <w:spacing w:after="200" w:before="283" w:line="276" w:lineRule="auto"/>
        <w:ind w:left="2582" w:right="-316" w:firstLine="0"/>
        <w:jc w:val="right"/>
        <w:rPr>
          <w:rFonts w:ascii="Arial" w:cs="Arial" w:eastAsia="Arial" w:hAnsi="Arial"/>
          <w:b w:val="0"/>
          <w:i w:val="0"/>
          <w:color w:val="000000"/>
          <w:sz w:val="22"/>
          <w:szCs w:val="22"/>
        </w:rPr>
      </w:pPr>
      <w:r w:rsidDel="00000000" w:rsidR="00000000" w:rsidRPr="00000000">
        <w:rPr>
          <w:rFonts w:ascii="Arial" w:cs="Arial" w:eastAsia="Arial" w:hAnsi="Arial"/>
          <w:b w:val="0"/>
          <w:i w:val="0"/>
          <w:color w:val="000000"/>
          <w:sz w:val="22"/>
          <w:szCs w:val="22"/>
          <w:rtl w:val="0"/>
        </w:rPr>
        <w:t xml:space="preserve">COSTA, Daniel Fernandes Vantil; Graduando da Faculdade Metropolitana de são Carlos - </w:t>
      </w:r>
      <w:hyperlink r:id="rId7">
        <w:r w:rsidDel="00000000" w:rsidR="00000000" w:rsidRPr="00000000">
          <w:rPr>
            <w:rFonts w:ascii="Arial" w:cs="Arial" w:eastAsia="Arial" w:hAnsi="Arial"/>
            <w:b w:val="0"/>
            <w:i w:val="1"/>
            <w:color w:val="1155cc"/>
            <w:sz w:val="22"/>
            <w:szCs w:val="22"/>
            <w:u w:val="single"/>
            <w:rtl w:val="0"/>
          </w:rPr>
          <w:t xml:space="preserve">Donierus@gmail.com</w:t>
        </w:r>
      </w:hyperlink>
      <w:r w:rsidDel="00000000" w:rsidR="00000000" w:rsidRPr="00000000">
        <w:rPr>
          <w:rFonts w:ascii="Arial" w:cs="Arial" w:eastAsia="Arial" w:hAnsi="Arial"/>
          <w:b w:val="0"/>
          <w:i w:val="1"/>
          <w:color w:val="000000"/>
          <w:sz w:val="22"/>
          <w:szCs w:val="22"/>
          <w:rtl w:val="0"/>
        </w:rPr>
        <w:t xml:space="preserve"> </w:t>
      </w:r>
      <w:r w:rsidDel="00000000" w:rsidR="00000000" w:rsidRPr="00000000">
        <w:rPr>
          <w:rFonts w:ascii="Arial" w:cs="Arial" w:eastAsia="Arial" w:hAnsi="Arial"/>
          <w:b w:val="0"/>
          <w:i w:val="0"/>
          <w:color w:val="000000"/>
          <w:sz w:val="22"/>
          <w:szCs w:val="22"/>
          <w:rtl w:val="0"/>
        </w:rPr>
        <w:t xml:space="preserve"> </w:t>
      </w:r>
    </w:p>
    <w:p w:rsidR="00000000" w:rsidDel="00000000" w:rsidP="00000000" w:rsidRDefault="00000000" w:rsidRPr="00000000" w14:paraId="00000007">
      <w:pPr>
        <w:widowControl w:val="0"/>
        <w:spacing w:after="200" w:before="283" w:line="276" w:lineRule="auto"/>
        <w:ind w:left="2692" w:right="-316" w:firstLine="0"/>
        <w:jc w:val="right"/>
        <w:rPr>
          <w:rFonts w:ascii="Arial" w:cs="Arial" w:eastAsia="Arial" w:hAnsi="Arial"/>
          <w:b w:val="0"/>
          <w:i w:val="0"/>
          <w:color w:val="000000"/>
          <w:sz w:val="22"/>
          <w:szCs w:val="22"/>
        </w:rPr>
      </w:pPr>
      <w:r w:rsidDel="00000000" w:rsidR="00000000" w:rsidRPr="00000000">
        <w:rPr>
          <w:rFonts w:ascii="Arial" w:cs="Arial" w:eastAsia="Arial" w:hAnsi="Arial"/>
          <w:b w:val="0"/>
          <w:i w:val="0"/>
          <w:color w:val="000000"/>
          <w:sz w:val="22"/>
          <w:szCs w:val="22"/>
          <w:rtl w:val="0"/>
        </w:rPr>
        <w:t xml:space="preserve">FILHO, Renato Mataveli Filho; Graduando da Faculdade Metropolitana de são Carlos -</w:t>
      </w:r>
      <w:r w:rsidDel="00000000" w:rsidR="00000000" w:rsidRPr="00000000">
        <w:rPr>
          <w:rFonts w:ascii="Arial" w:cs="Arial" w:eastAsia="Arial" w:hAnsi="Arial"/>
          <w:b w:val="0"/>
          <w:i w:val="0"/>
          <w:color w:val="000000"/>
          <w:sz w:val="20"/>
          <w:szCs w:val="20"/>
          <w:rtl w:val="0"/>
        </w:rPr>
        <w:t xml:space="preserve"> </w:t>
      </w:r>
      <w:hyperlink r:id="rId8">
        <w:r w:rsidDel="00000000" w:rsidR="00000000" w:rsidRPr="00000000">
          <w:rPr>
            <w:rFonts w:ascii="Arial" w:cs="Arial" w:eastAsia="Arial" w:hAnsi="Arial"/>
            <w:b w:val="0"/>
            <w:i w:val="1"/>
            <w:color w:val="1155cc"/>
            <w:sz w:val="22"/>
            <w:szCs w:val="22"/>
            <w:u w:val="single"/>
            <w:rtl w:val="0"/>
          </w:rPr>
          <w:t xml:space="preserve">Renatomatavelifilho@gmail.com</w:t>
        </w:r>
      </w:hyperlink>
      <w:r w:rsidDel="00000000" w:rsidR="00000000" w:rsidRPr="00000000">
        <w:rPr>
          <w:rtl w:val="0"/>
        </w:rPr>
      </w:r>
    </w:p>
    <w:p w:rsidR="00000000" w:rsidDel="00000000" w:rsidP="00000000" w:rsidRDefault="00000000" w:rsidRPr="00000000" w14:paraId="00000008">
      <w:pPr>
        <w:widowControl w:val="0"/>
        <w:spacing w:after="200" w:before="283" w:line="276" w:lineRule="auto"/>
        <w:ind w:left="2692" w:right="-316" w:firstLine="0"/>
        <w:jc w:val="right"/>
        <w:rPr/>
      </w:pPr>
      <w:r w:rsidDel="00000000" w:rsidR="00000000" w:rsidRPr="00000000">
        <w:rPr>
          <w:rFonts w:ascii="Arial" w:cs="Arial" w:eastAsia="Arial" w:hAnsi="Arial"/>
          <w:b w:val="0"/>
          <w:i w:val="0"/>
          <w:color w:val="000000"/>
          <w:sz w:val="22"/>
          <w:szCs w:val="22"/>
          <w:rtl w:val="0"/>
        </w:rPr>
        <w:t xml:space="preserve">ISTOE, Carolina Crespo; Docente da Faculdade Metropolitana de São Carlos - </w:t>
      </w:r>
      <w:hyperlink r:id="rId9">
        <w:r w:rsidDel="00000000" w:rsidR="00000000" w:rsidRPr="00000000">
          <w:rPr>
            <w:rFonts w:ascii="Arial" w:cs="Arial" w:eastAsia="Arial" w:hAnsi="Arial"/>
            <w:b w:val="0"/>
            <w:i w:val="1"/>
            <w:color w:val="1155cc"/>
            <w:sz w:val="22"/>
            <w:szCs w:val="22"/>
            <w:u w:val="single"/>
            <w:rtl w:val="0"/>
          </w:rPr>
          <w:t xml:space="preserve">carolcistoe@yahoo.com.br</w:t>
        </w:r>
      </w:hyperlink>
      <w:r w:rsidDel="00000000" w:rsidR="00000000" w:rsidRPr="00000000">
        <w:rPr>
          <w:rFonts w:ascii="Arial" w:cs="Arial" w:eastAsia="Arial" w:hAnsi="Arial"/>
          <w:b w:val="0"/>
          <w:i w:val="1"/>
          <w:color w:val="1155cc"/>
          <w:sz w:val="22"/>
          <w:szCs w:val="22"/>
          <w:u w:val="single"/>
          <w:rtl w:val="0"/>
        </w:rPr>
        <w:t xml:space="preserve"> </w:t>
      </w:r>
      <w:r w:rsidDel="00000000" w:rsidR="00000000" w:rsidRPr="00000000">
        <w:rPr>
          <w:rtl w:val="0"/>
        </w:rPr>
      </w:r>
    </w:p>
    <w:p w:rsidR="00000000" w:rsidDel="00000000" w:rsidP="00000000" w:rsidRDefault="00000000" w:rsidRPr="00000000" w14:paraId="00000009">
      <w:pPr>
        <w:widowControl w:val="0"/>
        <w:spacing w:after="200" w:before="283" w:line="276" w:lineRule="auto"/>
        <w:ind w:left="2692" w:right="-316" w:firstLine="0"/>
        <w:jc w:val="right"/>
        <w:rPr>
          <w:rFonts w:ascii="Arial" w:cs="Arial" w:eastAsia="Arial" w:hAnsi="Arial"/>
          <w:b w:val="0"/>
          <w:i w:val="0"/>
          <w:color w:val="000000"/>
          <w:sz w:val="22"/>
          <w:szCs w:val="22"/>
        </w:rPr>
      </w:pPr>
      <w:r w:rsidDel="00000000" w:rsidR="00000000" w:rsidRPr="00000000">
        <w:rPr>
          <w:rFonts w:ascii="Arial" w:cs="Arial" w:eastAsia="Arial" w:hAnsi="Arial"/>
          <w:b w:val="0"/>
          <w:i w:val="0"/>
          <w:color w:val="000000"/>
          <w:sz w:val="22"/>
          <w:szCs w:val="22"/>
          <w:rtl w:val="0"/>
        </w:rPr>
        <w:t xml:space="preserve">ANDRADE, Claudia Caixeta Franco; Docente da Faculdade Metropolitana de São Carlos </w:t>
      </w:r>
      <w:hyperlink r:id="rId10">
        <w:r w:rsidDel="00000000" w:rsidR="00000000" w:rsidRPr="00000000">
          <w:rPr>
            <w:rFonts w:ascii="Arial" w:cs="Arial" w:eastAsia="Arial" w:hAnsi="Arial"/>
            <w:b w:val="0"/>
            <w:i w:val="0"/>
            <w:color w:val="1155cc"/>
            <w:sz w:val="22"/>
            <w:szCs w:val="22"/>
            <w:u w:val="single"/>
            <w:rtl w:val="0"/>
          </w:rPr>
          <w:t xml:space="preserve">- </w:t>
        </w:r>
      </w:hyperlink>
      <w:hyperlink r:id="rId11">
        <w:r w:rsidDel="00000000" w:rsidR="00000000" w:rsidRPr="00000000">
          <w:rPr>
            <w:rFonts w:ascii="Arial" w:cs="Arial" w:eastAsia="Arial" w:hAnsi="Arial"/>
            <w:b w:val="0"/>
            <w:i w:val="1"/>
            <w:color w:val="1155cc"/>
            <w:sz w:val="22"/>
            <w:szCs w:val="22"/>
            <w:u w:val="single"/>
            <w:rtl w:val="0"/>
          </w:rPr>
          <w:t xml:space="preserve">claudiacfa@yahoo.com.br</w:t>
        </w:r>
      </w:hyperlink>
      <w:r w:rsidDel="00000000" w:rsidR="00000000" w:rsidRPr="00000000">
        <w:rPr>
          <w:rFonts w:ascii="Arial" w:cs="Arial" w:eastAsia="Arial" w:hAnsi="Arial"/>
          <w:b w:val="0"/>
          <w:i w:val="0"/>
          <w:color w:val="000000"/>
          <w:sz w:val="22"/>
          <w:szCs w:val="22"/>
          <w:rtl w:val="0"/>
        </w:rPr>
        <w:t xml:space="preserve">   </w:t>
      </w:r>
    </w:p>
    <w:p w:rsidR="00000000" w:rsidDel="00000000" w:rsidP="00000000" w:rsidRDefault="00000000" w:rsidRPr="00000000" w14:paraId="0000000A">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B">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INTRODUÇÃO</w:t>
      </w:r>
    </w:p>
    <w:p w:rsidR="00000000" w:rsidDel="00000000" w:rsidP="00000000" w:rsidRDefault="00000000" w:rsidRPr="00000000" w14:paraId="0000000C">
      <w:pPr>
        <w:tabs>
          <w:tab w:val="center" w:pos="4252"/>
          <w:tab w:val="right" w:pos="8504"/>
        </w:tabs>
        <w:spacing w:after="0" w:line="360" w:lineRule="auto"/>
        <w:jc w:val="both"/>
        <w:rPr>
          <w:rFonts w:ascii="Arial" w:cs="Arial" w:eastAsia="Arial" w:hAnsi="Arial"/>
          <w:b w:val="0"/>
          <w:i w:val="0"/>
          <w:color w:val="000000"/>
          <w:sz w:val="24"/>
          <w:szCs w:val="24"/>
        </w:rPr>
      </w:pPr>
      <w:r w:rsidDel="00000000" w:rsidR="00000000" w:rsidRPr="00000000">
        <w:rPr>
          <w:rFonts w:ascii="Arial" w:cs="Arial" w:eastAsia="Arial" w:hAnsi="Arial"/>
          <w:b w:val="0"/>
          <w:i w:val="0"/>
          <w:color w:val="000000"/>
          <w:sz w:val="24"/>
          <w:szCs w:val="24"/>
          <w:rtl w:val="0"/>
        </w:rPr>
        <w:t xml:space="preserve">A Doença de Gaucher (DG) foi descoberta em 1882, pelo doutor </w:t>
      </w:r>
      <w:r w:rsidDel="00000000" w:rsidR="00000000" w:rsidRPr="00000000">
        <w:rPr>
          <w:rFonts w:ascii="Arial" w:cs="Arial" w:eastAsia="Arial" w:hAnsi="Arial"/>
          <w:b w:val="0"/>
          <w:i w:val="0"/>
          <w:color w:val="202122"/>
          <w:sz w:val="24"/>
          <w:szCs w:val="24"/>
          <w:rtl w:val="0"/>
        </w:rPr>
        <w:t xml:space="preserve"> </w:t>
      </w:r>
      <w:r w:rsidDel="00000000" w:rsidR="00000000" w:rsidRPr="00000000">
        <w:rPr>
          <w:rFonts w:ascii="Arial" w:cs="Arial" w:eastAsia="Arial" w:hAnsi="Arial"/>
          <w:b w:val="0"/>
          <w:i w:val="0"/>
          <w:color w:val="000000"/>
          <w:sz w:val="24"/>
          <w:szCs w:val="24"/>
          <w:rtl w:val="0"/>
        </w:rPr>
        <w:t xml:space="preserve">Phillippe Charles Ernest Gaucher, que cuidou de uma mulher cujo fígado e baço estavam comprometidos e com seu tamanho aumentado. Apesar de ser uma doença rara, é a doença lisossômica mais frequente, que de maneira geral é uma mutação em determinados genes responsáveis pelo funcionamento de enzimas que metabolizam gorduras específicas. Essa deficiência de ação enzimática ocasiona no acúmulo dessas gorduras no organismo, provocando as mais diversas consequências.</w:t>
      </w:r>
    </w:p>
    <w:p w:rsidR="00000000" w:rsidDel="00000000" w:rsidP="00000000" w:rsidRDefault="00000000" w:rsidRPr="00000000" w14:paraId="0000000D">
      <w:pPr>
        <w:tabs>
          <w:tab w:val="center" w:pos="4252"/>
          <w:tab w:val="right" w:pos="8504"/>
        </w:tabs>
        <w:spacing w:after="0" w:line="360" w:lineRule="auto"/>
        <w:jc w:val="both"/>
        <w:rPr>
          <w:rFonts w:ascii="Arial" w:cs="Arial" w:eastAsia="Arial" w:hAnsi="Arial"/>
          <w:b w:val="0"/>
          <w:i w:val="0"/>
          <w:color w:val="000000"/>
          <w:sz w:val="24"/>
          <w:szCs w:val="24"/>
        </w:rPr>
      </w:pPr>
      <w:r w:rsidDel="00000000" w:rsidR="00000000" w:rsidRPr="00000000">
        <w:rPr>
          <w:rFonts w:ascii="Arial" w:cs="Arial" w:eastAsia="Arial" w:hAnsi="Arial"/>
          <w:b w:val="0"/>
          <w:i w:val="0"/>
          <w:color w:val="000000"/>
          <w:sz w:val="24"/>
          <w:szCs w:val="24"/>
          <w:rtl w:val="0"/>
        </w:rPr>
        <w:t xml:space="preserve">    Essa patologia acomete em torno de 1 a cada 60.000 indivíduos em todo mundo, mas essa frequência pode variar de uma etnia para outra. No caso dos Judeus Ashkenazi por exemplo, a frequência chega a 1: 1000, embora as causas para tal fenômeno não sejam muito claras. A Doença de Gaucher é subdivida em três tipo, a depender da gravidade dos sintomas, sendo que o tipo 1 o mais comum de todos, representando cerca de 95% dos casos da doença.(BILLETTE, Thierry, 2006 )</w:t>
      </w:r>
    </w:p>
    <w:p w:rsidR="00000000" w:rsidDel="00000000" w:rsidP="00000000" w:rsidRDefault="00000000" w:rsidRPr="00000000" w14:paraId="0000000E">
      <w:pPr>
        <w:tabs>
          <w:tab w:val="center" w:pos="4252"/>
          <w:tab w:val="right" w:pos="8504"/>
        </w:tabs>
        <w:spacing w:after="0" w:line="360" w:lineRule="auto"/>
        <w:jc w:val="both"/>
        <w:rPr>
          <w:rFonts w:ascii="Arial" w:cs="Arial" w:eastAsia="Arial" w:hAnsi="Arial"/>
          <w:b w:val="0"/>
          <w:i w:val="0"/>
          <w:color w:val="000000"/>
          <w:sz w:val="24"/>
          <w:szCs w:val="24"/>
        </w:rPr>
      </w:pPr>
      <w:r w:rsidDel="00000000" w:rsidR="00000000" w:rsidRPr="00000000">
        <w:rPr>
          <w:rFonts w:ascii="Arial" w:cs="Arial" w:eastAsia="Arial" w:hAnsi="Arial"/>
          <w:b w:val="0"/>
          <w:i w:val="0"/>
          <w:color w:val="ff0000"/>
          <w:sz w:val="24"/>
          <w:szCs w:val="24"/>
          <w:rtl w:val="0"/>
        </w:rPr>
        <w:t xml:space="preserve">    </w:t>
      </w:r>
      <w:r w:rsidDel="00000000" w:rsidR="00000000" w:rsidRPr="00000000">
        <w:rPr>
          <w:rFonts w:ascii="Arial" w:cs="Arial" w:eastAsia="Arial" w:hAnsi="Arial"/>
          <w:b w:val="0"/>
          <w:i w:val="0"/>
          <w:color w:val="000000"/>
          <w:sz w:val="24"/>
          <w:szCs w:val="24"/>
          <w:rtl w:val="0"/>
        </w:rPr>
        <w:t xml:space="preserve">Se não tratada a DG pode culminar na morte do indivíduo afetado; e como  o tratamento para essa doença é extremamente específico, é de suma importância que os profissionais da saúde sejam capazes de detectar e diagnosticar essa patologia cujos sintomas são inespecíficos e semelhantes à outras doenças. Além disso, por ser considerada uma doença rara, as informações sobre a DG são dispersas e pouco comentadas. Por isso,o  objetivo deste artigo é apresentar a Doença de Gaucher, explicando em detalhes os processos metabólicos comprometidos, os diferentes tipos da doença, bem como trazer a tona a discussão sobre os benefícios e desvantagens dos medicamentos utilizados nos tratamentos da Doença.</w:t>
      </w:r>
    </w:p>
    <w:p w:rsidR="00000000" w:rsidDel="00000000" w:rsidP="00000000" w:rsidRDefault="00000000" w:rsidRPr="00000000" w14:paraId="0000000F">
      <w:pPr>
        <w:spacing w:line="360" w:lineRule="auto"/>
        <w:jc w:val="both"/>
        <w:rPr>
          <w:rFonts w:ascii="Arial" w:cs="Arial" w:eastAsia="Arial" w:hAnsi="Arial"/>
          <w:b w:val="0"/>
          <w:i w:val="0"/>
          <w:color w:val="000000"/>
          <w:sz w:val="24"/>
          <w:szCs w:val="24"/>
        </w:rPr>
      </w:pPr>
      <w:r w:rsidDel="00000000" w:rsidR="00000000" w:rsidRPr="00000000">
        <w:rPr>
          <w:rtl w:val="0"/>
        </w:rPr>
      </w:r>
    </w:p>
    <w:p w:rsidR="00000000" w:rsidDel="00000000" w:rsidP="00000000" w:rsidRDefault="00000000" w:rsidRPr="00000000" w14:paraId="00000010">
      <w:pPr>
        <w:spacing w:line="360" w:lineRule="auto"/>
        <w:jc w:val="both"/>
        <w:rPr>
          <w:rFonts w:ascii="Arial" w:cs="Arial" w:eastAsia="Arial" w:hAnsi="Arial"/>
          <w:b w:val="0"/>
          <w:i w:val="0"/>
          <w:color w:val="000000"/>
          <w:sz w:val="24"/>
          <w:szCs w:val="24"/>
        </w:rPr>
      </w:pPr>
      <w:r w:rsidDel="00000000" w:rsidR="00000000" w:rsidRPr="00000000">
        <w:rPr>
          <w:rtl w:val="0"/>
        </w:rPr>
      </w:r>
    </w:p>
    <w:p w:rsidR="00000000" w:rsidDel="00000000" w:rsidP="00000000" w:rsidRDefault="00000000" w:rsidRPr="00000000" w14:paraId="00000011">
      <w:pPr>
        <w:keepNext w:val="1"/>
        <w:keepLines w:val="1"/>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MATERIAL E MÉTODOS</w:t>
      </w:r>
    </w:p>
    <w:p w:rsidR="00000000" w:rsidDel="00000000" w:rsidP="00000000" w:rsidRDefault="00000000" w:rsidRPr="00000000" w14:paraId="00000012">
      <w:pPr>
        <w:spacing w:after="0" w:line="360" w:lineRule="auto"/>
        <w:rPr/>
      </w:pPr>
      <w:r w:rsidDel="00000000" w:rsidR="00000000" w:rsidRPr="00000000">
        <w:rPr>
          <w:rtl w:val="0"/>
        </w:rPr>
      </w:r>
    </w:p>
    <w:p w:rsidR="00000000" w:rsidDel="00000000" w:rsidP="00000000" w:rsidRDefault="00000000" w:rsidRPr="00000000" w14:paraId="00000013">
      <w:pPr>
        <w:spacing w:after="0" w:line="360" w:lineRule="auto"/>
        <w:jc w:val="both"/>
        <w:rPr>
          <w:rFonts w:ascii="Arial" w:cs="Arial" w:eastAsia="Arial" w:hAnsi="Arial"/>
          <w:b w:val="0"/>
          <w:i w:val="0"/>
          <w:color w:val="000000"/>
          <w:sz w:val="24"/>
          <w:szCs w:val="24"/>
        </w:rPr>
      </w:pPr>
      <w:r w:rsidDel="00000000" w:rsidR="00000000" w:rsidRPr="00000000">
        <w:rPr>
          <w:rFonts w:ascii="Arial" w:cs="Arial" w:eastAsia="Arial" w:hAnsi="Arial"/>
          <w:b w:val="0"/>
          <w:i w:val="0"/>
          <w:color w:val="000000"/>
          <w:sz w:val="24"/>
          <w:szCs w:val="24"/>
          <w:rtl w:val="0"/>
        </w:rPr>
        <w:t xml:space="preserve">Para o desenvolvimento deste estudo, foi realizada uma revisão sistemática de diversos artigos científicos relacionados à Doença de Gaucher, com o intuito de reunir uma grande gama de informações sobre os sintomas, diagnósticos, métodos de tratamento e problemáticas acerca de medicamentos. Para tanto, foram utilizadas as plataformas Scielo, PubMed e Google Acadêmico. Além disso, foram coletadas informações de portarias e documentos oficiais do Ministério da Saúde, que normatizam as práticas de diagnóstico e tratamento dentro do território nacional.</w:t>
      </w:r>
    </w:p>
    <w:p w:rsidR="00000000" w:rsidDel="00000000" w:rsidP="00000000" w:rsidRDefault="00000000" w:rsidRPr="00000000" w14:paraId="00000014">
      <w:pPr>
        <w:spacing w:line="360" w:lineRule="auto"/>
        <w:jc w:val="both"/>
        <w:rPr>
          <w:rFonts w:ascii="Arial" w:cs="Arial" w:eastAsia="Arial" w:hAnsi="Arial"/>
          <w:b w:val="0"/>
          <w:i w:val="0"/>
          <w:color w:val="000000"/>
          <w:sz w:val="24"/>
          <w:szCs w:val="24"/>
        </w:rPr>
      </w:pPr>
      <w:r w:rsidDel="00000000" w:rsidR="00000000" w:rsidRPr="00000000">
        <w:rPr>
          <w:rtl w:val="0"/>
        </w:rPr>
      </w:r>
    </w:p>
    <w:p w:rsidR="00000000" w:rsidDel="00000000" w:rsidP="00000000" w:rsidRDefault="00000000" w:rsidRPr="00000000" w14:paraId="00000015">
      <w:pPr>
        <w:spacing w:line="360" w:lineRule="auto"/>
        <w:jc w:val="both"/>
        <w:rPr>
          <w:rFonts w:ascii="Arial" w:cs="Arial" w:eastAsia="Arial" w:hAnsi="Arial"/>
          <w:b w:val="0"/>
          <w:i w:val="0"/>
          <w:color w:val="000000"/>
          <w:sz w:val="24"/>
          <w:szCs w:val="24"/>
        </w:rPr>
      </w:pPr>
      <w:r w:rsidDel="00000000" w:rsidR="00000000" w:rsidRPr="00000000">
        <w:rPr>
          <w:rtl w:val="0"/>
        </w:rPr>
      </w:r>
    </w:p>
    <w:p w:rsidR="00000000" w:rsidDel="00000000" w:rsidP="00000000" w:rsidRDefault="00000000" w:rsidRPr="00000000" w14:paraId="00000016">
      <w:pPr>
        <w:keepNext w:val="1"/>
        <w:keepLines w:val="1"/>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DESENVOLVIMENTO</w:t>
      </w:r>
    </w:p>
    <w:p w:rsidR="00000000" w:rsidDel="00000000" w:rsidP="00000000" w:rsidRDefault="00000000" w:rsidRPr="00000000" w14:paraId="00000017">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018">
      <w:pPr>
        <w:spacing w:after="0" w:line="360" w:lineRule="auto"/>
        <w:jc w:val="both"/>
        <w:rPr>
          <w:rFonts w:ascii="Arial" w:cs="Arial" w:eastAsia="Arial" w:hAnsi="Arial"/>
          <w:b w:val="0"/>
          <w:i w:val="0"/>
          <w:color w:val="000000"/>
          <w:sz w:val="24"/>
          <w:szCs w:val="24"/>
        </w:rPr>
      </w:pPr>
      <w:r w:rsidDel="00000000" w:rsidR="00000000" w:rsidRPr="00000000">
        <w:rPr>
          <w:rFonts w:ascii="Arial" w:cs="Arial" w:eastAsia="Arial" w:hAnsi="Arial"/>
          <w:b w:val="0"/>
          <w:i w:val="0"/>
          <w:color w:val="000000"/>
          <w:sz w:val="24"/>
          <w:szCs w:val="24"/>
          <w:rtl w:val="0"/>
        </w:rPr>
        <w:t xml:space="preserve">A Doença de Gaucher é uma doença clinicamente heterogênea – isto é, que possui uma gama diversificada de etiologias –, autossômica recessiva. Trata-se do erro no metabolismo mais frequente do grupo das doenças de depósito lisossômico. A deficiência ou presença não-funcional da enzima glucocerebrosidase – responsável pela catálise da degradação de glucocerebrosídeos – leva ao aumento desse derivado de membranas que são fagocitadas pelos macrófagos, sendo, ao fim, depositado e armazenado nos lisossomos da linhagem dos macrófagos chamada de células de Gaucher no sistema retículo-endotelial, principalmente no fígado, no baço, na medula óssea, no SNC, nos pulmões e nos gânglios linfáticos. O acúmulo desses esfingolipídeos nessas regiões causam danos progressivos que podem comprometer, fatalmente, o funcionamento dos órgãos atingidos. (SIMÕES </w:t>
      </w:r>
      <w:r w:rsidDel="00000000" w:rsidR="00000000" w:rsidRPr="00000000">
        <w:rPr>
          <w:rFonts w:ascii="Arial" w:cs="Arial" w:eastAsia="Arial" w:hAnsi="Arial"/>
          <w:b w:val="1"/>
          <w:i w:val="1"/>
          <w:color w:val="000000"/>
          <w:sz w:val="24"/>
          <w:szCs w:val="24"/>
          <w:rtl w:val="0"/>
        </w:rPr>
        <w:t xml:space="preserve">et al</w:t>
      </w:r>
      <w:r w:rsidDel="00000000" w:rsidR="00000000" w:rsidRPr="00000000">
        <w:rPr>
          <w:rFonts w:ascii="Arial" w:cs="Arial" w:eastAsia="Arial" w:hAnsi="Arial"/>
          <w:b w:val="0"/>
          <w:i w:val="1"/>
          <w:color w:val="000000"/>
          <w:sz w:val="24"/>
          <w:szCs w:val="24"/>
          <w:rtl w:val="0"/>
        </w:rPr>
        <w:t xml:space="preserve">, 2006)</w:t>
      </w:r>
      <w:r w:rsidDel="00000000" w:rsidR="00000000" w:rsidRPr="00000000">
        <w:rPr>
          <w:rtl w:val="0"/>
        </w:rPr>
      </w:r>
    </w:p>
    <w:p w:rsidR="00000000" w:rsidDel="00000000" w:rsidP="00000000" w:rsidRDefault="00000000" w:rsidRPr="00000000" w14:paraId="00000019">
      <w:pPr>
        <w:spacing w:after="0" w:line="360" w:lineRule="auto"/>
        <w:rPr>
          <w:rFonts w:ascii="Arial" w:cs="Arial" w:eastAsia="Arial" w:hAnsi="Arial"/>
          <w:b w:val="0"/>
          <w:i w:val="0"/>
          <w:color w:val="000000"/>
          <w:sz w:val="24"/>
          <w:szCs w:val="24"/>
        </w:rPr>
      </w:pPr>
      <w:r w:rsidDel="00000000" w:rsidR="00000000" w:rsidRPr="00000000">
        <w:rPr>
          <w:rtl w:val="0"/>
        </w:rPr>
      </w:r>
    </w:p>
    <w:tbl>
      <w:tblPr>
        <w:tblStyle w:val="Table1"/>
        <w:tblW w:w="907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2268"/>
        <w:gridCol w:w="2268"/>
        <w:gridCol w:w="2268"/>
        <w:tblGridChange w:id="0">
          <w:tblGrid>
            <w:gridCol w:w="2268"/>
            <w:gridCol w:w="2268"/>
            <w:gridCol w:w="2268"/>
            <w:gridCol w:w="2268"/>
          </w:tblGrid>
        </w:tblGridChange>
      </w:tblGrid>
      <w:tr>
        <w:tc>
          <w:tcPr/>
          <w:p w:rsidR="00000000" w:rsidDel="00000000" w:rsidP="00000000" w:rsidRDefault="00000000" w:rsidRPr="00000000" w14:paraId="0000001A">
            <w:pPr>
              <w:spacing w:line="259" w:lineRule="auto"/>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 xml:space="preserve">Doença de Gaucher</w:t>
            </w:r>
            <w:r w:rsidDel="00000000" w:rsidR="00000000" w:rsidRPr="00000000">
              <w:rPr>
                <w:rtl w:val="0"/>
              </w:rPr>
            </w:r>
          </w:p>
        </w:tc>
        <w:tc>
          <w:tcPr/>
          <w:p w:rsidR="00000000" w:rsidDel="00000000" w:rsidP="00000000" w:rsidRDefault="00000000" w:rsidRPr="00000000" w14:paraId="0000001B">
            <w:pPr>
              <w:spacing w:line="259" w:lineRule="auto"/>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 xml:space="preserve">Tipo 1</w:t>
            </w:r>
            <w:r w:rsidDel="00000000" w:rsidR="00000000" w:rsidRPr="00000000">
              <w:rPr>
                <w:rtl w:val="0"/>
              </w:rPr>
            </w:r>
          </w:p>
        </w:tc>
        <w:tc>
          <w:tcPr/>
          <w:p w:rsidR="00000000" w:rsidDel="00000000" w:rsidP="00000000" w:rsidRDefault="00000000" w:rsidRPr="00000000" w14:paraId="0000001C">
            <w:pPr>
              <w:spacing w:line="259" w:lineRule="auto"/>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 xml:space="preserve">Tipo 2</w:t>
            </w:r>
            <w:r w:rsidDel="00000000" w:rsidR="00000000" w:rsidRPr="00000000">
              <w:rPr>
                <w:rtl w:val="0"/>
              </w:rPr>
            </w:r>
          </w:p>
        </w:tc>
        <w:tc>
          <w:tcPr/>
          <w:p w:rsidR="00000000" w:rsidDel="00000000" w:rsidP="00000000" w:rsidRDefault="00000000" w:rsidRPr="00000000" w14:paraId="0000001D">
            <w:pPr>
              <w:spacing w:line="259" w:lineRule="auto"/>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 xml:space="preserve">Tipo 3</w:t>
            </w:r>
            <w:r w:rsidDel="00000000" w:rsidR="00000000" w:rsidRPr="00000000">
              <w:rPr>
                <w:rtl w:val="0"/>
              </w:rPr>
            </w:r>
          </w:p>
        </w:tc>
      </w:tr>
      <w:tr>
        <w:tc>
          <w:tcPr/>
          <w:p w:rsidR="00000000" w:rsidDel="00000000" w:rsidP="00000000" w:rsidRDefault="00000000" w:rsidRPr="00000000" w14:paraId="0000001E">
            <w:pPr>
              <w:spacing w:line="259" w:lineRule="auto"/>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 xml:space="preserve">Prevalência</w:t>
            </w:r>
            <w:r w:rsidDel="00000000" w:rsidR="00000000" w:rsidRPr="00000000">
              <w:rPr>
                <w:rtl w:val="0"/>
              </w:rPr>
            </w:r>
          </w:p>
        </w:tc>
        <w:tc>
          <w:tcPr/>
          <w:p w:rsidR="00000000" w:rsidDel="00000000" w:rsidP="00000000" w:rsidRDefault="00000000" w:rsidRPr="00000000" w14:paraId="0000001F">
            <w:pPr>
              <w:spacing w:line="259" w:lineRule="auto"/>
              <w:rPr>
                <w:rFonts w:ascii="Arial" w:cs="Arial" w:eastAsia="Arial" w:hAnsi="Arial"/>
                <w:b w:val="0"/>
                <w:i w:val="0"/>
                <w:sz w:val="24"/>
                <w:szCs w:val="24"/>
              </w:rPr>
            </w:pPr>
            <w:r w:rsidDel="00000000" w:rsidR="00000000" w:rsidRPr="00000000">
              <w:rPr>
                <w:rFonts w:ascii="Arial" w:cs="Arial" w:eastAsia="Arial" w:hAnsi="Arial"/>
                <w:b w:val="0"/>
                <w:i w:val="0"/>
                <w:sz w:val="24"/>
                <w:szCs w:val="24"/>
                <w:rtl w:val="0"/>
              </w:rPr>
              <w:t xml:space="preserve">Mais comum entre os casos, 95% dos casos</w:t>
            </w:r>
          </w:p>
        </w:tc>
        <w:tc>
          <w:tcPr/>
          <w:p w:rsidR="00000000" w:rsidDel="00000000" w:rsidP="00000000" w:rsidRDefault="00000000" w:rsidRPr="00000000" w14:paraId="00000020">
            <w:pPr>
              <w:spacing w:line="259" w:lineRule="auto"/>
              <w:rPr>
                <w:rFonts w:ascii="Arial" w:cs="Arial" w:eastAsia="Arial" w:hAnsi="Arial"/>
                <w:b w:val="0"/>
                <w:i w:val="0"/>
                <w:sz w:val="24"/>
                <w:szCs w:val="24"/>
              </w:rPr>
            </w:pPr>
            <w:r w:rsidDel="00000000" w:rsidR="00000000" w:rsidRPr="00000000">
              <w:rPr>
                <w:rFonts w:ascii="Arial" w:cs="Arial" w:eastAsia="Arial" w:hAnsi="Arial"/>
                <w:b w:val="0"/>
                <w:i w:val="0"/>
                <w:sz w:val="24"/>
                <w:szCs w:val="24"/>
                <w:rtl w:val="0"/>
              </w:rPr>
              <w:t xml:space="preserve">Raro</w:t>
            </w:r>
          </w:p>
        </w:tc>
        <w:tc>
          <w:tcPr/>
          <w:p w:rsidR="00000000" w:rsidDel="00000000" w:rsidP="00000000" w:rsidRDefault="00000000" w:rsidRPr="00000000" w14:paraId="00000021">
            <w:pPr>
              <w:spacing w:line="259" w:lineRule="auto"/>
              <w:rPr>
                <w:rFonts w:ascii="Arial" w:cs="Arial" w:eastAsia="Arial" w:hAnsi="Arial"/>
                <w:b w:val="0"/>
                <w:i w:val="0"/>
                <w:sz w:val="24"/>
                <w:szCs w:val="24"/>
              </w:rPr>
            </w:pPr>
            <w:r w:rsidDel="00000000" w:rsidR="00000000" w:rsidRPr="00000000">
              <w:rPr>
                <w:rFonts w:ascii="Arial" w:cs="Arial" w:eastAsia="Arial" w:hAnsi="Arial"/>
                <w:b w:val="0"/>
                <w:i w:val="0"/>
                <w:sz w:val="24"/>
                <w:szCs w:val="24"/>
                <w:rtl w:val="0"/>
              </w:rPr>
              <w:t xml:space="preserve">Raro</w:t>
            </w:r>
          </w:p>
        </w:tc>
      </w:tr>
      <w:tr>
        <w:tc>
          <w:tcPr/>
          <w:p w:rsidR="00000000" w:rsidDel="00000000" w:rsidP="00000000" w:rsidRDefault="00000000" w:rsidRPr="00000000" w14:paraId="00000022">
            <w:pPr>
              <w:spacing w:line="259" w:lineRule="auto"/>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 xml:space="preserve">Faixa de idade afetada</w:t>
            </w:r>
            <w:r w:rsidDel="00000000" w:rsidR="00000000" w:rsidRPr="00000000">
              <w:rPr>
                <w:rtl w:val="0"/>
              </w:rPr>
            </w:r>
          </w:p>
        </w:tc>
        <w:tc>
          <w:tcPr/>
          <w:p w:rsidR="00000000" w:rsidDel="00000000" w:rsidP="00000000" w:rsidRDefault="00000000" w:rsidRPr="00000000" w14:paraId="00000023">
            <w:pPr>
              <w:spacing w:line="259" w:lineRule="auto"/>
              <w:rPr>
                <w:rFonts w:ascii="Arial" w:cs="Arial" w:eastAsia="Arial" w:hAnsi="Arial"/>
                <w:b w:val="0"/>
                <w:i w:val="0"/>
                <w:sz w:val="24"/>
                <w:szCs w:val="24"/>
              </w:rPr>
            </w:pPr>
            <w:r w:rsidDel="00000000" w:rsidR="00000000" w:rsidRPr="00000000">
              <w:rPr>
                <w:rFonts w:ascii="Arial" w:cs="Arial" w:eastAsia="Arial" w:hAnsi="Arial"/>
                <w:b w:val="0"/>
                <w:i w:val="0"/>
                <w:sz w:val="24"/>
                <w:szCs w:val="24"/>
                <w:rtl w:val="0"/>
              </w:rPr>
              <w:t xml:space="preserve">Adultos</w:t>
            </w:r>
          </w:p>
        </w:tc>
        <w:tc>
          <w:tcPr/>
          <w:p w:rsidR="00000000" w:rsidDel="00000000" w:rsidP="00000000" w:rsidRDefault="00000000" w:rsidRPr="00000000" w14:paraId="00000024">
            <w:pPr>
              <w:spacing w:line="259" w:lineRule="auto"/>
              <w:rPr>
                <w:rFonts w:ascii="Arial" w:cs="Arial" w:eastAsia="Arial" w:hAnsi="Arial"/>
                <w:b w:val="0"/>
                <w:i w:val="0"/>
                <w:sz w:val="24"/>
                <w:szCs w:val="24"/>
              </w:rPr>
            </w:pPr>
            <w:r w:rsidDel="00000000" w:rsidR="00000000" w:rsidRPr="00000000">
              <w:rPr>
                <w:rFonts w:ascii="Arial" w:cs="Arial" w:eastAsia="Arial" w:hAnsi="Arial"/>
                <w:b w:val="0"/>
                <w:i w:val="0"/>
                <w:sz w:val="24"/>
                <w:szCs w:val="24"/>
                <w:rtl w:val="0"/>
              </w:rPr>
              <w:t xml:space="preserve">Infância</w:t>
            </w:r>
          </w:p>
        </w:tc>
        <w:tc>
          <w:tcPr/>
          <w:p w:rsidR="00000000" w:rsidDel="00000000" w:rsidP="00000000" w:rsidRDefault="00000000" w:rsidRPr="00000000" w14:paraId="00000025">
            <w:pPr>
              <w:spacing w:line="259" w:lineRule="auto"/>
              <w:rPr>
                <w:rFonts w:ascii="Arial" w:cs="Arial" w:eastAsia="Arial" w:hAnsi="Arial"/>
                <w:b w:val="0"/>
                <w:i w:val="0"/>
                <w:sz w:val="24"/>
                <w:szCs w:val="24"/>
              </w:rPr>
            </w:pPr>
            <w:r w:rsidDel="00000000" w:rsidR="00000000" w:rsidRPr="00000000">
              <w:rPr>
                <w:rFonts w:ascii="Arial" w:cs="Arial" w:eastAsia="Arial" w:hAnsi="Arial"/>
                <w:b w:val="0"/>
                <w:i w:val="0"/>
                <w:sz w:val="24"/>
                <w:szCs w:val="24"/>
                <w:rtl w:val="0"/>
              </w:rPr>
              <w:t xml:space="preserve">Adolescência e fim da infância</w:t>
            </w:r>
          </w:p>
        </w:tc>
      </w:tr>
      <w:tr>
        <w:tc>
          <w:tcPr/>
          <w:p w:rsidR="00000000" w:rsidDel="00000000" w:rsidP="00000000" w:rsidRDefault="00000000" w:rsidRPr="00000000" w14:paraId="00000026">
            <w:pPr>
              <w:spacing w:line="259" w:lineRule="auto"/>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 xml:space="preserve">Padrão da doença</w:t>
            </w:r>
            <w:r w:rsidDel="00000000" w:rsidR="00000000" w:rsidRPr="00000000">
              <w:rPr>
                <w:rtl w:val="0"/>
              </w:rPr>
            </w:r>
          </w:p>
        </w:tc>
        <w:tc>
          <w:tcPr/>
          <w:p w:rsidR="00000000" w:rsidDel="00000000" w:rsidP="00000000" w:rsidRDefault="00000000" w:rsidRPr="00000000" w14:paraId="00000027">
            <w:pPr>
              <w:spacing w:line="259" w:lineRule="auto"/>
              <w:rPr>
                <w:rFonts w:ascii="Arial" w:cs="Arial" w:eastAsia="Arial" w:hAnsi="Arial"/>
                <w:b w:val="0"/>
                <w:i w:val="0"/>
                <w:sz w:val="24"/>
                <w:szCs w:val="24"/>
              </w:rPr>
            </w:pPr>
            <w:r w:rsidDel="00000000" w:rsidR="00000000" w:rsidRPr="00000000">
              <w:rPr>
                <w:rFonts w:ascii="Arial" w:cs="Arial" w:eastAsia="Arial" w:hAnsi="Arial"/>
                <w:b w:val="0"/>
                <w:i w:val="0"/>
                <w:sz w:val="24"/>
                <w:szCs w:val="24"/>
                <w:rtl w:val="0"/>
              </w:rPr>
              <w:t xml:space="preserve">Crônica, sem acometimento neurológico</w:t>
            </w:r>
          </w:p>
        </w:tc>
        <w:tc>
          <w:tcPr/>
          <w:p w:rsidR="00000000" w:rsidDel="00000000" w:rsidP="00000000" w:rsidRDefault="00000000" w:rsidRPr="00000000" w14:paraId="00000028">
            <w:pPr>
              <w:spacing w:line="259" w:lineRule="auto"/>
              <w:rPr>
                <w:rFonts w:ascii="Arial" w:cs="Arial" w:eastAsia="Arial" w:hAnsi="Arial"/>
                <w:b w:val="0"/>
                <w:i w:val="0"/>
                <w:sz w:val="24"/>
                <w:szCs w:val="24"/>
              </w:rPr>
            </w:pPr>
            <w:r w:rsidDel="00000000" w:rsidR="00000000" w:rsidRPr="00000000">
              <w:rPr>
                <w:rFonts w:ascii="Arial" w:cs="Arial" w:eastAsia="Arial" w:hAnsi="Arial"/>
                <w:b w:val="0"/>
                <w:i w:val="0"/>
                <w:sz w:val="24"/>
                <w:szCs w:val="24"/>
                <w:rtl w:val="0"/>
              </w:rPr>
              <w:t xml:space="preserve">Aguda, comprometimento neurológico presente</w:t>
            </w:r>
          </w:p>
        </w:tc>
        <w:tc>
          <w:tcPr/>
          <w:p w:rsidR="00000000" w:rsidDel="00000000" w:rsidP="00000000" w:rsidRDefault="00000000" w:rsidRPr="00000000" w14:paraId="00000029">
            <w:pPr>
              <w:spacing w:line="259" w:lineRule="auto"/>
              <w:rPr>
                <w:rFonts w:ascii="Arial" w:cs="Arial" w:eastAsia="Arial" w:hAnsi="Arial"/>
                <w:b w:val="0"/>
                <w:i w:val="0"/>
                <w:sz w:val="24"/>
                <w:szCs w:val="24"/>
              </w:rPr>
            </w:pPr>
            <w:r w:rsidDel="00000000" w:rsidR="00000000" w:rsidRPr="00000000">
              <w:rPr>
                <w:rFonts w:ascii="Arial" w:cs="Arial" w:eastAsia="Arial" w:hAnsi="Arial"/>
                <w:b w:val="0"/>
                <w:i w:val="0"/>
                <w:sz w:val="24"/>
                <w:szCs w:val="24"/>
                <w:rtl w:val="0"/>
              </w:rPr>
              <w:t xml:space="preserve">Crônico, comprometimento neurológico presente</w:t>
            </w:r>
          </w:p>
        </w:tc>
      </w:tr>
      <w:tr>
        <w:tc>
          <w:tcPr/>
          <w:p w:rsidR="00000000" w:rsidDel="00000000" w:rsidP="00000000" w:rsidRDefault="00000000" w:rsidRPr="00000000" w14:paraId="0000002A">
            <w:pPr>
              <w:spacing w:line="259" w:lineRule="auto"/>
              <w:jc w:val="left"/>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 xml:space="preserve">Evolução e tratamento</w:t>
            </w:r>
            <w:r w:rsidDel="00000000" w:rsidR="00000000" w:rsidRPr="00000000">
              <w:rPr>
                <w:rtl w:val="0"/>
              </w:rPr>
            </w:r>
          </w:p>
        </w:tc>
        <w:tc>
          <w:tcPr/>
          <w:p w:rsidR="00000000" w:rsidDel="00000000" w:rsidP="00000000" w:rsidRDefault="00000000" w:rsidRPr="00000000" w14:paraId="0000002B">
            <w:pPr>
              <w:spacing w:line="259" w:lineRule="auto"/>
              <w:rPr>
                <w:rFonts w:ascii="Arial" w:cs="Arial" w:eastAsia="Arial" w:hAnsi="Arial"/>
                <w:b w:val="0"/>
                <w:i w:val="0"/>
                <w:sz w:val="24"/>
                <w:szCs w:val="24"/>
              </w:rPr>
            </w:pPr>
            <w:r w:rsidDel="00000000" w:rsidR="00000000" w:rsidRPr="00000000">
              <w:rPr>
                <w:rFonts w:ascii="Arial" w:cs="Arial" w:eastAsia="Arial" w:hAnsi="Arial"/>
                <w:b w:val="0"/>
                <w:i w:val="0"/>
                <w:sz w:val="24"/>
                <w:szCs w:val="24"/>
                <w:rtl w:val="0"/>
              </w:rPr>
              <w:t xml:space="preserve">Tratamento geralmente resulta de maneira positiva e o indivíduo pode levar a vida de maneira normal</w:t>
            </w:r>
          </w:p>
        </w:tc>
        <w:tc>
          <w:tcPr/>
          <w:p w:rsidR="00000000" w:rsidDel="00000000" w:rsidP="00000000" w:rsidRDefault="00000000" w:rsidRPr="00000000" w14:paraId="0000002C">
            <w:pPr>
              <w:spacing w:line="259" w:lineRule="auto"/>
              <w:rPr>
                <w:rFonts w:ascii="Arial" w:cs="Arial" w:eastAsia="Arial" w:hAnsi="Arial"/>
                <w:b w:val="0"/>
                <w:i w:val="0"/>
                <w:sz w:val="24"/>
                <w:szCs w:val="24"/>
              </w:rPr>
            </w:pPr>
            <w:r w:rsidDel="00000000" w:rsidR="00000000" w:rsidRPr="00000000">
              <w:rPr>
                <w:rFonts w:ascii="Arial" w:cs="Arial" w:eastAsia="Arial" w:hAnsi="Arial"/>
                <w:b w:val="0"/>
                <w:i w:val="0"/>
                <w:sz w:val="24"/>
                <w:szCs w:val="24"/>
                <w:rtl w:val="0"/>
              </w:rPr>
              <w:t xml:space="preserve">Sem tratamento, progressão rápida e letal</w:t>
            </w:r>
          </w:p>
        </w:tc>
        <w:tc>
          <w:tcPr/>
          <w:p w:rsidR="00000000" w:rsidDel="00000000" w:rsidP="00000000" w:rsidRDefault="00000000" w:rsidRPr="00000000" w14:paraId="0000002D">
            <w:pPr>
              <w:spacing w:line="259" w:lineRule="auto"/>
              <w:rPr>
                <w:rFonts w:ascii="Arial" w:cs="Arial" w:eastAsia="Arial" w:hAnsi="Arial"/>
                <w:b w:val="0"/>
                <w:i w:val="0"/>
                <w:sz w:val="24"/>
                <w:szCs w:val="24"/>
              </w:rPr>
            </w:pPr>
            <w:r w:rsidDel="00000000" w:rsidR="00000000" w:rsidRPr="00000000">
              <w:rPr>
                <w:rFonts w:ascii="Arial" w:cs="Arial" w:eastAsia="Arial" w:hAnsi="Arial"/>
                <w:b w:val="0"/>
                <w:i w:val="0"/>
                <w:sz w:val="24"/>
                <w:szCs w:val="24"/>
                <w:rtl w:val="0"/>
              </w:rPr>
              <w:t xml:space="preserve">Tratamento aumenta a expectativa de vida em alguns anos, entretanto o acometimento neurológico gradativamente sem pausa </w:t>
            </w:r>
          </w:p>
        </w:tc>
      </w:tr>
      <w:tr>
        <w:tc>
          <w:tcPr/>
          <w:p w:rsidR="00000000" w:rsidDel="00000000" w:rsidP="00000000" w:rsidRDefault="00000000" w:rsidRPr="00000000" w14:paraId="0000002E">
            <w:pPr>
              <w:spacing w:line="259" w:lineRule="auto"/>
              <w:rPr>
                <w:rFonts w:ascii="Arial" w:cs="Arial" w:eastAsia="Arial" w:hAnsi="Arial"/>
                <w:b w:val="0"/>
                <w:i w:val="0"/>
                <w:color w:val="222222"/>
                <w:sz w:val="24"/>
                <w:szCs w:val="24"/>
              </w:rPr>
            </w:pPr>
            <w:r w:rsidDel="00000000" w:rsidR="00000000" w:rsidRPr="00000000">
              <w:rPr>
                <w:rFonts w:ascii="Arial" w:cs="Arial" w:eastAsia="Arial" w:hAnsi="Arial"/>
                <w:b w:val="1"/>
                <w:i w:val="0"/>
                <w:color w:val="222222"/>
                <w:sz w:val="24"/>
                <w:szCs w:val="24"/>
                <w:rtl w:val="0"/>
              </w:rPr>
              <w:t xml:space="preserve">Prognóstico</w:t>
            </w:r>
            <w:r w:rsidDel="00000000" w:rsidR="00000000" w:rsidRPr="00000000">
              <w:rPr>
                <w:rtl w:val="0"/>
              </w:rPr>
            </w:r>
          </w:p>
        </w:tc>
        <w:tc>
          <w:tcPr/>
          <w:p w:rsidR="00000000" w:rsidDel="00000000" w:rsidP="00000000" w:rsidRDefault="00000000" w:rsidRPr="00000000" w14:paraId="0000002F">
            <w:pPr>
              <w:spacing w:line="259" w:lineRule="auto"/>
              <w:jc w:val="left"/>
              <w:rPr>
                <w:rFonts w:ascii="Arial" w:cs="Arial" w:eastAsia="Arial" w:hAnsi="Arial"/>
                <w:b w:val="0"/>
                <w:i w:val="0"/>
                <w:sz w:val="24"/>
                <w:szCs w:val="24"/>
              </w:rPr>
            </w:pPr>
            <w:r w:rsidDel="00000000" w:rsidR="00000000" w:rsidRPr="00000000">
              <w:rPr>
                <w:rFonts w:ascii="Arial" w:cs="Arial" w:eastAsia="Arial" w:hAnsi="Arial"/>
                <w:b w:val="0"/>
                <w:i w:val="0"/>
                <w:sz w:val="24"/>
                <w:szCs w:val="24"/>
                <w:rtl w:val="0"/>
              </w:rPr>
              <w:t xml:space="preserve">Apresentam uma expectativa de vida comum</w:t>
            </w:r>
          </w:p>
        </w:tc>
        <w:tc>
          <w:tcPr/>
          <w:p w:rsidR="00000000" w:rsidDel="00000000" w:rsidP="00000000" w:rsidRDefault="00000000" w:rsidRPr="00000000" w14:paraId="00000030">
            <w:pPr>
              <w:spacing w:line="259" w:lineRule="auto"/>
              <w:rPr>
                <w:rFonts w:ascii="Arial" w:cs="Arial" w:eastAsia="Arial" w:hAnsi="Arial"/>
                <w:b w:val="0"/>
                <w:i w:val="0"/>
                <w:sz w:val="24"/>
                <w:szCs w:val="24"/>
              </w:rPr>
            </w:pPr>
            <w:r w:rsidDel="00000000" w:rsidR="00000000" w:rsidRPr="00000000">
              <w:rPr>
                <w:rFonts w:ascii="Arial" w:cs="Arial" w:eastAsia="Arial" w:hAnsi="Arial"/>
                <w:b w:val="0"/>
                <w:i w:val="0"/>
                <w:sz w:val="24"/>
                <w:szCs w:val="24"/>
                <w:rtl w:val="0"/>
              </w:rPr>
              <w:t xml:space="preserve">Morte ainda no período da infância</w:t>
            </w:r>
          </w:p>
        </w:tc>
        <w:tc>
          <w:tcPr/>
          <w:p w:rsidR="00000000" w:rsidDel="00000000" w:rsidP="00000000" w:rsidRDefault="00000000" w:rsidRPr="00000000" w14:paraId="00000031">
            <w:pPr>
              <w:spacing w:line="259" w:lineRule="auto"/>
              <w:rPr>
                <w:rFonts w:ascii="Arial" w:cs="Arial" w:eastAsia="Arial" w:hAnsi="Arial"/>
                <w:b w:val="0"/>
                <w:i w:val="0"/>
                <w:sz w:val="24"/>
                <w:szCs w:val="24"/>
              </w:rPr>
            </w:pPr>
            <w:r w:rsidDel="00000000" w:rsidR="00000000" w:rsidRPr="00000000">
              <w:rPr>
                <w:rFonts w:ascii="Arial" w:cs="Arial" w:eastAsia="Arial" w:hAnsi="Arial"/>
                <w:b w:val="0"/>
                <w:i w:val="0"/>
                <w:sz w:val="24"/>
                <w:szCs w:val="24"/>
                <w:rtl w:val="0"/>
              </w:rPr>
              <w:t xml:space="preserve"> O tempo de vida do paciente vai de acordo com os órgãos comprometidos </w:t>
            </w:r>
          </w:p>
        </w:tc>
      </w:tr>
      <w:tr>
        <w:tc>
          <w:tcPr/>
          <w:p w:rsidR="00000000" w:rsidDel="00000000" w:rsidP="00000000" w:rsidRDefault="00000000" w:rsidRPr="00000000" w14:paraId="00000032">
            <w:pPr>
              <w:spacing w:line="259" w:lineRule="auto"/>
              <w:rPr>
                <w:rFonts w:ascii="Arial" w:cs="Arial" w:eastAsia="Arial" w:hAnsi="Arial"/>
                <w:b w:val="0"/>
                <w:i w:val="0"/>
                <w:sz w:val="24"/>
                <w:szCs w:val="24"/>
              </w:rPr>
            </w:pPr>
            <w:r w:rsidDel="00000000" w:rsidR="00000000" w:rsidRPr="00000000">
              <w:rPr>
                <w:rFonts w:ascii="Arial" w:cs="Arial" w:eastAsia="Arial" w:hAnsi="Arial"/>
                <w:b w:val="1"/>
                <w:i w:val="0"/>
                <w:sz w:val="24"/>
                <w:szCs w:val="24"/>
                <w:rtl w:val="0"/>
              </w:rPr>
              <w:t xml:space="preserve">Estruturas afetadas</w:t>
            </w:r>
            <w:r w:rsidDel="00000000" w:rsidR="00000000" w:rsidRPr="00000000">
              <w:rPr>
                <w:rtl w:val="0"/>
              </w:rPr>
            </w:r>
          </w:p>
        </w:tc>
        <w:tc>
          <w:tcPr/>
          <w:p w:rsidR="00000000" w:rsidDel="00000000" w:rsidP="00000000" w:rsidRDefault="00000000" w:rsidRPr="00000000" w14:paraId="00000033">
            <w:pPr>
              <w:spacing w:line="259" w:lineRule="auto"/>
              <w:jc w:val="left"/>
              <w:rPr>
                <w:rFonts w:ascii="Arial" w:cs="Arial" w:eastAsia="Arial" w:hAnsi="Arial"/>
                <w:b w:val="0"/>
                <w:i w:val="0"/>
                <w:sz w:val="24"/>
                <w:szCs w:val="24"/>
              </w:rPr>
            </w:pPr>
            <w:r w:rsidDel="00000000" w:rsidR="00000000" w:rsidRPr="00000000">
              <w:rPr>
                <w:rFonts w:ascii="Arial" w:cs="Arial" w:eastAsia="Arial" w:hAnsi="Arial"/>
                <w:b w:val="0"/>
                <w:i w:val="0"/>
                <w:sz w:val="24"/>
                <w:szCs w:val="24"/>
                <w:rtl w:val="0"/>
              </w:rPr>
              <w:t xml:space="preserve">Baço e ossos</w:t>
            </w:r>
          </w:p>
        </w:tc>
        <w:tc>
          <w:tcPr/>
          <w:p w:rsidR="00000000" w:rsidDel="00000000" w:rsidP="00000000" w:rsidRDefault="00000000" w:rsidRPr="00000000" w14:paraId="00000034">
            <w:pPr>
              <w:spacing w:line="259" w:lineRule="auto"/>
              <w:rPr>
                <w:rFonts w:ascii="Arial" w:cs="Arial" w:eastAsia="Arial" w:hAnsi="Arial"/>
                <w:b w:val="0"/>
                <w:i w:val="0"/>
                <w:sz w:val="24"/>
                <w:szCs w:val="24"/>
              </w:rPr>
            </w:pPr>
            <w:r w:rsidDel="00000000" w:rsidR="00000000" w:rsidRPr="00000000">
              <w:rPr>
                <w:rFonts w:ascii="Arial" w:cs="Arial" w:eastAsia="Arial" w:hAnsi="Arial"/>
                <w:b w:val="0"/>
                <w:i w:val="0"/>
                <w:sz w:val="24"/>
                <w:szCs w:val="24"/>
                <w:rtl w:val="0"/>
              </w:rPr>
              <w:t xml:space="preserve">Baco, ossos, linfonodos, fígado e sistema nervoso central</w:t>
            </w:r>
          </w:p>
        </w:tc>
        <w:tc>
          <w:tcPr/>
          <w:p w:rsidR="00000000" w:rsidDel="00000000" w:rsidP="00000000" w:rsidRDefault="00000000" w:rsidRPr="00000000" w14:paraId="00000035">
            <w:pPr>
              <w:spacing w:line="259" w:lineRule="auto"/>
              <w:rPr>
                <w:rFonts w:ascii="Arial" w:cs="Arial" w:eastAsia="Arial" w:hAnsi="Arial"/>
                <w:b w:val="0"/>
                <w:i w:val="0"/>
                <w:sz w:val="24"/>
                <w:szCs w:val="24"/>
              </w:rPr>
            </w:pPr>
            <w:r w:rsidDel="00000000" w:rsidR="00000000" w:rsidRPr="00000000">
              <w:rPr>
                <w:rFonts w:ascii="Arial" w:cs="Arial" w:eastAsia="Arial" w:hAnsi="Arial"/>
                <w:b w:val="0"/>
                <w:i w:val="0"/>
                <w:sz w:val="24"/>
                <w:szCs w:val="24"/>
                <w:rtl w:val="0"/>
              </w:rPr>
              <w:t xml:space="preserve">Baco, linfonodos, fígado e sistema nervoso central</w:t>
            </w:r>
          </w:p>
        </w:tc>
      </w:tr>
    </w:tbl>
    <w:p w:rsidR="00000000" w:rsidDel="00000000" w:rsidP="00000000" w:rsidRDefault="00000000" w:rsidRPr="00000000" w14:paraId="00000036">
      <w:pPr>
        <w:spacing w:after="160" w:line="259" w:lineRule="auto"/>
        <w:rPr>
          <w:rFonts w:ascii="Calibri" w:cs="Calibri" w:eastAsia="Calibri" w:hAnsi="Calibri"/>
          <w:b w:val="0"/>
          <w:i w:val="0"/>
          <w:color w:val="000000"/>
          <w:sz w:val="22"/>
          <w:szCs w:val="22"/>
        </w:rPr>
      </w:pPr>
      <w:r w:rsidDel="00000000" w:rsidR="00000000" w:rsidRPr="00000000">
        <w:rPr>
          <w:rtl w:val="0"/>
        </w:rPr>
      </w:r>
    </w:p>
    <w:p w:rsidR="00000000" w:rsidDel="00000000" w:rsidP="00000000" w:rsidRDefault="00000000" w:rsidRPr="00000000" w14:paraId="00000037">
      <w:pPr>
        <w:spacing w:after="0" w:line="360" w:lineRule="auto"/>
        <w:jc w:val="both"/>
        <w:rPr>
          <w:rFonts w:ascii="Arial" w:cs="Arial" w:eastAsia="Arial" w:hAnsi="Arial"/>
          <w:b w:val="0"/>
          <w:i w:val="0"/>
          <w:color w:val="000000"/>
          <w:sz w:val="24"/>
          <w:szCs w:val="24"/>
        </w:rPr>
      </w:pPr>
      <w:r w:rsidDel="00000000" w:rsidR="00000000" w:rsidRPr="00000000">
        <w:rPr>
          <w:rFonts w:ascii="Arial" w:cs="Arial" w:eastAsia="Arial" w:hAnsi="Arial"/>
          <w:b w:val="0"/>
          <w:i w:val="0"/>
          <w:color w:val="000000"/>
          <w:sz w:val="24"/>
          <w:szCs w:val="24"/>
          <w:rtl w:val="0"/>
        </w:rPr>
        <w:t xml:space="preserve">   As complicações da DG podem levar a óbito se a doença for diagnosticada tardiamente ou se não for tratada; as suas manifestações, contudo, podem variar de acordo com o grau de deficiência ou de disfunção da enzima supramencionada, predispondo-se de três tipos: um, dois e três. A sintomatologia de maior frequência assenta-se na anemia, explicada pela migração de macrófagos (células de Gaucher) para a medula óssea, com sucessivo deslocamento de nutrientes e outros componentes hematopoiéticos pelas células, resultando na anomalia hematológica em questão.</w:t>
      </w:r>
    </w:p>
    <w:p w:rsidR="00000000" w:rsidDel="00000000" w:rsidP="00000000" w:rsidRDefault="00000000" w:rsidRPr="00000000" w14:paraId="00000038">
      <w:pPr>
        <w:spacing w:after="0" w:line="360" w:lineRule="auto"/>
        <w:jc w:val="both"/>
        <w:rPr>
          <w:rFonts w:ascii="Arial" w:cs="Arial" w:eastAsia="Arial" w:hAnsi="Arial"/>
          <w:b w:val="0"/>
          <w:i w:val="0"/>
          <w:color w:val="000000"/>
          <w:sz w:val="24"/>
          <w:szCs w:val="24"/>
        </w:rPr>
      </w:pPr>
      <w:r w:rsidDel="00000000" w:rsidR="00000000" w:rsidRPr="00000000">
        <w:rPr>
          <w:rFonts w:ascii="Arial" w:cs="Arial" w:eastAsia="Arial" w:hAnsi="Arial"/>
          <w:b w:val="0"/>
          <w:i w:val="0"/>
          <w:color w:val="000000"/>
          <w:sz w:val="24"/>
          <w:szCs w:val="24"/>
          <w:rtl w:val="0"/>
        </w:rPr>
        <w:t xml:space="preserve">   O diagnóstico é realizado por meio da dosagem de BGA ativa no organismo, retirado de um exame de sangue extraído geralmente do antebraço, são 3 tipos possíveis de diagnósticos e classificação pode ser dada de acordo com o grau de insuficiência da glucocerebrosidase. Se o resultado do exame for considerado duvidoso, então resta a análise do gene GBA 1( Gene localizado no cromossomo 1p21, e que codifica a enzima afetada), em busca de mutações.(Ferreira </w:t>
      </w:r>
      <w:r w:rsidDel="00000000" w:rsidR="00000000" w:rsidRPr="00000000">
        <w:rPr>
          <w:rFonts w:ascii="Arial" w:cs="Arial" w:eastAsia="Arial" w:hAnsi="Arial"/>
          <w:b w:val="1"/>
          <w:i w:val="1"/>
          <w:color w:val="000000"/>
          <w:sz w:val="24"/>
          <w:szCs w:val="24"/>
          <w:rtl w:val="0"/>
        </w:rPr>
        <w:t xml:space="preserve">et al</w:t>
      </w:r>
      <w:r w:rsidDel="00000000" w:rsidR="00000000" w:rsidRPr="00000000">
        <w:rPr>
          <w:rFonts w:ascii="Arial" w:cs="Arial" w:eastAsia="Arial" w:hAnsi="Arial"/>
          <w:b w:val="0"/>
          <w:i w:val="0"/>
          <w:color w:val="000000"/>
          <w:sz w:val="24"/>
          <w:szCs w:val="24"/>
          <w:rtl w:val="0"/>
        </w:rPr>
        <w:t xml:space="preserve">. 2011)</w:t>
      </w:r>
    </w:p>
    <w:p w:rsidR="00000000" w:rsidDel="00000000" w:rsidP="00000000" w:rsidRDefault="00000000" w:rsidRPr="00000000" w14:paraId="00000039">
      <w:pPr>
        <w:spacing w:after="0" w:line="360" w:lineRule="auto"/>
        <w:jc w:val="both"/>
        <w:rPr>
          <w:rFonts w:ascii="Arial" w:cs="Arial" w:eastAsia="Arial" w:hAnsi="Arial"/>
          <w:b w:val="0"/>
          <w:i w:val="0"/>
          <w:color w:val="000000"/>
          <w:sz w:val="24"/>
          <w:szCs w:val="24"/>
        </w:rPr>
      </w:pPr>
      <w:r w:rsidDel="00000000" w:rsidR="00000000" w:rsidRPr="00000000">
        <w:rPr>
          <w:rFonts w:ascii="Arial" w:cs="Arial" w:eastAsia="Arial" w:hAnsi="Arial"/>
          <w:b w:val="0"/>
          <w:i w:val="0"/>
          <w:color w:val="000000"/>
          <w:sz w:val="24"/>
          <w:szCs w:val="24"/>
          <w:rtl w:val="0"/>
        </w:rPr>
        <w:t xml:space="preserve">   O tipo 1 é o que corresponde à maioria dos casos de Doença de Gaucher, representando 95% das ocorrências. Esse também é o tipo menos grave dentre os 3, sendo caracterizado por hepatoesplenomegalia, miastenia advinda da anemia, epistaxe , manifestações hematológicas e acometimento ósseo. Em geral os tratamentos de TRE são bastante promissores para este tipo e o prognóstico é bom, permitindo aos afetados viverem uma vida longa e sem muitas complicações.</w:t>
      </w:r>
    </w:p>
    <w:p w:rsidR="00000000" w:rsidDel="00000000" w:rsidP="00000000" w:rsidRDefault="00000000" w:rsidRPr="00000000" w14:paraId="0000003A">
      <w:pPr>
        <w:spacing w:after="0" w:line="360" w:lineRule="auto"/>
        <w:jc w:val="both"/>
        <w:rPr>
          <w:rFonts w:ascii="Arial" w:cs="Arial" w:eastAsia="Arial" w:hAnsi="Arial"/>
          <w:b w:val="0"/>
          <w:i w:val="0"/>
          <w:color w:val="000000"/>
          <w:sz w:val="24"/>
          <w:szCs w:val="24"/>
        </w:rPr>
      </w:pPr>
      <w:r w:rsidDel="00000000" w:rsidR="00000000" w:rsidRPr="00000000">
        <w:rPr>
          <w:rFonts w:ascii="Arial" w:cs="Arial" w:eastAsia="Arial" w:hAnsi="Arial"/>
          <w:b w:val="0"/>
          <w:i w:val="0"/>
          <w:color w:val="000000"/>
          <w:sz w:val="24"/>
          <w:szCs w:val="24"/>
          <w:rtl w:val="0"/>
        </w:rPr>
        <w:t xml:space="preserve">   O tipo 2 representa a minoria dos casos e corresponde a forma mais grave da doença. Nestes casos além dos sintomas supracitados ( que são significativamente mais graves e surgem de forma aguda) há também um comprometimento neurológico grave, podendo envolver desenvolvimento de retardo mental progressivo, possíveis crises epiléticas, apneia e hipertonia. Para os que foram acometidos por esse tipo o prognóstico é ruim, com alta probabilidade de o paciente vir a óbito nos primeiros anos de vida. Não existe nenhum tratamento que tenha se mostrado comprovadamente eficaz contra essa forma da doença.</w:t>
      </w:r>
    </w:p>
    <w:p w:rsidR="00000000" w:rsidDel="00000000" w:rsidP="00000000" w:rsidRDefault="00000000" w:rsidRPr="00000000" w14:paraId="0000003B">
      <w:pPr>
        <w:spacing w:after="0" w:line="360" w:lineRule="auto"/>
        <w:jc w:val="both"/>
        <w:rPr>
          <w:rFonts w:ascii="Arial" w:cs="Arial" w:eastAsia="Arial" w:hAnsi="Arial"/>
          <w:b w:val="0"/>
          <w:i w:val="0"/>
          <w:color w:val="000000"/>
          <w:sz w:val="24"/>
          <w:szCs w:val="24"/>
        </w:rPr>
      </w:pPr>
      <w:r w:rsidDel="00000000" w:rsidR="00000000" w:rsidRPr="00000000">
        <w:rPr>
          <w:rFonts w:ascii="Arial" w:cs="Arial" w:eastAsia="Arial" w:hAnsi="Arial"/>
          <w:b w:val="0"/>
          <w:i w:val="0"/>
          <w:color w:val="000000"/>
          <w:sz w:val="24"/>
          <w:szCs w:val="24"/>
          <w:rtl w:val="0"/>
        </w:rPr>
        <w:t xml:space="preserve">   O tipo 3 assemelha-se ao tipo 2, com a diferença de que esta forma se apresenta de maneira crônica, e os sintomas possuem um grau menor de intensidade, embora ainda haja comprometimento do sistema nervoso. Nesses casos a doença pode ser controlada com a TRE, mas os danos no sistema nervoso são irreversíveis. De maneira geral o prognóstico é bom para esses paciente, e com o devido acompanhamento eles podem ter a mesma expectativa de vida de uma pessoa normal.</w:t>
      </w:r>
    </w:p>
    <w:p w:rsidR="00000000" w:rsidDel="00000000" w:rsidP="00000000" w:rsidRDefault="00000000" w:rsidRPr="00000000" w14:paraId="0000003C">
      <w:pPr>
        <w:spacing w:after="0" w:line="360" w:lineRule="auto"/>
        <w:jc w:val="both"/>
        <w:rPr>
          <w:rFonts w:ascii="Quattrocento Sans" w:cs="Quattrocento Sans" w:eastAsia="Quattrocento Sans" w:hAnsi="Quattrocento Sans"/>
          <w:b w:val="0"/>
          <w:i w:val="0"/>
          <w:color w:val="000000"/>
          <w:sz w:val="24"/>
          <w:szCs w:val="24"/>
        </w:rPr>
      </w:pPr>
      <w:r w:rsidDel="00000000" w:rsidR="00000000" w:rsidRPr="00000000">
        <w:rPr>
          <w:rFonts w:ascii="Arial" w:cs="Arial" w:eastAsia="Arial" w:hAnsi="Arial"/>
          <w:b w:val="0"/>
          <w:i w:val="0"/>
          <w:color w:val="000000"/>
          <w:sz w:val="24"/>
          <w:szCs w:val="24"/>
          <w:rtl w:val="0"/>
        </w:rPr>
        <w:t xml:space="preserve">   Para a terapia de reposição de enzimas (TRE) é comum que o paciente receba duas vezes por mês (por via endovenosa) uma quantidade da enzima que está em falta no seu organismo, ou então uma forma recombinante da mesma. Uma vez que ele receba essa enzima, seu organismo deve ser capaz de metabolizar os glicocerebrosídeos que estão se acumulando e provocando as complicações da doença. No Brasil, estima-se que 96% da população de afetados pela DG faça uso dessa forma de tratamento, e as enzimas recombinantes mais utilizadas para esse fim são a imiglucerase, a alfavelaglicerase e a alfataliglicerase. Os sistemas de produção das três enzimas incluem transformações no padrão de glicosilação original ( correspondente à célula em que a enzima é produzida), de maneira que aumente a quantidade de resíduos expostos de manose (a beta-glicocerebrosidase é internalizada por receptores de manose).(PORTARIA Nº 4.2017)   A imiglucerase é desenvolvida a partir de células ovarianas de um hamster chinês, é bem semelhante à humana, sendo diferenciada por apenas um aminoácido. No mercado ela é conhecida como </w:t>
      </w:r>
      <w:r w:rsidDel="00000000" w:rsidR="00000000" w:rsidRPr="00000000">
        <w:rPr>
          <w:rFonts w:ascii="Arial" w:cs="Arial" w:eastAsia="Arial" w:hAnsi="Arial"/>
          <w:b w:val="0"/>
          <w:i w:val="0"/>
          <w:color w:val="222222"/>
          <w:sz w:val="24"/>
          <w:szCs w:val="24"/>
          <w:rtl w:val="0"/>
        </w:rPr>
        <w:t xml:space="preserve">Cerezyme e seu preço chega a 7.000 reais( para o consumidor) na quantidade de 400U FR/AMP. A taxa de formação de anti-enzima no corpo humano é de 15,6%, que é um número relativamente alto se comparado às outras opções. A alfavelaglicerase  por sua vez é produzida em células humanas, pelo processo de ativação gênica. Por esse motivo, a taxa de anticorpos contra essa enzima é quase nula, variando entre 0% e 1%. Atualmente não existem ofertas desse medicamento no país, sendo necessário a importação do mesmo, tornando ainda maior o preço e dificultando sua obtenção. A  </w:t>
      </w:r>
      <w:r w:rsidDel="00000000" w:rsidR="00000000" w:rsidRPr="00000000">
        <w:rPr>
          <w:rFonts w:ascii="Arial" w:cs="Arial" w:eastAsia="Arial" w:hAnsi="Arial"/>
          <w:b w:val="0"/>
          <w:i w:val="0"/>
          <w:color w:val="000000"/>
          <w:sz w:val="24"/>
          <w:szCs w:val="24"/>
          <w:rtl w:val="0"/>
        </w:rPr>
        <w:t xml:space="preserve">alfataliglicerase por sua vez é feita em células vegetais, com uma diferença de dois aminoácidos para a enzima humana normal. A taxa de anti-enzimas desse medicamento é de 6% aproximadamente, e assim como a </w:t>
      </w:r>
      <w:r w:rsidDel="00000000" w:rsidR="00000000" w:rsidRPr="00000000">
        <w:rPr>
          <w:rFonts w:ascii="Arial" w:cs="Arial" w:eastAsia="Arial" w:hAnsi="Arial"/>
          <w:b w:val="0"/>
          <w:i w:val="0"/>
          <w:color w:val="222222"/>
          <w:sz w:val="24"/>
          <w:szCs w:val="24"/>
          <w:rtl w:val="0"/>
        </w:rPr>
        <w:t xml:space="preserve">alfavelaglicerase, não existem atualmente ofertas para esses remédios no Brasil. (</w:t>
      </w:r>
      <w:r w:rsidDel="00000000" w:rsidR="00000000" w:rsidRPr="00000000">
        <w:rPr>
          <w:rFonts w:ascii="Arial" w:cs="Arial" w:eastAsia="Arial" w:hAnsi="Arial"/>
          <w:b w:val="0"/>
          <w:i w:val="0"/>
          <w:color w:val="000000"/>
          <w:sz w:val="24"/>
          <w:szCs w:val="24"/>
          <w:rtl w:val="0"/>
        </w:rPr>
        <w:t xml:space="preserve">VINHAS </w:t>
      </w:r>
      <w:r w:rsidDel="00000000" w:rsidR="00000000" w:rsidRPr="00000000">
        <w:rPr>
          <w:rFonts w:ascii="Arial" w:cs="Arial" w:eastAsia="Arial" w:hAnsi="Arial"/>
          <w:b w:val="1"/>
          <w:i w:val="1"/>
          <w:color w:val="000000"/>
          <w:sz w:val="24"/>
          <w:szCs w:val="24"/>
          <w:rtl w:val="0"/>
        </w:rPr>
        <w:t xml:space="preserve">et al</w:t>
      </w:r>
      <w:r w:rsidDel="00000000" w:rsidR="00000000" w:rsidRPr="00000000">
        <w:rPr>
          <w:rFonts w:ascii="Arial" w:cs="Arial" w:eastAsia="Arial" w:hAnsi="Arial"/>
          <w:b w:val="0"/>
          <w:i w:val="1"/>
          <w:color w:val="000000"/>
          <w:sz w:val="24"/>
          <w:szCs w:val="24"/>
          <w:rtl w:val="0"/>
        </w:rPr>
        <w:t xml:space="preserve">. </w:t>
      </w:r>
      <w:r w:rsidDel="00000000" w:rsidR="00000000" w:rsidRPr="00000000">
        <w:rPr>
          <w:rFonts w:ascii="Arial" w:cs="Arial" w:eastAsia="Arial" w:hAnsi="Arial"/>
          <w:b w:val="0"/>
          <w:i w:val="0"/>
          <w:color w:val="000000"/>
          <w:sz w:val="24"/>
          <w:szCs w:val="24"/>
          <w:rtl w:val="0"/>
        </w:rPr>
        <w:t xml:space="preserve">2010)</w:t>
      </w:r>
      <w:r w:rsidDel="00000000" w:rsidR="00000000" w:rsidRPr="00000000">
        <w:rPr>
          <w:rtl w:val="0"/>
        </w:rPr>
      </w:r>
    </w:p>
    <w:p w:rsidR="00000000" w:rsidDel="00000000" w:rsidP="00000000" w:rsidRDefault="00000000" w:rsidRPr="00000000" w14:paraId="0000003D">
      <w:pPr>
        <w:spacing w:line="360" w:lineRule="auto"/>
        <w:jc w:val="both"/>
        <w:rPr>
          <w:rFonts w:ascii="Arial" w:cs="Arial" w:eastAsia="Arial" w:hAnsi="Arial"/>
          <w:b w:val="0"/>
          <w:i w:val="0"/>
          <w:color w:val="000000"/>
          <w:sz w:val="24"/>
          <w:szCs w:val="24"/>
        </w:rPr>
      </w:pPr>
      <w:r w:rsidDel="00000000" w:rsidR="00000000" w:rsidRPr="00000000">
        <w:rPr>
          <w:rtl w:val="0"/>
        </w:rPr>
      </w:r>
    </w:p>
    <w:p w:rsidR="00000000" w:rsidDel="00000000" w:rsidP="00000000" w:rsidRDefault="00000000" w:rsidRPr="00000000" w14:paraId="0000003E">
      <w:pPr>
        <w:spacing w:line="360" w:lineRule="auto"/>
        <w:jc w:val="both"/>
        <w:rPr>
          <w:rFonts w:ascii="Arial" w:cs="Arial" w:eastAsia="Arial" w:hAnsi="Arial"/>
          <w:b w:val="0"/>
          <w:i w:val="0"/>
          <w:color w:val="000000"/>
          <w:sz w:val="24"/>
          <w:szCs w:val="24"/>
        </w:rPr>
      </w:pPr>
      <w:r w:rsidDel="00000000" w:rsidR="00000000" w:rsidRPr="00000000">
        <w:rPr>
          <w:rtl w:val="0"/>
        </w:rPr>
      </w:r>
    </w:p>
    <w:p w:rsidR="00000000" w:rsidDel="00000000" w:rsidP="00000000" w:rsidRDefault="00000000" w:rsidRPr="00000000" w14:paraId="0000003F">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CONSIDERAÇÕES FINAIS</w:t>
      </w:r>
    </w:p>
    <w:p w:rsidR="00000000" w:rsidDel="00000000" w:rsidP="00000000" w:rsidRDefault="00000000" w:rsidRPr="00000000" w14:paraId="00000040">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spacing w:after="0" w:line="360" w:lineRule="auto"/>
        <w:jc w:val="both"/>
        <w:rPr>
          <w:rFonts w:ascii="Arial" w:cs="Arial" w:eastAsia="Arial" w:hAnsi="Arial"/>
          <w:b w:val="0"/>
          <w:i w:val="0"/>
          <w:color w:val="222222"/>
          <w:sz w:val="24"/>
          <w:szCs w:val="24"/>
        </w:rPr>
      </w:pPr>
      <w:r w:rsidDel="00000000" w:rsidR="00000000" w:rsidRPr="00000000">
        <w:rPr>
          <w:rFonts w:ascii="Arial" w:cs="Arial" w:eastAsia="Arial" w:hAnsi="Arial"/>
          <w:b w:val="0"/>
          <w:i w:val="0"/>
          <w:color w:val="222222"/>
          <w:sz w:val="24"/>
          <w:szCs w:val="24"/>
          <w:rtl w:val="0"/>
        </w:rPr>
        <w:t xml:space="preserve">No geral, o prognóstico para os afetados é positivo, principalmente no que se refere aos tipos 1 e 3 da doença. A expectativa de vida é estimada como algo entre 30 e 40 anos para essas pessoas, caso haja um acompanhamento e uma rotina de tratamento. Quanto ao tipo 2, são necessários mais estudos a fim de identificar um tratamento eficaz na tentativa de melhorar o prognóstico que prevê alta probabilidade de óbito nos primeiros anos de vida. Ademais, é importante ressaltar que  a Doença de Gaucher pode facilitar o surgimento de outros problemas como câncer e agravar problemas já existentes como deficiências neurológicas, daí a necessidade de se ter conhecimento sobre a doença para dar um diagnóstico preciso e precoce, diminuindo assim o estrago provocado pelo acúmulo dessas gorduras.</w:t>
      </w:r>
    </w:p>
    <w:p w:rsidR="00000000" w:rsidDel="00000000" w:rsidP="00000000" w:rsidRDefault="00000000" w:rsidRPr="00000000" w14:paraId="00000042">
      <w:pPr>
        <w:spacing w:line="360" w:lineRule="auto"/>
        <w:jc w:val="both"/>
        <w:rPr>
          <w:rFonts w:ascii="Arial" w:cs="Arial" w:eastAsia="Arial" w:hAnsi="Arial"/>
          <w:b w:val="0"/>
          <w:i w:val="0"/>
          <w:color w:val="222222"/>
          <w:sz w:val="24"/>
          <w:szCs w:val="24"/>
        </w:rPr>
      </w:pPr>
      <w:r w:rsidDel="00000000" w:rsidR="00000000" w:rsidRPr="00000000">
        <w:rPr>
          <w:rtl w:val="0"/>
        </w:rPr>
      </w:r>
    </w:p>
    <w:p w:rsidR="00000000" w:rsidDel="00000000" w:rsidP="00000000" w:rsidRDefault="00000000" w:rsidRPr="00000000" w14:paraId="00000043">
      <w:pPr>
        <w:spacing w:line="360" w:lineRule="auto"/>
        <w:jc w:val="both"/>
        <w:rPr>
          <w:rFonts w:ascii="Arial" w:cs="Arial" w:eastAsia="Arial" w:hAnsi="Arial"/>
          <w:b w:val="0"/>
          <w:i w:val="0"/>
          <w:color w:val="222222"/>
          <w:sz w:val="24"/>
          <w:szCs w:val="24"/>
        </w:rPr>
      </w:pPr>
      <w:r w:rsidDel="00000000" w:rsidR="00000000" w:rsidRPr="00000000">
        <w:rPr>
          <w:rtl w:val="0"/>
        </w:rPr>
      </w:r>
    </w:p>
    <w:p w:rsidR="00000000" w:rsidDel="00000000" w:rsidP="00000000" w:rsidRDefault="00000000" w:rsidRPr="00000000" w14:paraId="00000044">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REFERÊNCIAS</w:t>
      </w:r>
    </w:p>
    <w:p w:rsidR="00000000" w:rsidDel="00000000" w:rsidP="00000000" w:rsidRDefault="00000000" w:rsidRPr="00000000" w14:paraId="00000045">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6">
      <w:pPr>
        <w:spacing w:line="360" w:lineRule="auto"/>
        <w:rPr>
          <w:rFonts w:ascii="Arial" w:cs="Arial" w:eastAsia="Arial" w:hAnsi="Arial"/>
          <w:b w:val="0"/>
          <w:i w:val="0"/>
          <w:color w:val="222222"/>
          <w:sz w:val="24"/>
          <w:szCs w:val="24"/>
        </w:rPr>
      </w:pPr>
      <w:r w:rsidDel="00000000" w:rsidR="00000000" w:rsidRPr="00000000">
        <w:rPr>
          <w:rFonts w:ascii="Arial" w:cs="Arial" w:eastAsia="Arial" w:hAnsi="Arial"/>
          <w:b w:val="0"/>
          <w:i w:val="0"/>
          <w:color w:val="222222"/>
          <w:sz w:val="24"/>
          <w:szCs w:val="24"/>
          <w:rtl w:val="0"/>
        </w:rPr>
        <w:t xml:space="preserve">IDA VANESSA, VINHAS M., DORNELLES P. e CORRÊA B. </w:t>
      </w:r>
      <w:r w:rsidDel="00000000" w:rsidR="00000000" w:rsidRPr="00000000">
        <w:rPr>
          <w:rFonts w:ascii="Arial" w:cs="Arial" w:eastAsia="Arial" w:hAnsi="Arial"/>
          <w:b w:val="1"/>
          <w:i w:val="0"/>
          <w:color w:val="222222"/>
          <w:sz w:val="24"/>
          <w:szCs w:val="24"/>
          <w:rtl w:val="0"/>
        </w:rPr>
        <w:t xml:space="preserve">Medicamentos de alto custo para doenças raras no Brasil: o exemplo das doenças lisossômicas</w:t>
      </w:r>
      <w:r w:rsidDel="00000000" w:rsidR="00000000" w:rsidRPr="00000000">
        <w:rPr>
          <w:rFonts w:ascii="Arial" w:cs="Arial" w:eastAsia="Arial" w:hAnsi="Arial"/>
          <w:b w:val="0"/>
          <w:i w:val="0"/>
          <w:color w:val="222222"/>
          <w:sz w:val="24"/>
          <w:szCs w:val="24"/>
          <w:rtl w:val="0"/>
        </w:rPr>
        <w:t xml:space="preserve">; </w:t>
      </w:r>
      <w:r w:rsidDel="00000000" w:rsidR="00000000" w:rsidRPr="00000000">
        <w:rPr>
          <w:rFonts w:ascii="Arial" w:cs="Arial" w:eastAsia="Arial" w:hAnsi="Arial"/>
          <w:b w:val="0"/>
          <w:i w:val="0"/>
          <w:color w:val="000000"/>
          <w:sz w:val="24"/>
          <w:szCs w:val="24"/>
          <w:rtl w:val="0"/>
        </w:rPr>
        <w:t xml:space="preserve">Ciênc. saúde coletiva vol.15 supl.3 Rio de Janeiro Nov. 2010. Acesso:29 set. 2020</w:t>
      </w:r>
      <w:r w:rsidDel="00000000" w:rsidR="00000000" w:rsidRPr="00000000">
        <w:rPr>
          <w:rFonts w:ascii="Arial" w:cs="Arial" w:eastAsia="Arial" w:hAnsi="Arial"/>
          <w:b w:val="1"/>
          <w:i w:val="0"/>
          <w:color w:val="800000"/>
          <w:sz w:val="22"/>
          <w:szCs w:val="22"/>
          <w:rtl w:val="0"/>
        </w:rPr>
        <w:t xml:space="preserve">. </w:t>
      </w:r>
      <w:r w:rsidDel="00000000" w:rsidR="00000000" w:rsidRPr="00000000">
        <w:rPr>
          <w:rFonts w:ascii="Arial" w:cs="Arial" w:eastAsia="Arial" w:hAnsi="Arial"/>
          <w:b w:val="0"/>
          <w:i w:val="0"/>
          <w:color w:val="222222"/>
          <w:sz w:val="24"/>
          <w:szCs w:val="24"/>
          <w:rtl w:val="0"/>
        </w:rPr>
        <w:t xml:space="preserve">Disponível em: </w:t>
      </w:r>
      <w:hyperlink r:id="rId12">
        <w:r w:rsidDel="00000000" w:rsidR="00000000" w:rsidRPr="00000000">
          <w:rPr>
            <w:rFonts w:ascii="Arial" w:cs="Arial" w:eastAsia="Arial" w:hAnsi="Arial"/>
            <w:b w:val="0"/>
            <w:i w:val="0"/>
            <w:color w:val="1155cc"/>
            <w:sz w:val="24"/>
            <w:szCs w:val="24"/>
            <w:u w:val="single"/>
            <w:rtl w:val="0"/>
          </w:rPr>
          <w:t xml:space="preserve">https://www.scielo.br/scielo.php?script=sci_arttext&amp;pid=S1413-81232010000900019&amp;lang=pt</w:t>
        </w:r>
      </w:hyperlink>
      <w:r w:rsidDel="00000000" w:rsidR="00000000" w:rsidRPr="00000000">
        <w:rPr>
          <w:rFonts w:ascii="Arial" w:cs="Arial" w:eastAsia="Arial" w:hAnsi="Arial"/>
          <w:b w:val="0"/>
          <w:i w:val="0"/>
          <w:color w:val="222222"/>
          <w:sz w:val="24"/>
          <w:szCs w:val="24"/>
          <w:rtl w:val="0"/>
        </w:rPr>
        <w:t xml:space="preserve">  .</w:t>
      </w:r>
    </w:p>
    <w:p w:rsidR="00000000" w:rsidDel="00000000" w:rsidP="00000000" w:rsidRDefault="00000000" w:rsidRPr="00000000" w14:paraId="00000047">
      <w:pPr>
        <w:spacing w:line="360" w:lineRule="auto"/>
        <w:rPr>
          <w:rFonts w:ascii="Arial" w:cs="Arial" w:eastAsia="Arial" w:hAnsi="Arial"/>
          <w:b w:val="0"/>
          <w:i w:val="0"/>
          <w:color w:val="222222"/>
          <w:sz w:val="24"/>
          <w:szCs w:val="24"/>
        </w:rPr>
      </w:pPr>
      <w:r w:rsidDel="00000000" w:rsidR="00000000" w:rsidRPr="00000000">
        <w:rPr>
          <w:rFonts w:ascii="Arial" w:cs="Arial" w:eastAsia="Arial" w:hAnsi="Arial"/>
          <w:b w:val="0"/>
          <w:i w:val="0"/>
          <w:color w:val="222222"/>
          <w:sz w:val="24"/>
          <w:szCs w:val="24"/>
          <w:rtl w:val="0"/>
        </w:rPr>
        <w:t xml:space="preserve">KOJA M., COSTA V. e CARNEIRO J. </w:t>
      </w:r>
      <w:r w:rsidDel="00000000" w:rsidR="00000000" w:rsidRPr="00000000">
        <w:rPr>
          <w:rFonts w:ascii="Arial" w:cs="Arial" w:eastAsia="Arial" w:hAnsi="Arial"/>
          <w:b w:val="1"/>
          <w:i w:val="0"/>
          <w:color w:val="222222"/>
          <w:sz w:val="24"/>
          <w:szCs w:val="24"/>
          <w:rtl w:val="0"/>
        </w:rPr>
        <w:t xml:space="preserve">Signs and symptoms in Gaucher Disease: priority nursing diagnoses</w:t>
      </w:r>
      <w:r w:rsidDel="00000000" w:rsidR="00000000" w:rsidRPr="00000000">
        <w:rPr>
          <w:rFonts w:ascii="Arial" w:cs="Arial" w:eastAsia="Arial" w:hAnsi="Arial"/>
          <w:b w:val="0"/>
          <w:i w:val="0"/>
          <w:color w:val="222222"/>
          <w:sz w:val="24"/>
          <w:szCs w:val="24"/>
          <w:rtl w:val="0"/>
        </w:rPr>
        <w:t xml:space="preserve">; 2018.</w:t>
      </w:r>
      <w:r w:rsidDel="00000000" w:rsidR="00000000" w:rsidRPr="00000000">
        <w:rPr>
          <w:rFonts w:ascii="Arial" w:cs="Arial" w:eastAsia="Arial" w:hAnsi="Arial"/>
          <w:b w:val="0"/>
          <w:i w:val="0"/>
          <w:color w:val="000000"/>
          <w:sz w:val="24"/>
          <w:szCs w:val="24"/>
          <w:rtl w:val="0"/>
        </w:rPr>
        <w:t xml:space="preserve"> Acesso:29 set. 2020</w:t>
      </w:r>
      <w:r w:rsidDel="00000000" w:rsidR="00000000" w:rsidRPr="00000000">
        <w:rPr>
          <w:rFonts w:ascii="Arial" w:cs="Arial" w:eastAsia="Arial" w:hAnsi="Arial"/>
          <w:b w:val="0"/>
          <w:i w:val="0"/>
          <w:color w:val="222222"/>
          <w:sz w:val="24"/>
          <w:szCs w:val="24"/>
          <w:rtl w:val="0"/>
        </w:rPr>
        <w:t xml:space="preserve">. Disponível em:</w:t>
      </w:r>
    </w:p>
    <w:p w:rsidR="00000000" w:rsidDel="00000000" w:rsidP="00000000" w:rsidRDefault="00000000" w:rsidRPr="00000000" w14:paraId="00000048">
      <w:pPr>
        <w:spacing w:line="360" w:lineRule="auto"/>
        <w:rPr>
          <w:rFonts w:ascii="Arial" w:cs="Arial" w:eastAsia="Arial" w:hAnsi="Arial"/>
          <w:b w:val="0"/>
          <w:i w:val="0"/>
          <w:color w:val="222222"/>
          <w:sz w:val="24"/>
          <w:szCs w:val="24"/>
        </w:rPr>
      </w:pPr>
      <w:hyperlink r:id="rId13">
        <w:r w:rsidDel="00000000" w:rsidR="00000000" w:rsidRPr="00000000">
          <w:rPr>
            <w:rFonts w:ascii="Arial" w:cs="Arial" w:eastAsia="Arial" w:hAnsi="Arial"/>
            <w:b w:val="0"/>
            <w:i w:val="0"/>
            <w:color w:val="1155cc"/>
            <w:sz w:val="24"/>
            <w:szCs w:val="24"/>
            <w:u w:val="single"/>
            <w:rtl w:val="0"/>
          </w:rPr>
          <w:t xml:space="preserve">https://www.scielo.br/scielo.php?script=sci_arttext&amp;pid=S0034-71672018000100104&amp;lang=pt</w:t>
        </w:r>
      </w:hyperlink>
      <w:r w:rsidDel="00000000" w:rsidR="00000000" w:rsidRPr="00000000">
        <w:rPr>
          <w:rFonts w:ascii="Arial" w:cs="Arial" w:eastAsia="Arial" w:hAnsi="Arial"/>
          <w:b w:val="0"/>
          <w:i w:val="0"/>
          <w:color w:val="222222"/>
          <w:sz w:val="24"/>
          <w:szCs w:val="24"/>
          <w:rtl w:val="0"/>
        </w:rPr>
        <w:t xml:space="preserve"> .</w:t>
      </w:r>
    </w:p>
    <w:p w:rsidR="00000000" w:rsidDel="00000000" w:rsidP="00000000" w:rsidRDefault="00000000" w:rsidRPr="00000000" w14:paraId="00000049">
      <w:pPr>
        <w:spacing w:line="360" w:lineRule="auto"/>
        <w:rPr>
          <w:rFonts w:ascii="Arial" w:cs="Arial" w:eastAsia="Arial" w:hAnsi="Arial"/>
          <w:b w:val="0"/>
          <w:i w:val="0"/>
          <w:color w:val="222222"/>
          <w:sz w:val="24"/>
          <w:szCs w:val="24"/>
        </w:rPr>
      </w:pPr>
      <w:r w:rsidDel="00000000" w:rsidR="00000000" w:rsidRPr="00000000">
        <w:rPr>
          <w:rFonts w:ascii="Arial" w:cs="Arial" w:eastAsia="Arial" w:hAnsi="Arial"/>
          <w:b w:val="0"/>
          <w:i w:val="0"/>
          <w:color w:val="222222"/>
          <w:sz w:val="24"/>
          <w:szCs w:val="24"/>
          <w:rtl w:val="0"/>
        </w:rPr>
        <w:t xml:space="preserve">HEMORIO,</w:t>
      </w:r>
      <w:r w:rsidDel="00000000" w:rsidR="00000000" w:rsidRPr="00000000">
        <w:rPr>
          <w:rFonts w:ascii="Arial" w:cs="Arial" w:eastAsia="Arial" w:hAnsi="Arial"/>
          <w:b w:val="1"/>
          <w:i w:val="0"/>
          <w:color w:val="222222"/>
          <w:sz w:val="24"/>
          <w:szCs w:val="24"/>
          <w:rtl w:val="0"/>
        </w:rPr>
        <w:t xml:space="preserve">Doença de Gaucher: orientações básicas aos pacientes e familiares</w:t>
      </w:r>
      <w:r w:rsidDel="00000000" w:rsidR="00000000" w:rsidRPr="00000000">
        <w:rPr>
          <w:rFonts w:ascii="Arial" w:cs="Arial" w:eastAsia="Arial" w:hAnsi="Arial"/>
          <w:b w:val="0"/>
          <w:i w:val="0"/>
          <w:color w:val="222222"/>
          <w:sz w:val="24"/>
          <w:szCs w:val="24"/>
          <w:rtl w:val="0"/>
        </w:rPr>
        <w:t xml:space="preserve">;2009;</w:t>
      </w:r>
      <w:r w:rsidDel="00000000" w:rsidR="00000000" w:rsidRPr="00000000">
        <w:rPr>
          <w:rFonts w:ascii="Arial" w:cs="Arial" w:eastAsia="Arial" w:hAnsi="Arial"/>
          <w:b w:val="0"/>
          <w:i w:val="0"/>
          <w:color w:val="000000"/>
          <w:sz w:val="24"/>
          <w:szCs w:val="24"/>
          <w:rtl w:val="0"/>
        </w:rPr>
        <w:t xml:space="preserve"> Acesso:29 set. 2020</w:t>
      </w:r>
      <w:r w:rsidDel="00000000" w:rsidR="00000000" w:rsidRPr="00000000">
        <w:rPr>
          <w:rFonts w:ascii="Arial" w:cs="Arial" w:eastAsia="Arial" w:hAnsi="Arial"/>
          <w:b w:val="0"/>
          <w:i w:val="0"/>
          <w:color w:val="222222"/>
          <w:sz w:val="24"/>
          <w:szCs w:val="24"/>
          <w:rtl w:val="0"/>
        </w:rPr>
        <w:t xml:space="preserve">. Disponível em: </w:t>
      </w:r>
      <w:hyperlink r:id="rId14">
        <w:r w:rsidDel="00000000" w:rsidR="00000000" w:rsidRPr="00000000">
          <w:rPr>
            <w:rFonts w:ascii="Arial" w:cs="Arial" w:eastAsia="Arial" w:hAnsi="Arial"/>
            <w:b w:val="0"/>
            <w:i w:val="0"/>
            <w:color w:val="1155cc"/>
            <w:sz w:val="24"/>
            <w:szCs w:val="24"/>
            <w:u w:val="single"/>
            <w:rtl w:val="0"/>
          </w:rPr>
          <w:t xml:space="preserve">http://www.hemorio.rj.gov.br/Html/pdf/manuais_2010/Doenca_gaucher.pdf</w:t>
        </w:r>
      </w:hyperlink>
      <w:r w:rsidDel="00000000" w:rsidR="00000000" w:rsidRPr="00000000">
        <w:rPr>
          <w:rFonts w:ascii="Arial" w:cs="Arial" w:eastAsia="Arial" w:hAnsi="Arial"/>
          <w:b w:val="0"/>
          <w:i w:val="0"/>
          <w:color w:val="222222"/>
          <w:sz w:val="24"/>
          <w:szCs w:val="24"/>
          <w:rtl w:val="0"/>
        </w:rPr>
        <w:t xml:space="preserve"> . </w:t>
      </w:r>
    </w:p>
    <w:p w:rsidR="00000000" w:rsidDel="00000000" w:rsidP="00000000" w:rsidRDefault="00000000" w:rsidRPr="00000000" w14:paraId="0000004A">
      <w:pPr>
        <w:spacing w:line="360" w:lineRule="auto"/>
        <w:rPr>
          <w:rFonts w:ascii="Arial" w:cs="Arial" w:eastAsia="Arial" w:hAnsi="Arial"/>
          <w:b w:val="0"/>
          <w:i w:val="0"/>
          <w:color w:val="000000"/>
          <w:sz w:val="24"/>
          <w:szCs w:val="24"/>
        </w:rPr>
      </w:pPr>
      <w:r w:rsidDel="00000000" w:rsidR="00000000" w:rsidRPr="00000000">
        <w:rPr>
          <w:rFonts w:ascii="Arial" w:cs="Arial" w:eastAsia="Arial" w:hAnsi="Arial"/>
          <w:b w:val="0"/>
          <w:i w:val="0"/>
          <w:color w:val="000000"/>
          <w:sz w:val="24"/>
          <w:szCs w:val="24"/>
          <w:rtl w:val="0"/>
        </w:rPr>
        <w:t xml:space="preserve">FERREIRA CS, SILVA LRD, ARAÚJO MBJ, TANNÚS RK, AOQUÍ WL. </w:t>
      </w:r>
      <w:r w:rsidDel="00000000" w:rsidR="00000000" w:rsidRPr="00000000">
        <w:rPr>
          <w:rFonts w:ascii="Arial" w:cs="Arial" w:eastAsia="Arial" w:hAnsi="Arial"/>
          <w:b w:val="1"/>
          <w:i w:val="0"/>
          <w:color w:val="000000"/>
          <w:sz w:val="24"/>
          <w:szCs w:val="24"/>
          <w:rtl w:val="0"/>
        </w:rPr>
        <w:t xml:space="preserve">Doença de Gaucher: uma desordem subdiagnosticada</w:t>
      </w:r>
      <w:r w:rsidDel="00000000" w:rsidR="00000000" w:rsidRPr="00000000">
        <w:rPr>
          <w:rFonts w:ascii="Arial" w:cs="Arial" w:eastAsia="Arial" w:hAnsi="Arial"/>
          <w:b w:val="0"/>
          <w:i w:val="0"/>
          <w:color w:val="000000"/>
          <w:sz w:val="24"/>
          <w:szCs w:val="24"/>
          <w:rtl w:val="0"/>
        </w:rPr>
        <w:t xml:space="preserve">. Rev Paul Ped, 2011.Acesso:29 set. 2020. Disponível em: </w:t>
      </w:r>
      <w:hyperlink r:id="rId15">
        <w:r w:rsidDel="00000000" w:rsidR="00000000" w:rsidRPr="00000000">
          <w:rPr>
            <w:rFonts w:ascii="Arial" w:cs="Arial" w:eastAsia="Arial" w:hAnsi="Arial"/>
            <w:b w:val="0"/>
            <w:i w:val="0"/>
            <w:color w:val="1155cc"/>
            <w:sz w:val="24"/>
            <w:szCs w:val="24"/>
            <w:u w:val="single"/>
            <w:rtl w:val="0"/>
          </w:rPr>
          <w:t xml:space="preserve">http://www.scielo.br/pdf/rpp/v29n1/19.pdf</w:t>
        </w:r>
      </w:hyperlink>
      <w:r w:rsidDel="00000000" w:rsidR="00000000" w:rsidRPr="00000000">
        <w:rPr>
          <w:rFonts w:ascii="Arial" w:cs="Arial" w:eastAsia="Arial" w:hAnsi="Arial"/>
          <w:b w:val="0"/>
          <w:i w:val="0"/>
          <w:color w:val="000000"/>
          <w:sz w:val="24"/>
          <w:szCs w:val="24"/>
          <w:rtl w:val="0"/>
        </w:rPr>
        <w:t xml:space="preserve"> .</w:t>
      </w:r>
    </w:p>
    <w:p w:rsidR="00000000" w:rsidDel="00000000" w:rsidP="00000000" w:rsidRDefault="00000000" w:rsidRPr="00000000" w14:paraId="0000004B">
      <w:pPr>
        <w:spacing w:line="360" w:lineRule="auto"/>
        <w:rPr>
          <w:rFonts w:ascii="Arial" w:cs="Arial" w:eastAsia="Arial" w:hAnsi="Arial"/>
          <w:b w:val="0"/>
          <w:i w:val="0"/>
          <w:color w:val="000000"/>
          <w:sz w:val="24"/>
          <w:szCs w:val="24"/>
        </w:rPr>
      </w:pPr>
      <w:r w:rsidDel="00000000" w:rsidR="00000000" w:rsidRPr="00000000">
        <w:rPr>
          <w:rFonts w:ascii="Arial" w:cs="Arial" w:eastAsia="Arial" w:hAnsi="Arial"/>
          <w:b w:val="0"/>
          <w:i w:val="0"/>
          <w:color w:val="000000"/>
          <w:sz w:val="24"/>
          <w:szCs w:val="24"/>
          <w:rtl w:val="0"/>
        </w:rPr>
        <w:t xml:space="preserve">Brasil. Ministério da Saúde. </w:t>
      </w:r>
      <w:r w:rsidDel="00000000" w:rsidR="00000000" w:rsidRPr="00000000">
        <w:rPr>
          <w:rFonts w:ascii="Arial" w:cs="Arial" w:eastAsia="Arial" w:hAnsi="Arial"/>
          <w:b w:val="1"/>
          <w:i w:val="1"/>
          <w:color w:val="000000"/>
          <w:sz w:val="24"/>
          <w:szCs w:val="24"/>
          <w:rtl w:val="0"/>
        </w:rPr>
        <w:t xml:space="preserve">Protocolos clínicos e diretrizes terapêuticas: medicamentos excepcionais;</w:t>
      </w:r>
      <w:r w:rsidDel="00000000" w:rsidR="00000000" w:rsidRPr="00000000">
        <w:rPr>
          <w:rFonts w:ascii="Arial" w:cs="Arial" w:eastAsia="Arial" w:hAnsi="Arial"/>
          <w:b w:val="0"/>
          <w:i w:val="0"/>
          <w:color w:val="000000"/>
          <w:sz w:val="24"/>
          <w:szCs w:val="24"/>
          <w:rtl w:val="0"/>
        </w:rPr>
        <w:t xml:space="preserve"> 2006. Acesso:29 set. 2020. Disponível em: </w:t>
      </w:r>
      <w:hyperlink r:id="rId16">
        <w:r w:rsidDel="00000000" w:rsidR="00000000" w:rsidRPr="00000000">
          <w:rPr>
            <w:rFonts w:ascii="Arial" w:cs="Arial" w:eastAsia="Arial" w:hAnsi="Arial"/>
            <w:b w:val="0"/>
            <w:i w:val="0"/>
            <w:color w:val="1155cc"/>
            <w:sz w:val="24"/>
            <w:szCs w:val="24"/>
            <w:u w:val="single"/>
            <w:rtl w:val="0"/>
          </w:rPr>
          <w:t xml:space="preserve">http://portal.saude.gov.br/saude/visualizar_texto.cfm?idtxt=25262</w:t>
        </w:r>
      </w:hyperlink>
      <w:r w:rsidDel="00000000" w:rsidR="00000000" w:rsidRPr="00000000">
        <w:rPr>
          <w:rFonts w:ascii="Arial" w:cs="Arial" w:eastAsia="Arial" w:hAnsi="Arial"/>
          <w:b w:val="0"/>
          <w:i w:val="0"/>
          <w:color w:val="000000"/>
          <w:sz w:val="24"/>
          <w:szCs w:val="24"/>
          <w:rtl w:val="0"/>
        </w:rPr>
        <w:t xml:space="preserve"> .</w:t>
      </w:r>
    </w:p>
    <w:p w:rsidR="00000000" w:rsidDel="00000000" w:rsidP="00000000" w:rsidRDefault="00000000" w:rsidRPr="00000000" w14:paraId="0000004C">
      <w:pPr>
        <w:spacing w:line="360" w:lineRule="auto"/>
        <w:rPr>
          <w:rFonts w:ascii="Arial" w:cs="Arial" w:eastAsia="Arial" w:hAnsi="Arial"/>
          <w:b w:val="0"/>
          <w:i w:val="0"/>
          <w:color w:val="000000"/>
          <w:sz w:val="24"/>
          <w:szCs w:val="24"/>
        </w:rPr>
      </w:pPr>
      <w:r w:rsidDel="00000000" w:rsidR="00000000" w:rsidRPr="00000000">
        <w:rPr>
          <w:rFonts w:ascii="Arial" w:cs="Arial" w:eastAsia="Arial" w:hAnsi="Arial"/>
          <w:b w:val="0"/>
          <w:i w:val="0"/>
          <w:color w:val="000000"/>
          <w:sz w:val="24"/>
          <w:szCs w:val="24"/>
          <w:rtl w:val="0"/>
        </w:rPr>
        <w:t xml:space="preserve">Brasil. Ministério da saúde, </w:t>
      </w:r>
      <w:r w:rsidDel="00000000" w:rsidR="00000000" w:rsidRPr="00000000">
        <w:rPr>
          <w:rFonts w:ascii="Arial" w:cs="Arial" w:eastAsia="Arial" w:hAnsi="Arial"/>
          <w:b w:val="1"/>
          <w:i w:val="0"/>
          <w:color w:val="000000"/>
          <w:sz w:val="24"/>
          <w:szCs w:val="24"/>
          <w:rtl w:val="0"/>
        </w:rPr>
        <w:t xml:space="preserve">Protocolo Clínico e Diretrizes Terapêuticas da Doença de Gaucher</w:t>
      </w:r>
      <w:r w:rsidDel="00000000" w:rsidR="00000000" w:rsidRPr="00000000">
        <w:rPr>
          <w:rFonts w:ascii="Arial" w:cs="Arial" w:eastAsia="Arial" w:hAnsi="Arial"/>
          <w:b w:val="0"/>
          <w:i w:val="0"/>
          <w:color w:val="000000"/>
          <w:sz w:val="24"/>
          <w:szCs w:val="24"/>
          <w:rtl w:val="0"/>
        </w:rPr>
        <w:t xml:space="preserve">; 2017.Acesso:29 set. 2020]. Disponível em: </w:t>
      </w:r>
      <w:hyperlink r:id="rId17">
        <w:r w:rsidDel="00000000" w:rsidR="00000000" w:rsidRPr="00000000">
          <w:rPr>
            <w:rFonts w:ascii="Arial" w:cs="Arial" w:eastAsia="Arial" w:hAnsi="Arial"/>
            <w:b w:val="0"/>
            <w:i w:val="0"/>
            <w:color w:val="1155cc"/>
            <w:sz w:val="24"/>
            <w:szCs w:val="24"/>
            <w:u w:val="single"/>
            <w:rtl w:val="0"/>
          </w:rPr>
          <w:t xml:space="preserve">http://conitec.gov.br/images/Protocolos/PCDT___Doenca_de_Gaucher.pdf</w:t>
        </w:r>
      </w:hyperlink>
      <w:r w:rsidDel="00000000" w:rsidR="00000000" w:rsidRPr="00000000">
        <w:rPr>
          <w:rFonts w:ascii="Arial" w:cs="Arial" w:eastAsia="Arial" w:hAnsi="Arial"/>
          <w:b w:val="0"/>
          <w:i w:val="0"/>
          <w:color w:val="000000"/>
          <w:sz w:val="24"/>
          <w:szCs w:val="24"/>
          <w:rtl w:val="0"/>
        </w:rPr>
        <w:t xml:space="preserve"> </w:t>
      </w:r>
    </w:p>
    <w:p w:rsidR="00000000" w:rsidDel="00000000" w:rsidP="00000000" w:rsidRDefault="00000000" w:rsidRPr="00000000" w14:paraId="0000004D">
      <w:pPr>
        <w:spacing w:line="360" w:lineRule="auto"/>
        <w:rPr>
          <w:rFonts w:ascii="Arial" w:cs="Arial" w:eastAsia="Arial" w:hAnsi="Arial"/>
          <w:b w:val="0"/>
          <w:i w:val="0"/>
          <w:color w:val="000000"/>
          <w:sz w:val="24"/>
          <w:szCs w:val="24"/>
        </w:rPr>
      </w:pPr>
      <w:r w:rsidDel="00000000" w:rsidR="00000000" w:rsidRPr="00000000">
        <w:rPr>
          <w:rFonts w:ascii="Arial" w:cs="Arial" w:eastAsia="Arial" w:hAnsi="Arial"/>
          <w:b w:val="0"/>
          <w:i w:val="0"/>
          <w:color w:val="000000"/>
          <w:sz w:val="24"/>
          <w:szCs w:val="24"/>
          <w:rtl w:val="0"/>
        </w:rPr>
        <w:t xml:space="preserve">HEMOTER. </w:t>
      </w:r>
      <w:r w:rsidDel="00000000" w:rsidR="00000000" w:rsidRPr="00000000">
        <w:rPr>
          <w:rFonts w:ascii="Arial" w:cs="Arial" w:eastAsia="Arial" w:hAnsi="Arial"/>
          <w:b w:val="1"/>
          <w:i w:val="0"/>
          <w:color w:val="000000"/>
          <w:sz w:val="24"/>
          <w:szCs w:val="24"/>
          <w:rtl w:val="0"/>
        </w:rPr>
        <w:t xml:space="preserve">Estudo da doença de Gaucher em Santa Catarina. </w:t>
      </w:r>
      <w:r w:rsidDel="00000000" w:rsidR="00000000" w:rsidRPr="00000000">
        <w:rPr>
          <w:rFonts w:ascii="Arial" w:cs="Arial" w:eastAsia="Arial" w:hAnsi="Arial"/>
          <w:b w:val="0"/>
          <w:i w:val="1"/>
          <w:color w:val="000000"/>
          <w:sz w:val="24"/>
          <w:szCs w:val="24"/>
          <w:rtl w:val="0"/>
        </w:rPr>
        <w:t xml:space="preserve">Rev. Bras. Hematol.</w:t>
      </w:r>
      <w:r w:rsidDel="00000000" w:rsidR="00000000" w:rsidRPr="00000000">
        <w:rPr>
          <w:rFonts w:ascii="Arial" w:cs="Arial" w:eastAsia="Arial" w:hAnsi="Arial"/>
          <w:b w:val="0"/>
          <w:i w:val="0"/>
          <w:color w:val="000000"/>
          <w:sz w:val="24"/>
          <w:szCs w:val="24"/>
          <w:rtl w:val="0"/>
        </w:rPr>
        <w:t xml:space="preserve"> 2008, vol.30, n.1, pp.5-11</w:t>
      </w:r>
      <w:r w:rsidDel="00000000" w:rsidR="00000000" w:rsidRPr="00000000">
        <w:rPr>
          <w:rFonts w:ascii="Arial" w:cs="Arial" w:eastAsia="Arial" w:hAnsi="Arial"/>
          <w:b w:val="0"/>
          <w:i w:val="1"/>
          <w:color w:val="000000"/>
          <w:sz w:val="24"/>
          <w:szCs w:val="24"/>
          <w:rtl w:val="0"/>
        </w:rPr>
        <w:t xml:space="preserve">. </w:t>
      </w:r>
      <w:r w:rsidDel="00000000" w:rsidR="00000000" w:rsidRPr="00000000">
        <w:rPr>
          <w:rFonts w:ascii="Arial" w:cs="Arial" w:eastAsia="Arial" w:hAnsi="Arial"/>
          <w:b w:val="0"/>
          <w:i w:val="0"/>
          <w:color w:val="000000"/>
          <w:sz w:val="24"/>
          <w:szCs w:val="24"/>
          <w:rtl w:val="0"/>
        </w:rPr>
        <w:t xml:space="preserve">Acesso:29 set. 2020. Disponível em: </w:t>
      </w:r>
      <w:hyperlink r:id="rId18">
        <w:r w:rsidDel="00000000" w:rsidR="00000000" w:rsidRPr="00000000">
          <w:rPr>
            <w:rFonts w:ascii="Arial" w:cs="Arial" w:eastAsia="Arial" w:hAnsi="Arial"/>
            <w:b w:val="0"/>
            <w:i w:val="0"/>
            <w:color w:val="1155cc"/>
            <w:sz w:val="24"/>
            <w:szCs w:val="24"/>
            <w:u w:val="single"/>
            <w:rtl w:val="0"/>
          </w:rPr>
          <w:t xml:space="preserve">https://doi.org/10.1590/S1516-84842008000100005</w:t>
        </w:r>
      </w:hyperlink>
      <w:r w:rsidDel="00000000" w:rsidR="00000000" w:rsidRPr="00000000">
        <w:rPr>
          <w:rFonts w:ascii="Arial" w:cs="Arial" w:eastAsia="Arial" w:hAnsi="Arial"/>
          <w:b w:val="0"/>
          <w:i w:val="0"/>
          <w:color w:val="000000"/>
          <w:sz w:val="24"/>
          <w:szCs w:val="24"/>
          <w:rtl w:val="0"/>
        </w:rPr>
        <w:t xml:space="preserve"> .</w:t>
      </w:r>
    </w:p>
    <w:p w:rsidR="00000000" w:rsidDel="00000000" w:rsidP="00000000" w:rsidRDefault="00000000" w:rsidRPr="00000000" w14:paraId="0000004E">
      <w:pPr>
        <w:spacing w:line="360" w:lineRule="auto"/>
        <w:rPr>
          <w:rFonts w:ascii="Arial" w:cs="Arial" w:eastAsia="Arial" w:hAnsi="Arial"/>
          <w:b w:val="0"/>
          <w:i w:val="0"/>
          <w:color w:val="0070c0"/>
          <w:sz w:val="24"/>
          <w:szCs w:val="24"/>
        </w:rPr>
      </w:pPr>
      <w:r w:rsidDel="00000000" w:rsidR="00000000" w:rsidRPr="00000000">
        <w:rPr>
          <w:rFonts w:ascii="Arial" w:cs="Arial" w:eastAsia="Arial" w:hAnsi="Arial"/>
          <w:b w:val="0"/>
          <w:i w:val="0"/>
          <w:color w:val="000000"/>
          <w:sz w:val="24"/>
          <w:szCs w:val="24"/>
          <w:rtl w:val="0"/>
        </w:rPr>
        <w:t xml:space="preserve">BARTH, BRIAN M et al. </w:t>
      </w:r>
      <w:r w:rsidDel="00000000" w:rsidR="00000000" w:rsidRPr="00000000">
        <w:rPr>
          <w:rFonts w:ascii="Arial" w:cs="Arial" w:eastAsia="Arial" w:hAnsi="Arial"/>
          <w:b w:val="1"/>
          <w:i w:val="0"/>
          <w:color w:val="000000"/>
          <w:sz w:val="24"/>
          <w:szCs w:val="24"/>
          <w:rtl w:val="0"/>
        </w:rPr>
        <w:t xml:space="preserve">“Gaucher's disease and cancer: a sphingolipid perspective.” </w:t>
      </w:r>
      <w:r w:rsidDel="00000000" w:rsidR="00000000" w:rsidRPr="00000000">
        <w:rPr>
          <w:rFonts w:ascii="Arial" w:cs="Arial" w:eastAsia="Arial" w:hAnsi="Arial"/>
          <w:b w:val="1"/>
          <w:i w:val="1"/>
          <w:color w:val="000000"/>
          <w:sz w:val="24"/>
          <w:szCs w:val="24"/>
          <w:rtl w:val="0"/>
        </w:rPr>
        <w:t xml:space="preserve">Critical reviews in oncogenesis</w:t>
      </w:r>
      <w:r w:rsidDel="00000000" w:rsidR="00000000" w:rsidRPr="00000000">
        <w:rPr>
          <w:rFonts w:ascii="Arial" w:cs="Arial" w:eastAsia="Arial" w:hAnsi="Arial"/>
          <w:b w:val="1"/>
          <w:i w:val="0"/>
          <w:color w:val="000000"/>
          <w:sz w:val="24"/>
          <w:szCs w:val="24"/>
          <w:rtl w:val="0"/>
        </w:rPr>
        <w:t xml:space="preserve"> </w:t>
      </w:r>
      <w:r w:rsidDel="00000000" w:rsidR="00000000" w:rsidRPr="00000000">
        <w:rPr>
          <w:rFonts w:ascii="Arial" w:cs="Arial" w:eastAsia="Arial" w:hAnsi="Arial"/>
          <w:b w:val="0"/>
          <w:i w:val="0"/>
          <w:color w:val="000000"/>
          <w:sz w:val="24"/>
          <w:szCs w:val="24"/>
          <w:rtl w:val="0"/>
        </w:rPr>
        <w:t xml:space="preserve">vol. 18,3 (2013). Acesso:29 set. 2020. Disponível em: </w:t>
      </w:r>
      <w:hyperlink r:id="rId19">
        <w:r w:rsidDel="00000000" w:rsidR="00000000" w:rsidRPr="00000000">
          <w:rPr>
            <w:rFonts w:ascii="Arial" w:cs="Arial" w:eastAsia="Arial" w:hAnsi="Arial"/>
            <w:b w:val="0"/>
            <w:i w:val="0"/>
            <w:color w:val="0070c0"/>
            <w:sz w:val="24"/>
            <w:szCs w:val="24"/>
            <w:u w:val="single"/>
            <w:rtl w:val="0"/>
          </w:rPr>
          <w:t xml:space="preserve">https://www.ncbi.nlm.nih.gov/pmc/articles/PMC3604879/</w:t>
        </w:r>
      </w:hyperlink>
      <w:r w:rsidDel="00000000" w:rsidR="00000000" w:rsidRPr="00000000">
        <w:rPr>
          <w:rtl w:val="0"/>
        </w:rPr>
      </w:r>
    </w:p>
    <w:p w:rsidR="00000000" w:rsidDel="00000000" w:rsidP="00000000" w:rsidRDefault="00000000" w:rsidRPr="00000000" w14:paraId="0000004F">
      <w:pPr>
        <w:spacing w:after="0" w:line="360" w:lineRule="auto"/>
        <w:jc w:val="both"/>
        <w:rPr>
          <w:rFonts w:ascii="Arial" w:cs="Arial" w:eastAsia="Arial" w:hAnsi="Arial"/>
          <w:sz w:val="24"/>
          <w:szCs w:val="24"/>
        </w:rPr>
      </w:pPr>
      <w:r w:rsidDel="00000000" w:rsidR="00000000" w:rsidRPr="00000000">
        <w:rPr>
          <w:rtl w:val="0"/>
        </w:rPr>
      </w:r>
    </w:p>
    <w:sectPr>
      <w:headerReference r:id="rId20" w:type="default"/>
      <w:headerReference r:id="rId21" w:type="first"/>
      <w:headerReference r:id="rId22" w:type="even"/>
      <w:footerReference r:id="rId23" w:type="default"/>
      <w:footerReference r:id="rId24" w:type="first"/>
      <w:footerReference r:id="rId25" w:type="even"/>
      <w:pgSz w:h="16838" w:w="11906"/>
      <w:pgMar w:bottom="1134" w:top="1701" w:left="1701" w:right="1134" w:header="567" w:footer="44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Times New Roman"/>
  <w:font w:name="Quattrocento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color="000000" w:space="1" w:sz="12" w:val="single"/>
        <w:right w:space="0" w:sz="0" w:val="nil"/>
        <w:between w:space="0" w:sz="0" w:val="nil"/>
      </w:pBdr>
      <w:shd w:fill="auto" w:val="clear"/>
      <w:tabs>
        <w:tab w:val="center" w:pos="4252"/>
        <w:tab w:val="right" w:pos="8504"/>
      </w:tabs>
      <w:spacing w:after="0" w:before="0" w:line="240" w:lineRule="auto"/>
      <w:ind w:left="0" w:right="360" w:firstLine="0"/>
      <w:jc w:val="center"/>
      <w:rPr>
        <w:rFonts w:ascii="Arial" w:cs="Arial" w:eastAsia="Arial" w:hAnsi="Arial"/>
        <w:b w:val="1"/>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Recredenciamento MEC Portaria Ministerial nº 1.252, de 29/09/2017  DOU de 02/10/2017</w:t>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1"/>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7"/>
        <w:szCs w:val="17"/>
        <w:u w:val="none"/>
        <w:shd w:fill="auto" w:val="clear"/>
        <w:vertAlign w:val="baseline"/>
        <w:rtl w:val="0"/>
      </w:rPr>
      <w:t xml:space="preserve">Av. Governador Roberto Silveira,910, Lia Márcia, Bom Jesus do Itabapoana- RJ  CNPJ:09.025.861/0001-07  </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1"/>
        <w:i w:val="0"/>
        <w:smallCaps w:val="0"/>
        <w:strike w:val="0"/>
        <w:color w:val="000000"/>
        <w:sz w:val="17"/>
        <w:szCs w:val="17"/>
        <w:u w:val="none"/>
        <w:shd w:fill="auto" w:val="clear"/>
        <w:vertAlign w:val="baseline"/>
      </w:rPr>
    </w:pPr>
    <w:r w:rsidDel="00000000" w:rsidR="00000000" w:rsidRPr="00000000">
      <w:rPr>
        <w:rFonts w:ascii="Arial" w:cs="Arial" w:eastAsia="Arial" w:hAnsi="Arial"/>
        <w:b w:val="1"/>
        <w:i w:val="0"/>
        <w:smallCaps w:val="0"/>
        <w:strike w:val="0"/>
        <w:color w:val="000000"/>
        <w:sz w:val="17"/>
        <w:szCs w:val="17"/>
        <w:u w:val="none"/>
        <w:shd w:fill="auto" w:val="clear"/>
        <w:vertAlign w:val="baseline"/>
        <w:rtl w:val="0"/>
      </w:rPr>
      <w:t xml:space="preserve">Cep: 28.360-000  Tel.:(22)3833-8400 – </w:t>
    </w:r>
    <w:hyperlink r:id="rId1">
      <w:r w:rsidDel="00000000" w:rsidR="00000000" w:rsidRPr="00000000">
        <w:rPr>
          <w:rFonts w:ascii="Arial" w:cs="Arial" w:eastAsia="Arial" w:hAnsi="Arial"/>
          <w:b w:val="1"/>
          <w:i w:val="0"/>
          <w:smallCaps w:val="0"/>
          <w:strike w:val="0"/>
          <w:color w:val="0000ff"/>
          <w:sz w:val="17"/>
          <w:szCs w:val="17"/>
          <w:u w:val="single"/>
          <w:shd w:fill="auto" w:val="clear"/>
          <w:vertAlign w:val="baseline"/>
          <w:rtl w:val="0"/>
        </w:rPr>
        <w:t xml:space="preserve">www.famesc.edu.br</w:t>
      </w:r>
    </w:hyperlink>
    <w:r w:rsidDel="00000000" w:rsidR="00000000" w:rsidRPr="00000000">
      <w:rPr>
        <w:rFonts w:ascii="Arial" w:cs="Arial" w:eastAsia="Arial" w:hAnsi="Arial"/>
        <w:b w:val="1"/>
        <w:i w:val="0"/>
        <w:smallCaps w:val="0"/>
        <w:strike w:val="0"/>
        <w:color w:val="002060"/>
        <w:sz w:val="17"/>
        <w:szCs w:val="17"/>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0" distB="0" distT="0" distL="114300" distR="114300" hidden="0" layoutInCell="1" locked="0" relativeHeight="0" simplePos="0">
          <wp:simplePos x="0" y="0"/>
          <wp:positionH relativeFrom="margin">
            <wp:posOffset>3245485</wp:posOffset>
          </wp:positionH>
          <wp:positionV relativeFrom="margin">
            <wp:posOffset>-866774</wp:posOffset>
          </wp:positionV>
          <wp:extent cx="2647950" cy="619125"/>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647950" cy="619125"/>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0" distB="0" distT="0" distL="114300" distR="114300" hidden="0" layoutInCell="1" locked="0" relativeHeight="0" simplePos="0">
          <wp:simplePos x="0" y="0"/>
          <wp:positionH relativeFrom="margin">
            <wp:posOffset>-628649</wp:posOffset>
          </wp:positionH>
          <wp:positionV relativeFrom="margin">
            <wp:posOffset>-866774</wp:posOffset>
          </wp:positionV>
          <wp:extent cx="2390775" cy="65786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390775" cy="65786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22" Type="http://schemas.openxmlformats.org/officeDocument/2006/relationships/header" Target="header2.xml"/><Relationship Id="rId21" Type="http://schemas.openxmlformats.org/officeDocument/2006/relationships/header" Target="header3.xml"/><Relationship Id="rId24" Type="http://schemas.openxmlformats.org/officeDocument/2006/relationships/footer" Target="footer2.xml"/><Relationship Id="rId23"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arolcistoe@yahoo.com.br" TargetMode="Externa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Gabriel2dias15@gmail.com" TargetMode="External"/><Relationship Id="rId7" Type="http://schemas.openxmlformats.org/officeDocument/2006/relationships/hyperlink" Target="mailto:Donierus@gmail.com" TargetMode="External"/><Relationship Id="rId8" Type="http://schemas.openxmlformats.org/officeDocument/2006/relationships/hyperlink" Target="mailto:Renatomatavelifilho@gmail.com" TargetMode="External"/><Relationship Id="rId11" Type="http://schemas.openxmlformats.org/officeDocument/2006/relationships/hyperlink" Target="mailto:-claudiacfa@yahoo.com.br" TargetMode="External"/><Relationship Id="rId10" Type="http://schemas.openxmlformats.org/officeDocument/2006/relationships/hyperlink" Target="mailto:-claudiacfa@yahoo.com.br" TargetMode="External"/><Relationship Id="rId13" Type="http://schemas.openxmlformats.org/officeDocument/2006/relationships/hyperlink" Target="https://www.scielo.br/scielo.php?script=sci_arttext&amp;pid=S0034-71672018000100104&amp;lang=pt" TargetMode="External"/><Relationship Id="rId12" Type="http://schemas.openxmlformats.org/officeDocument/2006/relationships/hyperlink" Target="https://www.scielo.br/scielo.php?script=sci_arttext&amp;pid=S1413-81232010000900019&amp;lang=pt" TargetMode="External"/><Relationship Id="rId15" Type="http://schemas.openxmlformats.org/officeDocument/2006/relationships/hyperlink" Target="http://www.scielo.br/pdf/rpp/v29n1/19.pdf" TargetMode="External"/><Relationship Id="rId14" Type="http://schemas.openxmlformats.org/officeDocument/2006/relationships/hyperlink" Target="http://www.hemorio.rj.gov.br/Html/pdf/manuais_2010/Doenca_gaucher.pdf" TargetMode="External"/><Relationship Id="rId17" Type="http://schemas.openxmlformats.org/officeDocument/2006/relationships/hyperlink" Target="http://conitec.gov.br/images/Protocolos/PCDT___Doenca_de_Gaucher.pdf" TargetMode="External"/><Relationship Id="rId16" Type="http://schemas.openxmlformats.org/officeDocument/2006/relationships/hyperlink" Target="http://portal.saude.gov.br/saude/visualizar_texto.cfm?idtxt=25262" TargetMode="External"/><Relationship Id="rId19" Type="http://schemas.openxmlformats.org/officeDocument/2006/relationships/hyperlink" Target="https://www.ncbi.nlm.nih.gov/pmc/articles/PMC3604879/" TargetMode="External"/><Relationship Id="rId18" Type="http://schemas.openxmlformats.org/officeDocument/2006/relationships/hyperlink" Target="https://doi.org/10.1590/S1516-84842008000100005"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famesc.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