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360" w:lineRule="auto"/>
        <w:ind w:left="1" w:hanging="3"/>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highlight w:val="white"/>
          <w:rtl w:val="0"/>
        </w:rPr>
        <w:t xml:space="preserve">COVID</w:t>
      </w:r>
      <w:r w:rsidDel="00000000" w:rsidR="00000000" w:rsidRPr="00000000">
        <w:rPr>
          <w:rFonts w:ascii="Times New Roman" w:cs="Times New Roman" w:eastAsia="Times New Roman" w:hAnsi="Times New Roman"/>
          <w:b w:val="1"/>
          <w:sz w:val="28"/>
          <w:szCs w:val="28"/>
          <w:highlight w:val="white"/>
          <w:rtl w:val="0"/>
        </w:rPr>
        <w:t xml:space="preserve">-19 E INOVAÇÕES EM SAÚDE: REVISÃO DE LITERATURA</w:t>
      </w:r>
      <w:r w:rsidDel="00000000" w:rsidR="00000000" w:rsidRPr="00000000">
        <w:rPr>
          <w:rFonts w:ascii="Times New Roman" w:cs="Times New Roman" w:eastAsia="Times New Roman" w:hAnsi="Times New Roman"/>
          <w:b w:val="1"/>
          <w:color w:val="000000"/>
          <w:sz w:val="28"/>
          <w:szCs w:val="28"/>
        </w:rPr>
        <mc:AlternateContent>
          <mc:Choice Requires="wpg">
            <w:drawing>
              <wp:anchor allowOverlap="1" behindDoc="0" distB="0" distT="0" distL="0" distR="0" hidden="0" layoutInCell="1" locked="0" relativeHeight="0" simplePos="0">
                <wp:simplePos x="0" y="0"/>
                <wp:positionH relativeFrom="page">
                  <wp:posOffset>4113530</wp:posOffset>
                </wp:positionH>
                <wp:positionV relativeFrom="page">
                  <wp:posOffset>744856</wp:posOffset>
                </wp:positionV>
                <wp:extent cx="2998470" cy="354330"/>
                <wp:effectExtent b="0" l="0" r="0" t="0"/>
                <wp:wrapSquare wrapText="bothSides" distB="0" distT="0" distL="0" distR="0"/>
                <wp:docPr id="4" name=""/>
                <a:graphic>
                  <a:graphicData uri="http://schemas.microsoft.com/office/word/2010/wordprocessingShape">
                    <wps:wsp>
                      <wps:cNvSpPr/>
                      <wps:cNvPr id="13" name="Shape 13"/>
                      <wps:spPr>
                        <a:xfrm>
                          <a:off x="3856290" y="3612360"/>
                          <a:ext cx="2979420" cy="335280"/>
                        </a:xfrm>
                        <a:prstGeom prst="rect">
                          <a:avLst/>
                        </a:prstGeom>
                        <a:noFill/>
                        <a:ln>
                          <a:noFill/>
                        </a:ln>
                      </wps:spPr>
                      <wps:txbx>
                        <w:txbxContent>
                          <w:p w:rsidR="00000000" w:rsidDel="00000000" w:rsidP="00000000" w:rsidRDefault="00000000" w:rsidRPr="00000000">
                            <w:pPr>
                              <w:spacing w:after="0" w:before="0" w:line="268.00000190734863"/>
                              <w:ind w:left="20" w:right="0" w:firstLine="2921.0000610351562"/>
                              <w:jc w:val="left"/>
                              <w:textDirection w:val="btLr"/>
                            </w:pPr>
                            <w:r w:rsidDel="00000000" w:rsidR="00000000" w:rsidRPr="00000000">
                              <w:rPr>
                                <w:rFonts w:ascii="Arial" w:cs="Arial" w:eastAsia="Arial" w:hAnsi="Arial"/>
                                <w:b w:val="0"/>
                                <w:i w:val="0"/>
                                <w:smallCaps w:val="0"/>
                                <w:strike w:val="0"/>
                                <w:color w:val="087ea6"/>
                                <w:sz w:val="21"/>
                                <w:vertAlign w:val="baseline"/>
                              </w:rPr>
                              <w:t xml:space="preserve">socepis1@gmail.com Sociedade Cearense de Pesquisa e Inovaç</w:t>
                            </w:r>
                            <w:r w:rsidDel="00000000" w:rsidR="00000000" w:rsidRPr="00000000">
                              <w:rPr>
                                <w:rFonts w:ascii="Tahoma" w:cs="Tahoma" w:eastAsia="Tahoma" w:hAnsi="Tahoma"/>
                                <w:b w:val="0"/>
                                <w:i w:val="0"/>
                                <w:smallCaps w:val="0"/>
                                <w:strike w:val="0"/>
                                <w:color w:val="087ea6"/>
                                <w:sz w:val="18"/>
                                <w:vertAlign w:val="baseline"/>
                              </w:rPr>
                              <w:t xml:space="preserve">õ</w:t>
                            </w:r>
                            <w:r w:rsidDel="00000000" w:rsidR="00000000" w:rsidRPr="00000000">
                              <w:rPr>
                                <w:rFonts w:ascii="Arial" w:cs="Arial" w:eastAsia="Arial" w:hAnsi="Arial"/>
                                <w:b w:val="0"/>
                                <w:i w:val="0"/>
                                <w:smallCaps w:val="0"/>
                                <w:strike w:val="0"/>
                                <w:color w:val="087ea6"/>
                                <w:sz w:val="21"/>
                                <w:vertAlign w:val="baseline"/>
                              </w:rPr>
                              <w:t xml:space="preserve">es em Sa</w:t>
                            </w:r>
                            <w:r w:rsidDel="00000000" w:rsidR="00000000" w:rsidRPr="00000000">
                              <w:rPr>
                                <w:rFonts w:ascii="Arial" w:cs="Arial" w:eastAsia="Arial" w:hAnsi="Arial"/>
                                <w:b w:val="0"/>
                                <w:i w:val="0"/>
                                <w:smallCaps w:val="0"/>
                                <w:strike w:val="0"/>
                                <w:color w:val="087ea6"/>
                                <w:sz w:val="14"/>
                                <w:vertAlign w:val="baseline"/>
                              </w:rPr>
                              <w:t xml:space="preserve">ú</w:t>
                            </w:r>
                            <w:r w:rsidDel="00000000" w:rsidR="00000000" w:rsidRPr="00000000">
                              <w:rPr>
                                <w:rFonts w:ascii="Arial" w:cs="Arial" w:eastAsia="Arial" w:hAnsi="Arial"/>
                                <w:b w:val="0"/>
                                <w:i w:val="0"/>
                                <w:smallCaps w:val="0"/>
                                <w:strike w:val="0"/>
                                <w:color w:val="087ea6"/>
                                <w:sz w:val="21"/>
                                <w:vertAlign w:val="baseline"/>
                              </w:rPr>
                              <w:t xml:space="preserve">de</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page">
                  <wp:posOffset>4113530</wp:posOffset>
                </wp:positionH>
                <wp:positionV relativeFrom="page">
                  <wp:posOffset>744856</wp:posOffset>
                </wp:positionV>
                <wp:extent cx="2998470" cy="354330"/>
                <wp:effectExtent b="0" l="0" r="0" t="0"/>
                <wp:wrapSquare wrapText="bothSides" distB="0" distT="0" distL="0" distR="0"/>
                <wp:docPr id="4"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998470" cy="35433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u w:val="single"/>
          <w:rtl w:val="0"/>
        </w:rPr>
        <w:t xml:space="preserve">Davidson Monteiro de Almeida¹</w:t>
      </w:r>
      <w:r w:rsidDel="00000000" w:rsidR="00000000" w:rsidRPr="00000000">
        <w:rPr>
          <w:rFonts w:ascii="Times New Roman" w:cs="Times New Roman" w:eastAsia="Times New Roman" w:hAnsi="Times New Roman"/>
          <w:b w:val="1"/>
          <w:highlight w:val="white"/>
          <w:rtl w:val="0"/>
        </w:rPr>
        <w:t xml:space="preserve">, Lohana Guimarães Souza², Ana Beatriz Santos de Oliveira³, Lorena de Oliveira Moreira Cerqueira, Maria Helena Machado Piza-Figueiredo</w:t>
      </w:r>
    </w:p>
    <w:p w:rsidR="00000000" w:rsidDel="00000000" w:rsidP="00000000" w:rsidRDefault="00000000" w:rsidRPr="00000000" w14:paraId="00000003">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spacing w:after="240" w:befor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¹Discente do Bacharelado Interdisciplinar em Saúde da Universidade Federal do Sul da Bahia – UFSB (</w:t>
      </w:r>
      <w:hyperlink r:id="rId8">
        <w:r w:rsidDel="00000000" w:rsidR="00000000" w:rsidRPr="00000000">
          <w:rPr>
            <w:rFonts w:ascii="Times New Roman" w:cs="Times New Roman" w:eastAsia="Times New Roman" w:hAnsi="Times New Roman"/>
            <w:highlight w:val="white"/>
            <w:rtl w:val="0"/>
          </w:rPr>
          <w:t xml:space="preserve">dvidsonmonteiro4@gmail.com</w:t>
        </w:r>
      </w:hyperlink>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05">
      <w:pPr>
        <w:spacing w:after="240" w:befor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vertAlign w:val="superscript"/>
          <w:rtl w:val="0"/>
        </w:rPr>
        <w:t xml:space="preserve">²</w:t>
      </w:r>
      <w:r w:rsidDel="00000000" w:rsidR="00000000" w:rsidRPr="00000000">
        <w:rPr>
          <w:rFonts w:ascii="Times New Roman" w:cs="Times New Roman" w:eastAsia="Times New Roman" w:hAnsi="Times New Roman"/>
          <w:highlight w:val="white"/>
          <w:rtl w:val="0"/>
        </w:rPr>
        <w:t xml:space="preserve">Discente do Bacharelado Interdisciplinar em Saúde da Universidade Federal do Sul da Bahia – UFSB (lohana.souza@cja.ufsb.edu.br)</w:t>
      </w:r>
    </w:p>
    <w:p w:rsidR="00000000" w:rsidDel="00000000" w:rsidP="00000000" w:rsidRDefault="00000000" w:rsidRPr="00000000" w14:paraId="00000006">
      <w:pPr>
        <w:spacing w:after="240" w:befor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vertAlign w:val="superscript"/>
          <w:rtl w:val="0"/>
        </w:rPr>
        <w:t xml:space="preserve">³</w:t>
      </w:r>
      <w:r w:rsidDel="00000000" w:rsidR="00000000" w:rsidRPr="00000000">
        <w:rPr>
          <w:rFonts w:ascii="Times New Roman" w:cs="Times New Roman" w:eastAsia="Times New Roman" w:hAnsi="Times New Roman"/>
          <w:highlight w:val="white"/>
          <w:rtl w:val="0"/>
        </w:rPr>
        <w:t xml:space="preserve">Discente do Bacharelado Interdisciplinar em Saúde da Universidade Federal do Sul da Bahia – UFSB (</w:t>
      </w:r>
      <w:hyperlink r:id="rId9">
        <w:r w:rsidDel="00000000" w:rsidR="00000000" w:rsidRPr="00000000">
          <w:rPr>
            <w:rFonts w:ascii="Times New Roman" w:cs="Times New Roman" w:eastAsia="Times New Roman" w:hAnsi="Times New Roman"/>
            <w:rtl w:val="0"/>
          </w:rPr>
          <w:t xml:space="preserve">beatriz_ana2014@outlook.com</w:t>
        </w:r>
      </w:hyperlink>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07">
      <w:pPr>
        <w:spacing w:after="240" w:befor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Mestranda pelo Centro Universitário UNINOVAFAPI (</w:t>
      </w:r>
      <w:hyperlink r:id="rId10">
        <w:r w:rsidDel="00000000" w:rsidR="00000000" w:rsidRPr="00000000">
          <w:rPr>
            <w:rFonts w:ascii="Times New Roman" w:cs="Times New Roman" w:eastAsia="Times New Roman" w:hAnsi="Times New Roman"/>
            <w:highlight w:val="white"/>
            <w:rtl w:val="0"/>
          </w:rPr>
          <w:t xml:space="preserve">lorena.m.cerqueira30@gmail.com</w:t>
        </w:r>
      </w:hyperlink>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08">
      <w:pPr>
        <w:spacing w:after="240" w:before="240" w:lineRule="auto"/>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Docente Adjunta da Universidade Federal do Sul da Bahia – UFSB (helenapizafigueiredo@gmail.com)</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360" w:lineRule="auto"/>
        <w:ind w:left="1" w:hanging="3"/>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spacing w:after="120" w:line="360" w:lineRule="auto"/>
        <w:ind w:hanging="2"/>
        <w:jc w:val="both"/>
        <w:rPr>
          <w:rFonts w:ascii="Times New Roman" w:cs="Times New Roman" w:eastAsia="Times New Roman" w:hAnsi="Times New Roman"/>
          <w:color w:val="202124"/>
          <w:highlight w:val="white"/>
        </w:rPr>
      </w:pPr>
      <w:r w:rsidDel="00000000" w:rsidR="00000000" w:rsidRPr="00000000">
        <w:rPr>
          <w:rFonts w:ascii="Times New Roman" w:cs="Times New Roman" w:eastAsia="Times New Roman" w:hAnsi="Times New Roman"/>
          <w:b w:val="1"/>
          <w:rtl w:val="0"/>
        </w:rPr>
        <w:t xml:space="preserve">Resumo: </w:t>
      </w:r>
      <w:r w:rsidDel="00000000" w:rsidR="00000000" w:rsidRPr="00000000">
        <w:rPr>
          <w:rFonts w:ascii="Times New Roman" w:cs="Times New Roman" w:eastAsia="Times New Roman" w:hAnsi="Times New Roman"/>
          <w:highlight w:val="white"/>
          <w:rtl w:val="0"/>
        </w:rPr>
        <w:t xml:space="preserve">A crise de saúde pública ocasionada pela pandemia do novo coronavírus desencadeou uma crescente onda de inovações digitais em saúde. O momento atual de enfrentamento a COVID-19 impossibilitou as práticas tradicionais e rotineiras de saúde, como consultas e acompanhamentos pelas Unidades Básicas de Saúde (UBS), ou até mesmo em consultórios, visto que o recomendado inicialmente são apenas atendimentos de urgência/emergência. Assim, o presente estudo tem como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objetivo sintetizar as evidências acerca das inovações tecnológicas em saúde surgidas e implementadas durante a pandemia da </w:t>
      </w:r>
      <w:r w:rsidDel="00000000" w:rsidR="00000000" w:rsidRPr="00000000">
        <w:rPr>
          <w:rFonts w:ascii="Times New Roman" w:cs="Times New Roman" w:eastAsia="Times New Roman" w:hAnsi="Times New Roman"/>
          <w:rtl w:val="0"/>
        </w:rPr>
        <w:t xml:space="preserve">COVID</w:t>
      </w:r>
      <w:r w:rsidDel="00000000" w:rsidR="00000000" w:rsidRPr="00000000">
        <w:rPr>
          <w:rFonts w:ascii="Times New Roman" w:cs="Times New Roman" w:eastAsia="Times New Roman" w:hAnsi="Times New Roman"/>
          <w:rtl w:val="0"/>
        </w:rPr>
        <w:t xml:space="preserve">-19</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highlight w:val="white"/>
          <w:rtl w:val="0"/>
        </w:rPr>
        <w:t xml:space="preserve"> Trata-se de uma revisão integrativa de literatura, com busca nas bases de dados Biblioteca Virtual em Saúde (BVS) e PubMed, utilizando os Descritores em Ciências da Saúde (DeCS) “Inovação”, “Saúde” e “</w:t>
      </w:r>
      <w:r w:rsidDel="00000000" w:rsidR="00000000" w:rsidRPr="00000000">
        <w:rPr>
          <w:rFonts w:ascii="Times New Roman" w:cs="Times New Roman" w:eastAsia="Times New Roman" w:hAnsi="Times New Roman"/>
          <w:highlight w:val="white"/>
          <w:rtl w:val="0"/>
        </w:rPr>
        <w:t xml:space="preserve">COVID</w:t>
      </w:r>
      <w:r w:rsidDel="00000000" w:rsidR="00000000" w:rsidRPr="00000000">
        <w:rPr>
          <w:rFonts w:ascii="Times New Roman" w:cs="Times New Roman" w:eastAsia="Times New Roman" w:hAnsi="Times New Roman"/>
          <w:highlight w:val="white"/>
          <w:rtl w:val="0"/>
        </w:rPr>
        <w:t xml:space="preserve">-19”. </w:t>
      </w:r>
      <w:r w:rsidDel="00000000" w:rsidR="00000000" w:rsidRPr="00000000">
        <w:rPr>
          <w:rFonts w:ascii="Times New Roman" w:cs="Times New Roman" w:eastAsia="Times New Roman" w:hAnsi="Times New Roman"/>
          <w:rtl w:val="0"/>
        </w:rPr>
        <w:t xml:space="preserve">Os critérios de inclusão foram:</w:t>
      </w:r>
      <w:r w:rsidDel="00000000" w:rsidR="00000000" w:rsidRPr="00000000">
        <w:rPr>
          <w:rFonts w:ascii="Times New Roman" w:cs="Times New Roman" w:eastAsia="Times New Roman" w:hAnsi="Times New Roman"/>
          <w:highlight w:val="white"/>
          <w:rtl w:val="0"/>
        </w:rPr>
        <w:t xml:space="preserve"> existência do resumo, texto completo gratuito, estudos em humanos, publicados a partir de 2020</w:t>
      </w:r>
      <w:r w:rsidDel="00000000" w:rsidR="00000000" w:rsidRPr="00000000">
        <w:rPr>
          <w:rFonts w:ascii="Times New Roman" w:cs="Times New Roman" w:eastAsia="Times New Roman" w:hAnsi="Times New Roman"/>
          <w:color w:val="202124"/>
          <w:rtl w:val="0"/>
        </w:rPr>
        <w:t xml:space="preserve">; encontrando </w:t>
      </w:r>
      <w:r w:rsidDel="00000000" w:rsidR="00000000" w:rsidRPr="00000000">
        <w:rPr>
          <w:rFonts w:ascii="Times New Roman" w:cs="Times New Roman" w:eastAsia="Times New Roman" w:hAnsi="Times New Roman"/>
          <w:color w:val="202124"/>
          <w:highlight w:val="white"/>
          <w:rtl w:val="0"/>
        </w:rPr>
        <w:t xml:space="preserve">13 trabalhos na base de dados BVS e 214 na PubMed, incluindo 24, que atendiam os critérios de elegibilidade.</w:t>
      </w:r>
      <w:r w:rsidDel="00000000" w:rsidR="00000000" w:rsidRPr="00000000">
        <w:rPr>
          <w:rFonts w:ascii="Times New Roman" w:cs="Times New Roman" w:eastAsia="Times New Roman" w:hAnsi="Times New Roman"/>
          <w:highlight w:val="white"/>
          <w:rtl w:val="0"/>
        </w:rPr>
        <w:t xml:space="preserve"> O estudo </w:t>
      </w:r>
      <w:r w:rsidDel="00000000" w:rsidR="00000000" w:rsidRPr="00000000">
        <w:rPr>
          <w:rFonts w:ascii="Times New Roman" w:cs="Times New Roman" w:eastAsia="Times New Roman" w:hAnsi="Times New Roman"/>
          <w:color w:val="202124"/>
          <w:highlight w:val="white"/>
          <w:rtl w:val="0"/>
        </w:rPr>
        <w:t xml:space="preserve">evidenciou o forte crescimento de ferramentas tecnológicas e implementações digitais na área da saúde no </w:t>
      </w:r>
      <w:r w:rsidDel="00000000" w:rsidR="00000000" w:rsidRPr="00000000">
        <w:rPr>
          <w:rFonts w:ascii="Times New Roman" w:cs="Times New Roman" w:eastAsia="Times New Roman" w:hAnsi="Times New Roman"/>
          <w:color w:val="202124"/>
          <w:highlight w:val="white"/>
          <w:rtl w:val="0"/>
        </w:rPr>
        <w:t xml:space="preserve">período</w:t>
      </w:r>
      <w:r w:rsidDel="00000000" w:rsidR="00000000" w:rsidRPr="00000000">
        <w:rPr>
          <w:rFonts w:ascii="Times New Roman" w:cs="Times New Roman" w:eastAsia="Times New Roman" w:hAnsi="Times New Roman"/>
          <w:color w:val="202124"/>
          <w:highlight w:val="white"/>
          <w:rtl w:val="0"/>
        </w:rPr>
        <w:t xml:space="preserve"> de janeiro  a junho de 2020. É possível afirmar que a pandemia da </w:t>
      </w:r>
      <w:r w:rsidDel="00000000" w:rsidR="00000000" w:rsidRPr="00000000">
        <w:rPr>
          <w:rFonts w:ascii="Times New Roman" w:cs="Times New Roman" w:eastAsia="Times New Roman" w:hAnsi="Times New Roman"/>
          <w:color w:val="202124"/>
          <w:highlight w:val="white"/>
          <w:rtl w:val="0"/>
        </w:rPr>
        <w:t xml:space="preserve">COVID</w:t>
      </w:r>
      <w:r w:rsidDel="00000000" w:rsidR="00000000" w:rsidRPr="00000000">
        <w:rPr>
          <w:rFonts w:ascii="Times New Roman" w:cs="Times New Roman" w:eastAsia="Times New Roman" w:hAnsi="Times New Roman"/>
          <w:color w:val="202124"/>
          <w:highlight w:val="white"/>
          <w:rtl w:val="0"/>
        </w:rPr>
        <w:t xml:space="preserve">-19 potencializou as implementações no campo das tecnologias em saúde. Atualmente, as inovações digitais em saúde têm se apresentado como as soluções capazes de proporcionar acesso contínuo a saúde, sendo necessário se atentar quais populações estão sendo assistidas. </w:t>
      </w:r>
    </w:p>
    <w:p w:rsidR="00000000" w:rsidDel="00000000" w:rsidP="00000000" w:rsidRDefault="00000000" w:rsidRPr="00000000" w14:paraId="0000000B">
      <w:pPr>
        <w:spacing w:after="120" w:line="360" w:lineRule="auto"/>
        <w:ind w:hanging="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Palavras-chave/Descritores:</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202124"/>
          <w:highlight w:val="white"/>
          <w:rtl w:val="0"/>
        </w:rPr>
        <w:t xml:space="preserve"> </w:t>
      </w:r>
      <w:r w:rsidDel="00000000" w:rsidR="00000000" w:rsidRPr="00000000">
        <w:rPr>
          <w:rFonts w:ascii="Times New Roman" w:cs="Times New Roman" w:eastAsia="Times New Roman" w:hAnsi="Times New Roman"/>
          <w:color w:val="202124"/>
          <w:highlight w:val="white"/>
          <w:rtl w:val="0"/>
        </w:rPr>
        <w:t xml:space="preserve">Inovação. Saúde. </w:t>
      </w:r>
      <w:r w:rsidDel="00000000" w:rsidR="00000000" w:rsidRPr="00000000">
        <w:rPr>
          <w:rFonts w:ascii="Times New Roman" w:cs="Times New Roman" w:eastAsia="Times New Roman" w:hAnsi="Times New Roman"/>
          <w:color w:val="202124"/>
          <w:highlight w:val="white"/>
          <w:rtl w:val="0"/>
        </w:rPr>
        <w:t xml:space="preserve">COVID</w:t>
      </w:r>
      <w:r w:rsidDel="00000000" w:rsidR="00000000" w:rsidRPr="00000000">
        <w:rPr>
          <w:rFonts w:ascii="Times New Roman" w:cs="Times New Roman" w:eastAsia="Times New Roman" w:hAnsi="Times New Roman"/>
          <w:color w:val="202124"/>
          <w:highlight w:val="white"/>
          <w:rtl w:val="0"/>
        </w:rPr>
        <w:t xml:space="preserve">-19.</w:t>
      </w:r>
      <w:r w:rsidDel="00000000" w:rsidR="00000000" w:rsidRPr="00000000">
        <w:rPr>
          <w:rtl w:val="0"/>
        </w:rPr>
      </w:r>
    </w:p>
    <w:p w:rsidR="00000000" w:rsidDel="00000000" w:rsidP="00000000" w:rsidRDefault="00000000" w:rsidRPr="00000000" w14:paraId="0000000C">
      <w:pPr>
        <w:spacing w:after="120" w:line="360" w:lineRule="auto"/>
        <w:ind w:hanging="2"/>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color w:val="000000"/>
          <w:rtl w:val="0"/>
        </w:rPr>
        <w:t xml:space="preserve">Área Temática:</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202124"/>
          <w:highlight w:val="white"/>
          <w:rtl w:val="0"/>
        </w:rPr>
        <w:t xml:space="preserve">Temas livres</w:t>
      </w:r>
      <w:r w:rsidDel="00000000" w:rsidR="00000000" w:rsidRPr="00000000">
        <w:rPr>
          <w:rtl w:val="0"/>
        </w:rPr>
      </w:r>
    </w:p>
    <w:p w:rsidR="00000000" w:rsidDel="00000000" w:rsidP="00000000" w:rsidRDefault="00000000" w:rsidRPr="00000000" w14:paraId="0000000D">
      <w:pPr>
        <w:spacing w:after="120" w:line="360" w:lineRule="auto"/>
        <w:ind w:hanging="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center" w:pos="4419"/>
          <w:tab w:val="right" w:pos="8838"/>
        </w:tabs>
        <w:spacing w:line="360" w:lineRule="auto"/>
        <w:ind w:left="1" w:hanging="3"/>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0F">
      <w:pPr>
        <w:keepNext w:val="1"/>
        <w:numPr>
          <w:ilvl w:val="0"/>
          <w:numId w:val="2"/>
        </w:numPr>
        <w:pBdr>
          <w:top w:space="0" w:sz="0" w:val="nil"/>
          <w:left w:space="0" w:sz="0" w:val="nil"/>
          <w:bottom w:space="0" w:sz="0" w:val="nil"/>
          <w:right w:space="0" w:sz="0" w:val="nil"/>
          <w:between w:space="0" w:sz="0" w:val="nil"/>
        </w:pBdr>
        <w:spacing w:after="120" w:before="120" w:lineRule="auto"/>
        <w:ind w:left="0" w:hanging="2"/>
        <w:rPr/>
      </w:pPr>
      <w:r w:rsidDel="00000000" w:rsidR="00000000" w:rsidRPr="00000000">
        <w:rPr>
          <w:rFonts w:ascii="Times New Roman" w:cs="Times New Roman" w:eastAsia="Times New Roman" w:hAnsi="Times New Roman"/>
          <w:b w:val="1"/>
          <w:color w:val="000000"/>
          <w:rtl w:val="0"/>
        </w:rPr>
        <w:t xml:space="preserve">INTRODUÇÃO</w:t>
      </w:r>
      <w:r w:rsidDel="00000000" w:rsidR="00000000" w:rsidRPr="00000000">
        <w:rPr>
          <w:rtl w:val="0"/>
        </w:rPr>
      </w:r>
    </w:p>
    <w:p w:rsidR="00000000" w:rsidDel="00000000" w:rsidP="00000000" w:rsidRDefault="00000000" w:rsidRPr="00000000" w14:paraId="00000010">
      <w:pPr>
        <w:spacing w:line="360"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 crise de saúde pública ocasionada pela pandemia do novo coronavírus desencadeou uma crescente onda de inovações digitais em saúde. As implementações no sistema de saúde digital se dão de modo estratégico, proporcionando aos usuários acesso contínuo aos serviços digitais de saúde, garantindo que as medidas sanitárias de contenção da transmissão do vírus sejam praticadas (</w:t>
      </w:r>
      <w:r w:rsidDel="00000000" w:rsidR="00000000" w:rsidRPr="00000000">
        <w:rPr>
          <w:rFonts w:ascii="Times New Roman" w:cs="Times New Roman" w:eastAsia="Times New Roman" w:hAnsi="Times New Roman"/>
          <w:rtl w:val="0"/>
        </w:rPr>
        <w:t xml:space="preserve">CRAWFORD; SERHAL, 2020)</w:t>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11">
      <w:pPr>
        <w:spacing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t xml:space="preserve">Conforme a Organização Mundial de Saúde (OMS) (2020), a saúde digital trata-se do campo do conhecimento que desenvolve saúde associada às tecnologias digitais para fins de melhoria no acesso à saúde. Consoante ao Diretor-Geral da OMS, Tedros Adhanom Ghebreyesus, as tecnologias digitais são ferramentas vitais para promoção da saúde, e garantia de acesso aos mais vulneráveis (OMS, 2020). </w:t>
      </w:r>
    </w:p>
    <w:p w:rsidR="00000000" w:rsidDel="00000000" w:rsidP="00000000" w:rsidRDefault="00000000" w:rsidRPr="00000000" w14:paraId="00000012">
      <w:pPr>
        <w:spacing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t xml:space="preserve">O momento atual de enfrentamento a COVID-19 impossibilitou as práticas tradicionais e rotineiras de saúde, como consultas e acompanhamentos pelas Unidades Básicas de Saúde (UBS), ou até mesmo em consultórios, visto que o recomendado inicialmente são apenas atendimentos de urgência/emergência. Torous et al. (2020) revela que médicos e pacientes têm percebido o potencial das ferramentas digitais pois são forçados, pela primeira vez, a utilizá-las, já que visitas pessoais e presenciais não são possíveis.</w:t>
      </w:r>
    </w:p>
    <w:p w:rsidR="00000000" w:rsidDel="00000000" w:rsidP="00000000" w:rsidRDefault="00000000" w:rsidRPr="00000000" w14:paraId="00000013">
      <w:pPr>
        <w:spacing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t xml:space="preserve">De acordo Lin e Wu (2020), os novos hábitos adotados na pandemia de acesso ao cuidado à saúde são de extrema importância, no entanto, exigem pesquisas tanto conceituais quanto aplicadas a fim de mapear como a Internet das Coisas Médicas (IoMT) contribuem no momento atual, questionando sempre se os modelos já utilizados apresentam resultados no processo de atenção à saúde. </w:t>
      </w:r>
    </w:p>
    <w:p w:rsidR="00000000" w:rsidDel="00000000" w:rsidP="00000000" w:rsidRDefault="00000000" w:rsidRPr="00000000" w14:paraId="00000014">
      <w:pPr>
        <w:spacing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tab/>
        <w:t xml:space="preserve">A saúde digital é atualmente anunciada como a solução de saúde inovadora, capaz de garantir o acesso aos cuidados clínicos, compreendendo que inovação tecnológica na saúde se trata de toda uma gama de tecnologias introduzidas a saúde, incluindo aplicativos móveis de saúde, telessaúde e serviços e ferramentas de saúde on-line (</w:t>
      </w:r>
      <w:r w:rsidDel="00000000" w:rsidR="00000000" w:rsidRPr="00000000">
        <w:rPr>
          <w:rFonts w:ascii="Times New Roman" w:cs="Times New Roman" w:eastAsia="Times New Roman" w:hAnsi="Times New Roman"/>
          <w:rtl w:val="0"/>
        </w:rPr>
        <w:t xml:space="preserve">CRAWFORD; SERHAL, 2020)</w:t>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15">
      <w:pPr>
        <w:spacing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t xml:space="preserve">Dessa forma, esta pesquisa objetiva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sintetizar as evidências acerca das inovações tecnológicas em saúde, surgidas e implementadas durante a pandemia da </w:t>
      </w:r>
      <w:r w:rsidDel="00000000" w:rsidR="00000000" w:rsidRPr="00000000">
        <w:rPr>
          <w:rFonts w:ascii="Times New Roman" w:cs="Times New Roman" w:eastAsia="Times New Roman" w:hAnsi="Times New Roman"/>
          <w:highlight w:val="white"/>
          <w:rtl w:val="0"/>
        </w:rPr>
        <w:t xml:space="preserve">COVID</w:t>
      </w:r>
      <w:r w:rsidDel="00000000" w:rsidR="00000000" w:rsidRPr="00000000">
        <w:rPr>
          <w:rFonts w:ascii="Times New Roman" w:cs="Times New Roman" w:eastAsia="Times New Roman" w:hAnsi="Times New Roman"/>
          <w:highlight w:val="white"/>
          <w:rtl w:val="0"/>
        </w:rPr>
        <w:t xml:space="preserve">-19, a fim de compreender qual a real contribuição delas no momento atual de enfrentamento a pandemia. </w:t>
      </w:r>
    </w:p>
    <w:p w:rsidR="00000000" w:rsidDel="00000000" w:rsidP="00000000" w:rsidRDefault="00000000" w:rsidRPr="00000000" w14:paraId="00000016">
      <w:pPr>
        <w:pBdr>
          <w:top w:space="0" w:sz="0" w:val="nil"/>
          <w:left w:space="0" w:sz="0" w:val="nil"/>
          <w:bottom w:space="0" w:sz="0" w:val="nil"/>
          <w:right w:space="0" w:sz="0" w:val="nil"/>
          <w:between w:space="0" w:sz="0" w:val="nil"/>
        </w:pBdr>
        <w:ind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ind w:hanging="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8">
      <w:pPr>
        <w:keepNext w:val="1"/>
        <w:numPr>
          <w:ilvl w:val="0"/>
          <w:numId w:val="2"/>
        </w:numPr>
        <w:pBdr>
          <w:top w:space="0" w:sz="0" w:val="nil"/>
          <w:left w:space="0" w:sz="0" w:val="nil"/>
          <w:bottom w:space="0" w:sz="0" w:val="nil"/>
          <w:right w:space="0" w:sz="0" w:val="nil"/>
          <w:between w:space="0" w:sz="0" w:val="nil"/>
        </w:pBdr>
        <w:spacing w:after="120" w:before="120" w:lineRule="auto"/>
        <w:ind w:left="0" w:hanging="2"/>
        <w:rPr/>
      </w:pPr>
      <w:r w:rsidDel="00000000" w:rsidR="00000000" w:rsidRPr="00000000">
        <w:rPr>
          <w:rFonts w:ascii="Times New Roman" w:cs="Times New Roman" w:eastAsia="Times New Roman" w:hAnsi="Times New Roman"/>
          <w:b w:val="1"/>
          <w:color w:val="000000"/>
          <w:rtl w:val="0"/>
        </w:rPr>
        <w:t xml:space="preserve">METODOLOGIA</w:t>
      </w:r>
      <w:r w:rsidDel="00000000" w:rsidR="00000000" w:rsidRPr="00000000">
        <w:rPr>
          <w:rtl w:val="0"/>
        </w:rPr>
      </w:r>
    </w:p>
    <w:p w:rsidR="00000000" w:rsidDel="00000000" w:rsidP="00000000" w:rsidRDefault="00000000" w:rsidRPr="00000000" w14:paraId="00000019">
      <w:pPr>
        <w:spacing w:line="360"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Trata-se de uma revisão integrativa de literatura, de caráter descritivo. Concernente as definições de Mendes, Silveira e Galvão (2008), o modelo de pesquisa adotado contribui para o aprofundamento do conhecimento, reunindo e sintetizando resultados de pesquisas de forma sistemática e ordenada, facilitando a incorporação de evidências. Foram etapas desta revisão: 1- Elaboração da pergunta norteadora, 2 - Busca na literatura, 3 - Levantamento de dados, 4 - Análise crítica dos estudos incluídos,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5 - Interpretação dos resultados e 6- Apresentação da revisão/síntese do conhecimento</w:t>
      </w:r>
      <w:r w:rsidDel="00000000" w:rsidR="00000000" w:rsidRPr="00000000">
        <w:rPr>
          <w:rFonts w:ascii="Times New Roman" w:cs="Times New Roman" w:eastAsia="Times New Roman" w:hAnsi="Times New Roman"/>
          <w:highlight w:val="white"/>
          <w:rtl w:val="0"/>
        </w:rPr>
        <w:t xml:space="preserve"> (SOUZA; SILVA; CARVALHO, 2010)</w:t>
      </w:r>
    </w:p>
    <w:p w:rsidR="00000000" w:rsidDel="00000000" w:rsidP="00000000" w:rsidRDefault="00000000" w:rsidRPr="00000000" w14:paraId="0000001A">
      <w:pPr>
        <w:spacing w:line="360" w:lineRule="auto"/>
        <w:ind w:firstLine="720"/>
        <w:jc w:val="both"/>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highlight w:val="white"/>
          <w:rtl w:val="0"/>
        </w:rPr>
        <w:t xml:space="preserve">O levantamento bibliográfico foi realizado nas bases de dados, Biblioteca Virtual em Saúde (BVS) e PubMed, utilizando dos seguintes critérios de inclusão: existência do resumo, texto completo gratuito, estudos em humanos, publicados a partir de 2020. A chave de busca utilizada foi composta por Descritores em Ciências da Saúde (DeCS), sendo eles:</w:t>
      </w:r>
      <w:r w:rsidDel="00000000" w:rsidR="00000000" w:rsidRPr="00000000">
        <w:rPr>
          <w:rFonts w:ascii="Times New Roman" w:cs="Times New Roman" w:eastAsia="Times New Roman" w:hAnsi="Times New Roman"/>
          <w:color w:val="202124"/>
          <w:highlight w:val="white"/>
          <w:rtl w:val="0"/>
        </w:rPr>
        <w:t xml:space="preserve"> “Inovação”, “Saúde” e “</w:t>
      </w:r>
      <w:r w:rsidDel="00000000" w:rsidR="00000000" w:rsidRPr="00000000">
        <w:rPr>
          <w:rFonts w:ascii="Times New Roman" w:cs="Times New Roman" w:eastAsia="Times New Roman" w:hAnsi="Times New Roman"/>
          <w:color w:val="202124"/>
          <w:highlight w:val="white"/>
          <w:rtl w:val="0"/>
        </w:rPr>
        <w:t xml:space="preserve">COVID</w:t>
      </w:r>
      <w:r w:rsidDel="00000000" w:rsidR="00000000" w:rsidRPr="00000000">
        <w:rPr>
          <w:rFonts w:ascii="Times New Roman" w:cs="Times New Roman" w:eastAsia="Times New Roman" w:hAnsi="Times New Roman"/>
          <w:color w:val="202124"/>
          <w:highlight w:val="white"/>
          <w:rtl w:val="0"/>
        </w:rPr>
        <w:t xml:space="preserve">-19”, para as duas bases de dados. Foram encontrados 13 trabalhos na base de dados BVS e 214 na PubMed. A seleção inicial dos artigos se deu por leitura dos títulos e resumos e posterior leitura do trabalho completo, incluindo 24 artigos que atendiam os critérios de elegibilidade e respondiam à pergunta de pesquisa. Após a leitura na íntegra destes trabalhos, foram extraídos os dados de interesse e iniciado a</w:t>
      </w:r>
      <w:r w:rsidDel="00000000" w:rsidR="00000000" w:rsidRPr="00000000">
        <w:rPr>
          <w:rFonts w:ascii="Times New Roman" w:cs="Times New Roman" w:eastAsia="Times New Roman" w:hAnsi="Times New Roman"/>
          <w:color w:val="202124"/>
          <w:rtl w:val="0"/>
        </w:rPr>
        <w:t xml:space="preserve"> </w:t>
      </w:r>
      <w:r w:rsidDel="00000000" w:rsidR="00000000" w:rsidRPr="00000000">
        <w:rPr>
          <w:rFonts w:ascii="Times New Roman" w:cs="Times New Roman" w:eastAsia="Times New Roman" w:hAnsi="Times New Roman"/>
          <w:color w:val="202124"/>
          <w:rtl w:val="0"/>
        </w:rPr>
        <w:t xml:space="preserve">síntese para a construção da presente pesquisa. </w:t>
      </w:r>
    </w:p>
    <w:p w:rsidR="00000000" w:rsidDel="00000000" w:rsidP="00000000" w:rsidRDefault="00000000" w:rsidRPr="00000000" w14:paraId="0000001B">
      <w:pPr>
        <w:keepNext w:val="1"/>
        <w:pBdr>
          <w:top w:space="0" w:sz="0" w:val="nil"/>
          <w:left w:space="0" w:sz="0" w:val="nil"/>
          <w:bottom w:space="0" w:sz="0" w:val="nil"/>
          <w:right w:space="0" w:sz="0" w:val="nil"/>
          <w:between w:space="0" w:sz="0" w:val="nil"/>
        </w:pBdr>
        <w:spacing w:after="120" w:before="12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keepNext w:val="1"/>
        <w:numPr>
          <w:ilvl w:val="0"/>
          <w:numId w:val="2"/>
        </w:numPr>
        <w:pBdr>
          <w:top w:space="0" w:sz="0" w:val="nil"/>
          <w:left w:space="0" w:sz="0" w:val="nil"/>
          <w:bottom w:space="0" w:sz="0" w:val="nil"/>
          <w:right w:space="0" w:sz="0" w:val="nil"/>
          <w:between w:space="0" w:sz="0" w:val="nil"/>
        </w:pBdr>
        <w:spacing w:after="120" w:before="120" w:lineRule="auto"/>
        <w:ind w:left="0" w:hanging="2"/>
        <w:rPr/>
      </w:pPr>
      <w:r w:rsidDel="00000000" w:rsidR="00000000" w:rsidRPr="00000000">
        <w:rPr>
          <w:rFonts w:ascii="Times New Roman" w:cs="Times New Roman" w:eastAsia="Times New Roman" w:hAnsi="Times New Roman"/>
          <w:b w:val="1"/>
          <w:color w:val="000000"/>
          <w:rtl w:val="0"/>
        </w:rPr>
        <w:t xml:space="preserve">RESULTADOS E DISCUSSÃO</w:t>
      </w:r>
      <w:r w:rsidDel="00000000" w:rsidR="00000000" w:rsidRPr="00000000">
        <w:rPr>
          <w:rtl w:val="0"/>
        </w:rPr>
      </w:r>
    </w:p>
    <w:p w:rsidR="00000000" w:rsidDel="00000000" w:rsidP="00000000" w:rsidRDefault="00000000" w:rsidRPr="00000000" w14:paraId="0000001D">
      <w:pPr>
        <w:spacing w:line="360" w:lineRule="auto"/>
        <w:ind w:firstLine="720"/>
        <w:jc w:val="both"/>
        <w:rPr>
          <w:rFonts w:ascii="Times New Roman" w:cs="Times New Roman" w:eastAsia="Times New Roman" w:hAnsi="Times New Roman"/>
          <w:color w:val="202124"/>
          <w:highlight w:val="white"/>
        </w:rPr>
      </w:pPr>
      <w:r w:rsidDel="00000000" w:rsidR="00000000" w:rsidRPr="00000000">
        <w:rPr>
          <w:rFonts w:ascii="Times New Roman" w:cs="Times New Roman" w:eastAsia="Times New Roman" w:hAnsi="Times New Roman"/>
          <w:color w:val="202124"/>
          <w:highlight w:val="white"/>
          <w:rtl w:val="0"/>
        </w:rPr>
        <w:t xml:space="preserve">A presente revisão, por se tratar de um estudo que sintetiza as informações sobre as inovações em saúde no período de enfrentamento a pandemia, evidenciou o forte crescimento de ferramentas tecnológicas e implementações no campo da saúde digital no período de 2020.</w:t>
      </w:r>
    </w:p>
    <w:p w:rsidR="00000000" w:rsidDel="00000000" w:rsidP="00000000" w:rsidRDefault="00000000" w:rsidRPr="00000000" w14:paraId="0000001E">
      <w:pPr>
        <w:spacing w:line="360" w:lineRule="auto"/>
        <w:ind w:firstLine="720"/>
        <w:jc w:val="both"/>
        <w:rPr>
          <w:rFonts w:ascii="Times New Roman" w:cs="Times New Roman" w:eastAsia="Times New Roman" w:hAnsi="Times New Roman"/>
          <w:color w:val="202124"/>
          <w:highlight w:val="white"/>
        </w:rPr>
      </w:pPr>
      <w:r w:rsidDel="00000000" w:rsidR="00000000" w:rsidRPr="00000000">
        <w:rPr>
          <w:rFonts w:ascii="Times New Roman" w:cs="Times New Roman" w:eastAsia="Times New Roman" w:hAnsi="Times New Roman"/>
          <w:color w:val="202124"/>
          <w:highlight w:val="white"/>
          <w:rtl w:val="0"/>
        </w:rPr>
        <w:t xml:space="preserve">Os meios digitais de promoção da saúde como a telemedicina ganharam um novo contexto, pois o momento atual exige a adoção das práticas de saúde digital, tornando a aceitação pelos usuários menos burocrática (BARNEY et al., 2020) </w:t>
      </w:r>
    </w:p>
    <w:p w:rsidR="00000000" w:rsidDel="00000000" w:rsidP="00000000" w:rsidRDefault="00000000" w:rsidRPr="00000000" w14:paraId="0000001F">
      <w:pPr>
        <w:spacing w:line="360" w:lineRule="auto"/>
        <w:ind w:firstLine="720"/>
        <w:jc w:val="both"/>
        <w:rPr>
          <w:rFonts w:ascii="Times New Roman" w:cs="Times New Roman" w:eastAsia="Times New Roman" w:hAnsi="Times New Roman"/>
          <w:color w:val="202124"/>
          <w:highlight w:val="white"/>
        </w:rPr>
      </w:pPr>
      <w:r w:rsidDel="00000000" w:rsidR="00000000" w:rsidRPr="00000000">
        <w:rPr>
          <w:rFonts w:ascii="Times New Roman" w:cs="Times New Roman" w:eastAsia="Times New Roman" w:hAnsi="Times New Roman"/>
          <w:color w:val="202124"/>
          <w:highlight w:val="white"/>
          <w:rtl w:val="0"/>
        </w:rPr>
        <w:t xml:space="preserve">Barney et al. (2020) em sua pesquisa “A implementação rápida e pandêmica da COVID-19 da telemedicina para adolescentes e jovens: desafios e oportunidades para inovação”, em português, com o objetivo de descrever as implementação rápida da telemedicina em uma clínica médica de adolescentes e adultos jovens, em resposta à pandemia de COVID-19, revela que a busca pelo atendimento aumentou de zero para 97% em um mês, quando comparado ao mesmo mês do ano anterior. </w:t>
      </w:r>
    </w:p>
    <w:p w:rsidR="00000000" w:rsidDel="00000000" w:rsidP="00000000" w:rsidRDefault="00000000" w:rsidRPr="00000000" w14:paraId="00000020">
      <w:pPr>
        <w:spacing w:line="36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202124"/>
          <w:highlight w:val="white"/>
          <w:rtl w:val="0"/>
        </w:rPr>
        <w:t xml:space="preserve">Os estudos apontam a ampliação das plataformas digitais de interesse a saúde, e a implementação generalizada de serviços digitais de saúde no momento atual (BARNEY et al., 2020; </w:t>
      </w:r>
      <w:r w:rsidDel="00000000" w:rsidR="00000000" w:rsidRPr="00000000">
        <w:rPr>
          <w:rFonts w:ascii="Times New Roman" w:cs="Times New Roman" w:eastAsia="Times New Roman" w:hAnsi="Times New Roman"/>
          <w:rtl w:val="0"/>
        </w:rPr>
        <w:t xml:space="preserve">CRAWFORD; SERHAL, 2020), no entanto, os autores já apresentam seus questionamentos sobre quais usuários as plataformas digitais estão servindo, e qual é o público que tem acesso às mesmas. Para Crawford e Serhal (2020), é inegável o acesso aos serviços de saúde proporcionados pelas plataformas digitais, contudo deve-se ser objeto de pesquisa também as consequências não intencionais para a equidade em saúde, comunidades com barreiras na alfabetização na saúde ou pouco acesso à saúde digital não serão assistidas pelos novos sistemas. </w:t>
      </w:r>
    </w:p>
    <w:p w:rsidR="00000000" w:rsidDel="00000000" w:rsidP="00000000" w:rsidRDefault="00000000" w:rsidRPr="00000000" w14:paraId="00000021">
      <w:pPr>
        <w:spacing w:line="360" w:lineRule="auto"/>
        <w:ind w:firstLine="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São necessárias pesquisas práticas sobre as novas práticas digitais de saúde, que abordam não somente o custo-efetividade, mas que abordem a justiça social no contexto das plataformas, compreendendo o acesso e cuidado a integral e isonômico (LIN;WU, 2020). </w:t>
      </w:r>
      <w:r w:rsidDel="00000000" w:rsidR="00000000" w:rsidRPr="00000000">
        <w:rPr>
          <w:rtl w:val="0"/>
        </w:rPr>
      </w:r>
    </w:p>
    <w:p w:rsidR="00000000" w:rsidDel="00000000" w:rsidP="00000000" w:rsidRDefault="00000000" w:rsidRPr="00000000" w14:paraId="00000022">
      <w:pPr>
        <w:keepNext w:val="1"/>
        <w:numPr>
          <w:ilvl w:val="0"/>
          <w:numId w:val="2"/>
        </w:numPr>
        <w:pBdr>
          <w:top w:space="0" w:sz="0" w:val="nil"/>
          <w:left w:space="0" w:sz="0" w:val="nil"/>
          <w:bottom w:space="0" w:sz="0" w:val="nil"/>
          <w:right w:space="0" w:sz="0" w:val="nil"/>
          <w:between w:space="0" w:sz="0" w:val="nil"/>
        </w:pBdr>
        <w:spacing w:after="120" w:before="120" w:lineRule="auto"/>
        <w:ind w:left="0" w:hanging="2"/>
        <w:rPr/>
      </w:pPr>
      <w:r w:rsidDel="00000000" w:rsidR="00000000" w:rsidRPr="00000000">
        <w:rPr>
          <w:rFonts w:ascii="Times New Roman" w:cs="Times New Roman" w:eastAsia="Times New Roman" w:hAnsi="Times New Roman"/>
          <w:b w:val="1"/>
          <w:color w:val="000000"/>
          <w:rtl w:val="0"/>
        </w:rPr>
        <w:t xml:space="preserve">CONCLUSÃO</w:t>
      </w:r>
      <w:r w:rsidDel="00000000" w:rsidR="00000000" w:rsidRPr="00000000">
        <w:rPr>
          <w:rtl w:val="0"/>
        </w:rPr>
      </w:r>
    </w:p>
    <w:p w:rsidR="00000000" w:rsidDel="00000000" w:rsidP="00000000" w:rsidRDefault="00000000" w:rsidRPr="00000000" w14:paraId="00000023">
      <w:pPr>
        <w:spacing w:line="360" w:lineRule="auto"/>
        <w:ind w:firstLine="720"/>
        <w:jc w:val="both"/>
        <w:rPr>
          <w:rFonts w:ascii="Times New Roman" w:cs="Times New Roman" w:eastAsia="Times New Roman" w:hAnsi="Times New Roman"/>
          <w:color w:val="202124"/>
          <w:highlight w:val="white"/>
        </w:rPr>
      </w:pPr>
      <w:r w:rsidDel="00000000" w:rsidR="00000000" w:rsidRPr="00000000">
        <w:rPr>
          <w:rFonts w:ascii="Times New Roman" w:cs="Times New Roman" w:eastAsia="Times New Roman" w:hAnsi="Times New Roman"/>
          <w:color w:val="202124"/>
          <w:highlight w:val="white"/>
          <w:rtl w:val="0"/>
        </w:rPr>
        <w:t xml:space="preserve">Destarte, mediante os artigos analisados, é possível afirmar que a pandemia da </w:t>
      </w:r>
      <w:r w:rsidDel="00000000" w:rsidR="00000000" w:rsidRPr="00000000">
        <w:rPr>
          <w:rFonts w:ascii="Times New Roman" w:cs="Times New Roman" w:eastAsia="Times New Roman" w:hAnsi="Times New Roman"/>
          <w:color w:val="202124"/>
          <w:highlight w:val="white"/>
          <w:rtl w:val="0"/>
        </w:rPr>
        <w:t xml:space="preserve">COVID</w:t>
      </w:r>
      <w:r w:rsidDel="00000000" w:rsidR="00000000" w:rsidRPr="00000000">
        <w:rPr>
          <w:rFonts w:ascii="Times New Roman" w:cs="Times New Roman" w:eastAsia="Times New Roman" w:hAnsi="Times New Roman"/>
          <w:color w:val="202124"/>
          <w:highlight w:val="white"/>
          <w:rtl w:val="0"/>
        </w:rPr>
        <w:t xml:space="preserve">-19 potencializou as implementações no campo da saúde digital. Atualmente, as inovações digitais em saúde têm se apresentado como as soluções capazes de proporcionar acesso contínuo a saúde, respeitando principalmente as orientações de distanciamento social. </w:t>
      </w:r>
    </w:p>
    <w:p w:rsidR="00000000" w:rsidDel="00000000" w:rsidP="00000000" w:rsidRDefault="00000000" w:rsidRPr="00000000" w14:paraId="00000024">
      <w:pPr>
        <w:spacing w:line="360" w:lineRule="auto"/>
        <w:ind w:firstLine="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202124"/>
          <w:highlight w:val="white"/>
          <w:rtl w:val="0"/>
        </w:rPr>
        <w:t xml:space="preserve">São inúmeras as plataformas digitais que desenvolvem saúde, contudo deve-se destacar, ainda que as oportunidades estejam voltadas a inovações digitais na saúde, é oportuno e necessário também se atentar para quais populações estão sendo assistidas. </w:t>
      </w:r>
      <w:r w:rsidDel="00000000" w:rsidR="00000000" w:rsidRPr="00000000">
        <w:rPr>
          <w:rtl w:val="0"/>
        </w:rPr>
      </w:r>
    </w:p>
    <w:p w:rsidR="00000000" w:rsidDel="00000000" w:rsidP="00000000" w:rsidRDefault="00000000" w:rsidRPr="00000000" w14:paraId="00000025">
      <w:pPr>
        <w:keepNext w:val="1"/>
        <w:numPr>
          <w:ilvl w:val="0"/>
          <w:numId w:val="2"/>
        </w:numPr>
        <w:pBdr>
          <w:top w:space="0" w:sz="0" w:val="nil"/>
          <w:left w:space="0" w:sz="0" w:val="nil"/>
          <w:bottom w:space="0" w:sz="0" w:val="nil"/>
          <w:right w:space="0" w:sz="0" w:val="nil"/>
          <w:between w:space="0" w:sz="0" w:val="nil"/>
        </w:pBdr>
        <w:spacing w:after="120" w:before="120" w:lineRule="auto"/>
        <w:ind w:left="0" w:hanging="2"/>
        <w:rPr/>
      </w:pPr>
      <w:r w:rsidDel="00000000" w:rsidR="00000000" w:rsidRPr="00000000">
        <w:rPr>
          <w:rFonts w:ascii="Times New Roman" w:cs="Times New Roman" w:eastAsia="Times New Roman" w:hAnsi="Times New Roman"/>
          <w:b w:val="1"/>
          <w:color w:val="000000"/>
          <w:rtl w:val="0"/>
        </w:rPr>
        <w:t xml:space="preserve">REFERÊNCIAS </w:t>
      </w:r>
      <w:r w:rsidDel="00000000" w:rsidR="00000000" w:rsidRPr="00000000">
        <w:rPr>
          <w:rtl w:val="0"/>
        </w:rPr>
      </w:r>
    </w:p>
    <w:p w:rsidR="00000000" w:rsidDel="00000000" w:rsidP="00000000" w:rsidRDefault="00000000" w:rsidRPr="00000000" w14:paraId="00000026">
      <w:pPr>
        <w:numPr>
          <w:ilvl w:val="1"/>
          <w:numId w:val="1"/>
        </w:numPr>
        <w:pBdr>
          <w:top w:space="0" w:sz="0" w:val="nil"/>
          <w:left w:space="0" w:sz="0" w:val="nil"/>
          <w:bottom w:space="0" w:sz="0" w:val="nil"/>
          <w:right w:space="0" w:sz="0" w:val="nil"/>
          <w:between w:space="0" w:sz="0" w:val="nil"/>
        </w:pBdr>
        <w:tabs>
          <w:tab w:val="left" w:pos="426"/>
        </w:tabs>
        <w:ind w:left="0" w:hanging="2"/>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BARNEY, Angela; BUCKELEW, Sara; MESHERIAKOVA, Veronika; RAYMOND-FLESCH, Marissa. A Implementação Rápida e Pandêmica da COVID-19 da Telemedicina para Adolescentes e Jovens Adultos: Desafios e Oportunidades para Inovação. </w:t>
      </w:r>
      <w:r w:rsidDel="00000000" w:rsidR="00000000" w:rsidRPr="00000000">
        <w:rPr>
          <w:rFonts w:ascii="Times New Roman" w:cs="Times New Roman" w:eastAsia="Times New Roman" w:hAnsi="Times New Roman"/>
          <w:b w:val="1"/>
          <w:rtl w:val="0"/>
        </w:rPr>
        <w:t xml:space="preserve">The Journal of adolescent health</w:t>
      </w:r>
      <w:r w:rsidDel="00000000" w:rsidR="00000000" w:rsidRPr="00000000">
        <w:rPr>
          <w:rFonts w:ascii="Times New Roman" w:cs="Times New Roman" w:eastAsia="Times New Roman" w:hAnsi="Times New Roman"/>
          <w:rtl w:val="0"/>
        </w:rPr>
        <w:t xml:space="preserve">: publicação oficial da Sociedade de Medicina do Adolescente, v.67, ed.2, p.164-171, 2020. </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CRAWFORD, Allison; SERHAL, Eva. Digital Health Equity and COVID-19: The Innovation Curve Cannot Reinforce the Social Gradient of Health. </w:t>
      </w:r>
      <w:r w:rsidDel="00000000" w:rsidR="00000000" w:rsidRPr="00000000">
        <w:rPr>
          <w:rFonts w:ascii="Times New Roman" w:cs="Times New Roman" w:eastAsia="Times New Roman" w:hAnsi="Times New Roman"/>
          <w:b w:val="1"/>
          <w:rtl w:val="0"/>
        </w:rPr>
        <w:t xml:space="preserve">Journal of Medical Internet Research</w:t>
      </w:r>
      <w:r w:rsidDel="00000000" w:rsidR="00000000" w:rsidRPr="00000000">
        <w:rPr>
          <w:rFonts w:ascii="Times New Roman" w:cs="Times New Roman" w:eastAsia="Times New Roman" w:hAnsi="Times New Roman"/>
          <w:rtl w:val="0"/>
        </w:rPr>
        <w:t xml:space="preserve">, v. 22, n. 6, 2020.</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 Biaoyang; WU, ShengJun. COVID-19 (Coronavirus Disease 2019): Opportunities and challenges for digital health and the internet of medical things in China. </w:t>
      </w:r>
      <w:r w:rsidDel="00000000" w:rsidR="00000000" w:rsidRPr="00000000">
        <w:rPr>
          <w:rFonts w:ascii="Times New Roman" w:cs="Times New Roman" w:eastAsia="Times New Roman" w:hAnsi="Times New Roman"/>
          <w:b w:val="1"/>
          <w:rtl w:val="0"/>
        </w:rPr>
        <w:t xml:space="preserve">OMICS: A Journal of Integrative Biology</w:t>
      </w:r>
      <w:r w:rsidDel="00000000" w:rsidR="00000000" w:rsidRPr="00000000">
        <w:rPr>
          <w:rFonts w:ascii="Times New Roman" w:cs="Times New Roman" w:eastAsia="Times New Roman" w:hAnsi="Times New Roman"/>
          <w:rtl w:val="0"/>
        </w:rPr>
        <w:t xml:space="preserve">, v. 24, n. 5, p. 231-232, 2020.</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MENDES, Karina Dal Sasso; SILVEIRA, Renata Cristina de Campos Pereira; GALVÃO, Cristina Maria. Revisão integrativa: método de pesquisa para a incorporação de evidências na saúde e na enfermagem.</w:t>
      </w:r>
      <w:r w:rsidDel="00000000" w:rsidR="00000000" w:rsidRPr="00000000">
        <w:rPr>
          <w:rFonts w:ascii="Times New Roman" w:cs="Times New Roman" w:eastAsia="Times New Roman" w:hAnsi="Times New Roman"/>
          <w:b w:val="1"/>
          <w:rtl w:val="0"/>
        </w:rPr>
        <w:t xml:space="preserve"> Texto contexto - enferm.</w:t>
      </w:r>
      <w:r w:rsidDel="00000000" w:rsidR="00000000" w:rsidRPr="00000000">
        <w:rPr>
          <w:rFonts w:ascii="Times New Roman" w:cs="Times New Roman" w:eastAsia="Times New Roman" w:hAnsi="Times New Roman"/>
          <w:rtl w:val="0"/>
        </w:rPr>
        <w:t xml:space="preserve">, Florianópolis ,  v. 17, n. 4, p. 758-764, dez.2008.</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SOUZA, Marcela Tavares de; SILVA, Michelly Dias da; CARVALHO, Rachel de. Revisão integrativa: o que é e como fazer.</w:t>
      </w:r>
      <w:r w:rsidDel="00000000" w:rsidR="00000000" w:rsidRPr="00000000">
        <w:rPr>
          <w:rFonts w:ascii="Times New Roman" w:cs="Times New Roman" w:eastAsia="Times New Roman" w:hAnsi="Times New Roman"/>
          <w:b w:val="1"/>
          <w:rtl w:val="0"/>
        </w:rPr>
        <w:t xml:space="preserve"> Einstein (São Paulo)</w:t>
      </w:r>
      <w:r w:rsidDel="00000000" w:rsidR="00000000" w:rsidRPr="00000000">
        <w:rPr>
          <w:rFonts w:ascii="Times New Roman" w:cs="Times New Roman" w:eastAsia="Times New Roman" w:hAnsi="Times New Roman"/>
          <w:rtl w:val="0"/>
        </w:rPr>
        <w:t xml:space="preserve">, São Paulo, v. 8, n. 1, p. 102-106, mar. 2010.</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TOROUS, John</w:t>
      </w:r>
      <w:r w:rsidDel="00000000" w:rsidR="00000000" w:rsidRPr="00000000">
        <w:rPr>
          <w:rFonts w:ascii="Times New Roman" w:cs="Times New Roman" w:eastAsia="Times New Roman" w:hAnsi="Times New Roman"/>
          <w:rtl w:val="0"/>
        </w:rPr>
        <w:t xml:space="preserve">; MYRICK, Keris Jan; RUCEO-RICUPERO, Natali; FIRTH, Joseph. Digital mental health and COVID-19: Using technology today to accelerate the curve on access and quality tomorrow. </w:t>
      </w:r>
      <w:r w:rsidDel="00000000" w:rsidR="00000000" w:rsidRPr="00000000">
        <w:rPr>
          <w:rFonts w:ascii="Times New Roman" w:cs="Times New Roman" w:eastAsia="Times New Roman" w:hAnsi="Times New Roman"/>
          <w:b w:val="1"/>
          <w:rtl w:val="0"/>
        </w:rPr>
        <w:t xml:space="preserve">JMIR mental health</w:t>
      </w:r>
      <w:r w:rsidDel="00000000" w:rsidR="00000000" w:rsidRPr="00000000">
        <w:rPr>
          <w:rFonts w:ascii="Times New Roman" w:cs="Times New Roman" w:eastAsia="Times New Roman" w:hAnsi="Times New Roman"/>
          <w:rtl w:val="0"/>
        </w:rPr>
        <w:t xml:space="preserve">, v. 7, n. 3, 2020.</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WORLD HEALTH ORGANIZATION. </w:t>
      </w:r>
      <w:r w:rsidDel="00000000" w:rsidR="00000000" w:rsidRPr="00000000">
        <w:rPr>
          <w:rFonts w:ascii="Times New Roman" w:cs="Times New Roman" w:eastAsia="Times New Roman" w:hAnsi="Times New Roman"/>
          <w:b w:val="1"/>
          <w:rtl w:val="0"/>
        </w:rPr>
        <w:t xml:space="preserve">Draft global strategy on digital health 2020-2025</w:t>
      </w:r>
      <w:r w:rsidDel="00000000" w:rsidR="00000000" w:rsidRPr="00000000">
        <w:rPr>
          <w:rFonts w:ascii="Times New Roman" w:cs="Times New Roman" w:eastAsia="Times New Roman" w:hAnsi="Times New Roman"/>
          <w:rtl w:val="0"/>
        </w:rPr>
        <w:t xml:space="preserve">, jul.2020. Disponível em: &lt; </w:t>
      </w:r>
      <w:hyperlink r:id="rId11">
        <w:r w:rsidDel="00000000" w:rsidR="00000000" w:rsidRPr="00000000">
          <w:rPr>
            <w:rFonts w:ascii="Times New Roman" w:cs="Times New Roman" w:eastAsia="Times New Roman" w:hAnsi="Times New Roman"/>
            <w:u w:val="single"/>
            <w:rtl w:val="0"/>
          </w:rPr>
          <w:t xml:space="preserve">https://www.who.int/docs/default-source/documents/gs4dhdaa2a9f352b0445bafbc79ca799dce4d.pdf)</w:t>
        </w:r>
      </w:hyperlink>
      <w:r w:rsidDel="00000000" w:rsidR="00000000" w:rsidRPr="00000000">
        <w:rPr>
          <w:rFonts w:ascii="Times New Roman" w:cs="Times New Roman" w:eastAsia="Times New Roman" w:hAnsi="Times New Roman"/>
          <w:rtl w:val="0"/>
        </w:rPr>
        <w:t xml:space="preserve">&gt;.Acesso em: 28 jul.2020.</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360" w:lineRule="auto"/>
        <w:jc w:val="both"/>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sectPr>
      <w:headerReference r:id="rId12" w:type="default"/>
      <w:headerReference r:id="rId13" w:type="first"/>
      <w:footerReference r:id="rId14" w:type="default"/>
      <w:footerReference r:id="rId15" w:type="first"/>
      <w:pgSz w:h="16838" w:w="11906"/>
      <w:pgMar w:bottom="1134" w:top="1701" w:left="1701" w:right="1134"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color w:val="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289800" cy="1737360"/>
              <wp:effectExtent b="0" l="0" r="0" t="0"/>
              <wp:wrapSquare wrapText="bothSides" distB="0" distT="0" distL="0" distR="0"/>
              <wp:docPr id="3" name=""/>
              <a:graphic>
                <a:graphicData uri="http://schemas.microsoft.com/office/word/2010/wordprocessingGroup">
                  <wpg:wgp>
                    <wpg:cNvGrpSpPr/>
                    <wpg:grpSpPr>
                      <a:xfrm>
                        <a:off x="1701100" y="2911320"/>
                        <a:ext cx="7289800" cy="1737360"/>
                        <a:chOff x="1701100" y="2911320"/>
                        <a:chExt cx="7289800" cy="1737360"/>
                      </a:xfrm>
                    </wpg:grpSpPr>
                    <wpg:grpSp>
                      <wpg:cNvGrpSpPr/>
                      <wpg:grpSpPr>
                        <a:xfrm>
                          <a:off x="1701100" y="2911320"/>
                          <a:ext cx="7289800" cy="1737360"/>
                          <a:chOff x="1701100" y="2911320"/>
                          <a:chExt cx="7289800" cy="1737360"/>
                        </a:xfrm>
                      </wpg:grpSpPr>
                      <wps:wsp>
                        <wps:cNvSpPr/>
                        <wps:cNvPr id="3" name="Shape 3"/>
                        <wps:spPr>
                          <a:xfrm>
                            <a:off x="1701100" y="2911320"/>
                            <a:ext cx="7289800" cy="173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01100" y="2911320"/>
                            <a:ext cx="7289800" cy="1737360"/>
                            <a:chOff x="0" y="0"/>
                            <a:chExt cx="11480" cy="2736"/>
                          </a:xfrm>
                        </wpg:grpSpPr>
                        <wps:wsp>
                          <wps:cNvSpPr/>
                          <wps:cNvPr id="5" name="Shape 5"/>
                          <wps:spPr>
                            <a:xfrm>
                              <a:off x="0" y="0"/>
                              <a:ext cx="11475" cy="2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591" y="0"/>
                              <a:ext cx="9889" cy="349"/>
                            </a:xfrm>
                            <a:custGeom>
                              <a:rect b="b" l="l" r="r" t="t"/>
                              <a:pathLst>
                                <a:path extrusionOk="0" h="349" w="9889">
                                  <a:moveTo>
                                    <a:pt x="465" y="0"/>
                                  </a:moveTo>
                                  <a:lnTo>
                                    <a:pt x="9889" y="0"/>
                                  </a:lnTo>
                                  <a:lnTo>
                                    <a:pt x="9424" y="349"/>
                                  </a:lnTo>
                                  <a:lnTo>
                                    <a:pt x="0" y="349"/>
                                  </a:lnTo>
                                  <a:lnTo>
                                    <a:pt x="465" y="0"/>
                                  </a:lnTo>
                                  <a:close/>
                                </a:path>
                              </a:pathLst>
                            </a:custGeom>
                            <a:solidFill>
                              <a:srgbClr val="3FA0BA"/>
                            </a:solidFill>
                            <a:ln>
                              <a:noFill/>
                            </a:ln>
                          </wps:spPr>
                          <wps:bodyPr anchorCtr="0" anchor="ctr" bIns="91425" lIns="91425" spcFirstLastPara="1" rIns="91425" wrap="square" tIns="91425">
                            <a:noAutofit/>
                          </wps:bodyPr>
                        </wps:wsp>
                        <wps:wsp>
                          <wps:cNvSpPr/>
                          <wps:cNvPr id="7" name="Shape 7"/>
                          <wps:spPr>
                            <a:xfrm>
                              <a:off x="0" y="0"/>
                              <a:ext cx="2057" cy="349"/>
                            </a:xfrm>
                            <a:custGeom>
                              <a:rect b="b" l="l" r="r" t="t"/>
                              <a:pathLst>
                                <a:path extrusionOk="0" h="349" w="2057">
                                  <a:moveTo>
                                    <a:pt x="0" y="0"/>
                                  </a:moveTo>
                                  <a:lnTo>
                                    <a:pt x="2056" y="0"/>
                                  </a:lnTo>
                                  <a:lnTo>
                                    <a:pt x="1591" y="349"/>
                                  </a:lnTo>
                                  <a:lnTo>
                                    <a:pt x="0" y="349"/>
                                  </a:lnTo>
                                  <a:lnTo>
                                    <a:pt x="0" y="0"/>
                                  </a:lnTo>
                                  <a:close/>
                                </a:path>
                              </a:pathLst>
                            </a:custGeom>
                            <a:solidFill>
                              <a:srgbClr val="087EA6"/>
                            </a:solidFill>
                            <a:ln>
                              <a:noFill/>
                            </a:ln>
                          </wps:spPr>
                          <wps:bodyPr anchorCtr="0" anchor="ctr" bIns="91425" lIns="91425" spcFirstLastPara="1" rIns="91425" wrap="square" tIns="91425">
                            <a:noAutofit/>
                          </wps:bodyPr>
                        </wps:wsp>
                        <pic:pic>
                          <pic:nvPicPr>
                            <pic:cNvPr id="8" name="Shape 8"/>
                            <pic:cNvPicPr preferRelativeResize="0"/>
                          </pic:nvPicPr>
                          <pic:blipFill rotWithShape="1">
                            <a:blip r:embed="rId1">
                              <a:alphaModFix/>
                            </a:blip>
                            <a:srcRect b="0" l="0" r="0" t="0"/>
                            <a:stretch/>
                          </pic:blipFill>
                          <pic:spPr>
                            <a:xfrm>
                              <a:off x="305" y="0"/>
                              <a:ext cx="5580" cy="2649"/>
                            </a:xfrm>
                            <a:prstGeom prst="rect">
                              <a:avLst/>
                            </a:prstGeom>
                            <a:noFill/>
                            <a:ln>
                              <a:noFill/>
                            </a:ln>
                          </pic:spPr>
                        </pic:pic>
                        <pic:pic>
                          <pic:nvPicPr>
                            <pic:cNvPr id="9" name="Shape 9"/>
                            <pic:cNvPicPr preferRelativeResize="0"/>
                          </pic:nvPicPr>
                          <pic:blipFill rotWithShape="1">
                            <a:blip r:embed="rId2">
                              <a:alphaModFix/>
                            </a:blip>
                            <a:srcRect b="0" l="0" r="0" t="0"/>
                            <a:stretch/>
                          </pic:blipFill>
                          <pic:spPr>
                            <a:xfrm>
                              <a:off x="3115" y="2413"/>
                              <a:ext cx="323" cy="323"/>
                            </a:xfrm>
                            <a:prstGeom prst="rect">
                              <a:avLst/>
                            </a:prstGeom>
                            <a:noFill/>
                            <a:ln>
                              <a:noFill/>
                            </a:ln>
                          </pic:spPr>
                        </pic:pic>
                        <pic:pic>
                          <pic:nvPicPr>
                            <pic:cNvPr id="10" name="Shape 10"/>
                            <pic:cNvPicPr preferRelativeResize="0"/>
                          </pic:nvPicPr>
                          <pic:blipFill rotWithShape="1">
                            <a:blip r:embed="rId3">
                              <a:alphaModFix/>
                            </a:blip>
                            <a:srcRect b="0" l="0" r="0" t="0"/>
                            <a:stretch/>
                          </pic:blipFill>
                          <pic:spPr>
                            <a:xfrm>
                              <a:off x="5413" y="0"/>
                              <a:ext cx="687" cy="177"/>
                            </a:xfrm>
                            <a:prstGeom prst="rect">
                              <a:avLst/>
                            </a:prstGeom>
                            <a:noFill/>
                            <a:ln>
                              <a:noFill/>
                            </a:ln>
                          </pic:spPr>
                        </pic:pic>
                        <wps:wsp>
                          <wps:cNvSpPr/>
                          <wps:cNvPr id="11" name="Shape 11"/>
                          <wps:spPr>
                            <a:xfrm>
                              <a:off x="0" y="0"/>
                              <a:ext cx="11480" cy="349"/>
                            </a:xfrm>
                            <a:custGeom>
                              <a:rect b="b" l="l" r="r" t="t"/>
                              <a:pathLst>
                                <a:path extrusionOk="0" h="349" w="11480">
                                  <a:moveTo>
                                    <a:pt x="11480" y="0"/>
                                  </a:moveTo>
                                  <a:lnTo>
                                    <a:pt x="2056" y="0"/>
                                  </a:lnTo>
                                  <a:lnTo>
                                    <a:pt x="0" y="0"/>
                                  </a:lnTo>
                                  <a:lnTo>
                                    <a:pt x="0" y="349"/>
                                  </a:lnTo>
                                  <a:lnTo>
                                    <a:pt x="1591" y="349"/>
                                  </a:lnTo>
                                  <a:lnTo>
                                    <a:pt x="11015" y="349"/>
                                  </a:lnTo>
                                  <a:lnTo>
                                    <a:pt x="11480" y="0"/>
                                  </a:lnTo>
                                </a:path>
                              </a:pathLst>
                            </a:custGeom>
                            <a:solidFill>
                              <a:srgbClr val="3FA0BA"/>
                            </a:solidFill>
                            <a:ln>
                              <a:noFill/>
                            </a:ln>
                          </wps:spPr>
                          <wps:bodyPr anchorCtr="0" anchor="ctr" bIns="91425" lIns="91425" spcFirstLastPara="1" rIns="91425" wrap="square" tIns="91425">
                            <a:noAutofit/>
                          </wps:bodyPr>
                        </wps:wsp>
                        <pic:pic>
                          <pic:nvPicPr>
                            <pic:cNvPr id="12" name="Shape 12"/>
                            <pic:cNvPicPr preferRelativeResize="0"/>
                          </pic:nvPicPr>
                          <pic:blipFill rotWithShape="1">
                            <a:blip r:embed="rId4">
                              <a:alphaModFix/>
                            </a:blip>
                            <a:srcRect b="0" l="0" r="0" t="0"/>
                            <a:stretch/>
                          </pic:blipFill>
                          <pic:spPr>
                            <a:xfrm>
                              <a:off x="873" y="0"/>
                              <a:ext cx="4414" cy="2093"/>
                            </a:xfrm>
                            <a:prstGeom prst="rect">
                              <a:avLst/>
                            </a:prstGeom>
                            <a:noFill/>
                            <a:ln>
                              <a:noFill/>
                            </a:ln>
                          </pic:spPr>
                        </pic:pic>
                      </wpg:grpSp>
                    </wpg:grpSp>
                  </wpg:wg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289800" cy="1737360"/>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5"/>
                      <a:srcRect/>
                      <a:stretch>
                        <a:fillRect/>
                      </a:stretch>
                    </pic:blipFill>
                    <pic:spPr>
                      <a:xfrm>
                        <a:off x="0" y="0"/>
                        <a:ext cx="7289800" cy="1737360"/>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lvl w:ilvl="0">
      <w:start w:val="1"/>
      <w:numFmt w:val="decimal"/>
      <w:lvlText w:val="%1"/>
      <w:lvlJc w:val="left"/>
      <w:pPr>
        <w:ind w:left="227" w:hanging="227"/>
      </w:pPr>
      <w:rPr>
        <w:rFonts w:ascii="Times New Roman" w:cs="Times New Roman" w:eastAsia="Times New Roman" w:hAnsi="Times New Roman"/>
        <w:b w:val="1"/>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Textodebalo">
    <w:name w:val="Balloon Text"/>
    <w:basedOn w:val="Normal"/>
    <w:link w:val="TextodebaloChar"/>
    <w:uiPriority w:val="99"/>
    <w:semiHidden w:val="1"/>
    <w:unhideWhenUsed w:val="1"/>
    <w:rsid w:val="001A44C7"/>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1A44C7"/>
    <w:rPr>
      <w:rFonts w:ascii="Segoe UI" w:cs="Segoe UI" w:hAnsi="Segoe UI"/>
      <w:sz w:val="18"/>
      <w:szCs w:val="18"/>
    </w:rPr>
  </w:style>
  <w:style w:type="character" w:styleId="Refdecomentrio">
    <w:name w:val="annotation reference"/>
    <w:basedOn w:val="Fontepargpadro"/>
    <w:uiPriority w:val="99"/>
    <w:semiHidden w:val="1"/>
    <w:unhideWhenUsed w:val="1"/>
    <w:rsid w:val="001A44C7"/>
    <w:rPr>
      <w:sz w:val="16"/>
      <w:szCs w:val="16"/>
    </w:rPr>
  </w:style>
  <w:style w:type="paragraph" w:styleId="Textodecomentrio">
    <w:name w:val="annotation text"/>
    <w:basedOn w:val="Normal"/>
    <w:link w:val="TextodecomentrioChar"/>
    <w:uiPriority w:val="99"/>
    <w:semiHidden w:val="1"/>
    <w:unhideWhenUsed w:val="1"/>
    <w:rsid w:val="001A44C7"/>
    <w:rPr>
      <w:sz w:val="20"/>
      <w:szCs w:val="20"/>
    </w:rPr>
  </w:style>
  <w:style w:type="character" w:styleId="TextodecomentrioChar" w:customStyle="1">
    <w:name w:val="Texto de comentário Char"/>
    <w:basedOn w:val="Fontepargpadro"/>
    <w:link w:val="Textodecomentrio"/>
    <w:uiPriority w:val="99"/>
    <w:semiHidden w:val="1"/>
    <w:rsid w:val="001A44C7"/>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1A44C7"/>
    <w:rPr>
      <w:b w:val="1"/>
      <w:bCs w:val="1"/>
    </w:rPr>
  </w:style>
  <w:style w:type="character" w:styleId="AssuntodocomentrioChar" w:customStyle="1">
    <w:name w:val="Assunto do comentário Char"/>
    <w:basedOn w:val="TextodecomentrioChar"/>
    <w:link w:val="Assuntodocomentrio"/>
    <w:uiPriority w:val="99"/>
    <w:semiHidden w:val="1"/>
    <w:rsid w:val="001A44C7"/>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who.int/docs/default-source/documents/gs4dhdaa2a9f352b0445bafbc79ca799dce4d.pdf)" TargetMode="External"/><Relationship Id="rId10" Type="http://schemas.openxmlformats.org/officeDocument/2006/relationships/hyperlink" Target="mailto:lorena.m.cerqueira30@gmail.com"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eatriz_ana2014@outlook.com"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yperlink" Target="mailto:dvidsonmonteiro4@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5.png"/><Relationship Id="rId3" Type="http://schemas.openxmlformats.org/officeDocument/2006/relationships/image" Target="media/image4.png"/><Relationship Id="rId4" Type="http://schemas.openxmlformats.org/officeDocument/2006/relationships/image" Target="media/image2.png"/><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eZlkYU/sK0Mog9NazyoZuljLMA==">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2020-08-04T01:07:00Z</dcterms:created>
</cp:coreProperties>
</file>