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F2" w:rsidRDefault="00C135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F2" w:rsidRDefault="00C135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F2" w:rsidRDefault="00C135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F2" w:rsidRDefault="00576AD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COVID-19 e as vulnerabilidades dos indivíduos em Cárcere: Uma realidade de uma pandemia devastadora</w:t>
      </w:r>
    </w:p>
    <w:p w:rsidR="00C135F2" w:rsidRDefault="00C135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20" w:firstLine="2881"/>
        <w:rPr>
          <w:rFonts w:ascii="Arial" w:eastAsia="Arial" w:hAnsi="Arial" w:cs="Arial"/>
          <w:color w:val="000000"/>
          <w:sz w:val="21"/>
          <w:szCs w:val="21"/>
        </w:rPr>
      </w:pPr>
      <w:hyperlink r:id="rId7">
        <w:r w:rsidR="00576AD1">
          <w:rPr>
            <w:rFonts w:ascii="Arial" w:eastAsia="Arial" w:hAnsi="Arial" w:cs="Arial"/>
            <w:color w:val="087EA6"/>
            <w:sz w:val="21"/>
            <w:szCs w:val="21"/>
          </w:rPr>
          <w:t>socepis1@gmail.com</w:t>
        </w:r>
      </w:hyperlink>
      <w:r w:rsidR="00576AD1">
        <w:rPr>
          <w:rFonts w:ascii="Arial" w:eastAsia="Arial" w:hAnsi="Arial" w:cs="Arial"/>
          <w:color w:val="087EA6"/>
          <w:sz w:val="21"/>
          <w:szCs w:val="21"/>
        </w:rPr>
        <w:t xml:space="preserve"> Sociedade Cearense de Pesquisa e Inovaç</w:t>
      </w:r>
      <w:r w:rsidR="00576AD1">
        <w:rPr>
          <w:rFonts w:ascii="Tahoma" w:eastAsia="Tahoma" w:hAnsi="Tahoma" w:cs="Tahoma"/>
          <w:color w:val="087EA6"/>
          <w:sz w:val="18"/>
          <w:szCs w:val="18"/>
        </w:rPr>
        <w:t>õ</w:t>
      </w:r>
      <w:r w:rsidR="00576AD1">
        <w:rPr>
          <w:rFonts w:ascii="Arial" w:eastAsia="Arial" w:hAnsi="Arial" w:cs="Arial"/>
          <w:color w:val="087EA6"/>
          <w:sz w:val="21"/>
          <w:szCs w:val="21"/>
        </w:rPr>
        <w:t>es em Sa</w:t>
      </w:r>
      <w:r w:rsidR="00576AD1">
        <w:rPr>
          <w:rFonts w:ascii="Arial" w:eastAsia="Arial" w:hAnsi="Arial" w:cs="Arial"/>
          <w:color w:val="087EA6"/>
          <w:sz w:val="14"/>
          <w:szCs w:val="14"/>
        </w:rPr>
        <w:t>ú</w:t>
      </w:r>
      <w:r w:rsidR="00576AD1">
        <w:rPr>
          <w:rFonts w:ascii="Arial" w:eastAsia="Arial" w:hAnsi="Arial" w:cs="Arial"/>
          <w:color w:val="087EA6"/>
          <w:sz w:val="21"/>
          <w:szCs w:val="21"/>
        </w:rPr>
        <w:t>de</w:t>
      </w:r>
    </w:p>
    <w:p w:rsidR="00C135F2" w:rsidRDefault="00C135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135F2" w:rsidRDefault="00576AD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Vitória dos Santos Cruz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Thaíse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Queiroz de Melo</w:t>
      </w:r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t>2</w:t>
      </w:r>
    </w:p>
    <w:p w:rsidR="00C135F2" w:rsidRDefault="00576AD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Faculdade Pitágoras-Teixeira de Freitas, Bahia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(vitoria0snt@gmail.com)</w:t>
      </w:r>
    </w:p>
    <w:p w:rsidR="00C135F2" w:rsidRDefault="00576AD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Universidade Salgado de Oliveira (UNIERSO), Recife, PE, Brasil.</w:t>
      </w:r>
    </w:p>
    <w:p w:rsidR="00C135F2" w:rsidRDefault="00C135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:rsidR="00C135F2" w:rsidRDefault="00576AD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Resumo: </w:t>
      </w:r>
    </w:p>
    <w:p w:rsidR="00C135F2" w:rsidRDefault="00576AD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rápida disseminação no mundo da síndrome respiratória aguda grave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coronavírus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SARS-CoV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-2), intitulada também como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covid</w:t>
      </w:r>
      <w:proofErr w:type="spellEnd"/>
      <w:r>
        <w:rPr>
          <w:rFonts w:ascii="Times New Roman" w:eastAsia="Times New Roman" w:hAnsi="Times New Roman" w:cs="Times New Roman"/>
          <w:color w:val="000000"/>
        </w:rPr>
        <w:t>-19/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coronavírus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veio exigir dedicação total no combate a pandemia, sendo um fenômeno de difícil resolução nas instituições federa</w:t>
      </w:r>
      <w:r>
        <w:rPr>
          <w:rFonts w:ascii="Times New Roman" w:eastAsia="Times New Roman" w:hAnsi="Times New Roman" w:cs="Times New Roman"/>
          <w:color w:val="000000"/>
        </w:rPr>
        <w:t>is e de saúde, que se torna ainda mais desafiador no âmbito dos sistemas prisionais. O ambiente carcerário são espaços vulneráveis a doenças infecciosas e preocupa pelo impacto na saúde dos prisioneiros, profissionais das unidades e população em geral. Por</w:t>
      </w:r>
      <w:r>
        <w:rPr>
          <w:rFonts w:ascii="Times New Roman" w:eastAsia="Times New Roman" w:hAnsi="Times New Roman" w:cs="Times New Roman"/>
          <w:color w:val="000000"/>
        </w:rPr>
        <w:t>tanto, o objetivo deste estudo é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Descrever as vulnerabilidades do cárcere no contexto da pandemia de COVID-19. Trata-se de uma revisão integrativa cujos artigos foram obtidos através das bases de dados: BVS (Biblioteca Virtual em Saúde),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Scientific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Electronic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Library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Online)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Medline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(Medical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Literature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Retrieval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System Online). Foram utilizados os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Decs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(Descritores em Ciências da Saúde): Infecções por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coronavírus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prisioneiros, saúde coletiva. Ficou percebido que para os detentos com </w:t>
      </w:r>
      <w:r>
        <w:rPr>
          <w:rFonts w:ascii="Times New Roman" w:eastAsia="Times New Roman" w:hAnsi="Times New Roman" w:cs="Times New Roman"/>
          <w:color w:val="000000"/>
        </w:rPr>
        <w:t>comorbidades de saúde, o fator de risco para o agravamento é evidente, ainda somam-se as instalações em condições sanitárias precárias, escassez de materiais de higiene, limpeza e equipamentos de proteção individual e a falta de informações dificultam o ma</w:t>
      </w:r>
      <w:r>
        <w:rPr>
          <w:rFonts w:ascii="Times New Roman" w:eastAsia="Times New Roman" w:hAnsi="Times New Roman" w:cs="Times New Roman"/>
          <w:color w:val="000000"/>
        </w:rPr>
        <w:t xml:space="preserve">nejo dessa pandemia no sistema carcerário. É fundamental a criação de um plano de contingência que contemple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adeque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população carcerária e seus colaboradores as mesmas medidas de promoção, prevenção, proteção e recuperação da saúde que a população gera</w:t>
      </w:r>
      <w:r>
        <w:rPr>
          <w:rFonts w:ascii="Times New Roman" w:eastAsia="Times New Roman" w:hAnsi="Times New Roman" w:cs="Times New Roman"/>
          <w:color w:val="000000"/>
        </w:rPr>
        <w:t xml:space="preserve">l, para garantir a saúde da coletividade. </w:t>
      </w:r>
    </w:p>
    <w:p w:rsidR="00C135F2" w:rsidRDefault="00576AD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Palavras-chave/Descritores:</w:t>
      </w:r>
      <w:r>
        <w:rPr>
          <w:rFonts w:ascii="Times New Roman" w:eastAsia="Times New Roman" w:hAnsi="Times New Roman" w:cs="Times New Roman"/>
          <w:color w:val="000000"/>
        </w:rPr>
        <w:t xml:space="preserve"> Infecções por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coronavírus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Prisioneiros, Saúde Coletiva.</w:t>
      </w:r>
    </w:p>
    <w:p w:rsidR="00C135F2" w:rsidRDefault="00576AD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Área Temática:</w:t>
      </w:r>
      <w:r>
        <w:rPr>
          <w:rFonts w:ascii="Times New Roman" w:eastAsia="Times New Roman" w:hAnsi="Times New Roman" w:cs="Times New Roman"/>
          <w:color w:val="000000"/>
        </w:rPr>
        <w:t xml:space="preserve"> Temas livres. </w:t>
      </w:r>
    </w:p>
    <w:p w:rsidR="00C135F2" w:rsidRDefault="00576AD1">
      <w:pPr>
        <w:pStyle w:val="normal0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</w:pPr>
      <w:r>
        <w:rPr>
          <w:rFonts w:ascii="Times New Roman" w:eastAsia="Times New Roman" w:hAnsi="Times New Roman" w:cs="Times New Roman"/>
          <w:b/>
          <w:color w:val="000000"/>
        </w:rPr>
        <w:t>INTRODUÇÃO</w:t>
      </w:r>
    </w:p>
    <w:p w:rsidR="00C135F2" w:rsidRDefault="00576A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pandemia sem precedentes causada pelo novo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Coronavírus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transformou a vida de milhares de pessoas em todo o mundo, ações que minimizem os problemas subsequentes à doença são necessárias. Estudos atestam que os dados disponíveis para identificar o impacto </w:t>
      </w:r>
      <w:r>
        <w:rPr>
          <w:rFonts w:ascii="Times New Roman" w:eastAsia="Times New Roman" w:hAnsi="Times New Roman" w:cs="Times New Roman"/>
          <w:color w:val="000000"/>
        </w:rPr>
        <w:t>da doença na saúde da população ainda são ineficientes, portanto, é fundamental investir em prevenções como subsídio eficiente. Este estado de pandemia veio trazer consequências devastadoras para a população livre, ainda mais agravante no contexto dos sist</w:t>
      </w:r>
      <w:r>
        <w:rPr>
          <w:rFonts w:ascii="Times New Roman" w:eastAsia="Times New Roman" w:hAnsi="Times New Roman" w:cs="Times New Roman"/>
          <w:color w:val="000000"/>
        </w:rPr>
        <w:t>emas prisionais, pois existe a exacerbação na disseminação de infecções. É possível se constatar uma grande vulnerabilidade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pois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 população carcerária mundial é cerca de 11 milhões, e não é observado a priorização das pessoas em privação de liberdade (PPL</w:t>
      </w:r>
      <w:r>
        <w:rPr>
          <w:rFonts w:ascii="Times New Roman" w:eastAsia="Times New Roman" w:hAnsi="Times New Roman" w:cs="Times New Roman"/>
          <w:color w:val="000000"/>
        </w:rPr>
        <w:t xml:space="preserve">) nos debates de otimização da COVID-19, mesmo que sobre a garantia de direitos, as políticas não são eficientes na prática. (Sánchez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al., 2020)</w:t>
      </w:r>
    </w:p>
    <w:p w:rsidR="00C135F2" w:rsidRDefault="00576A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 acordo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Camposeragna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(2020), o cárcere é um ambiente com fragilidades desde as condições sanitárias,</w:t>
      </w:r>
      <w:r>
        <w:rPr>
          <w:rFonts w:ascii="Times New Roman" w:eastAsia="Times New Roman" w:hAnsi="Times New Roman" w:cs="Times New Roman"/>
          <w:color w:val="000000"/>
        </w:rPr>
        <w:t xml:space="preserve"> estruturas físicas, equipamentos de proteção individual, aglomerações e compartilhamento de objetos. Além do mais é percebido que com a pandemia a condição mental dos prisioneiros e colaboradores piora, pois,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 f</w:t>
      </w:r>
      <w:r w:rsidR="00C74218">
        <w:rPr>
          <w:rFonts w:ascii="Times New Roman" w:eastAsia="Times New Roman" w:hAnsi="Times New Roman" w:cs="Times New Roman"/>
          <w:color w:val="000000"/>
        </w:rPr>
        <w:t xml:space="preserve">alta de contato com a família e </w:t>
      </w:r>
      <w:r>
        <w:rPr>
          <w:rFonts w:ascii="Times New Roman" w:eastAsia="Times New Roman" w:hAnsi="Times New Roman" w:cs="Times New Roman"/>
          <w:color w:val="000000"/>
        </w:rPr>
        <w:t>o medo do d</w:t>
      </w:r>
      <w:r>
        <w:rPr>
          <w:rFonts w:ascii="Times New Roman" w:eastAsia="Times New Roman" w:hAnsi="Times New Roman" w:cs="Times New Roman"/>
          <w:color w:val="000000"/>
        </w:rPr>
        <w:t>esconhecido, aumentam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 sensibilidade das emoções como ansiedade, tristeza e preocupação somando novas preocupações no sistema correcional. </w:t>
      </w:r>
    </w:p>
    <w:p w:rsidR="00C135F2" w:rsidRDefault="00576A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Sendo assim, é um equívoco imaginar que o bloqueio no acesso das prisões com isolamento dos presos da sociedade ext</w:t>
      </w:r>
      <w:r>
        <w:rPr>
          <w:rFonts w:ascii="Times New Roman" w:eastAsia="Times New Roman" w:hAnsi="Times New Roman" w:cs="Times New Roman"/>
          <w:color w:val="000000"/>
        </w:rPr>
        <w:t xml:space="preserve">erior e a não informação do real estado de saúde dos encarcerados permitirão evitar a disseminação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covid</w:t>
      </w:r>
      <w:proofErr w:type="spellEnd"/>
      <w:r>
        <w:rPr>
          <w:rFonts w:ascii="Times New Roman" w:eastAsia="Times New Roman" w:hAnsi="Times New Roman" w:cs="Times New Roman"/>
          <w:color w:val="000000"/>
        </w:rPr>
        <w:t>-19 no universo carcerário. Ademais, em muitos casos, quando os prisioneiros são libertos se tornam parte da sociedade livre, as doenças que contraír</w:t>
      </w:r>
      <w:r>
        <w:rPr>
          <w:rFonts w:ascii="Times New Roman" w:eastAsia="Times New Roman" w:hAnsi="Times New Roman" w:cs="Times New Roman"/>
          <w:color w:val="000000"/>
        </w:rPr>
        <w:t>am ou agravaram no cárcere são um problema externo de saúde pública. Portanto, objetiva-se nesse trabalho, descrever as vulnerabilidades em meio à pandemia no contexto dos cárceres.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Camposeragna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al., 2020)</w:t>
      </w:r>
    </w:p>
    <w:p w:rsidR="00C135F2" w:rsidRDefault="00576AD1">
      <w:pPr>
        <w:pStyle w:val="normal0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</w:pPr>
      <w:r>
        <w:rPr>
          <w:rFonts w:ascii="Times New Roman" w:eastAsia="Times New Roman" w:hAnsi="Times New Roman" w:cs="Times New Roman"/>
          <w:b/>
          <w:color w:val="000000"/>
        </w:rPr>
        <w:t>METODOLOGIA</w:t>
      </w:r>
    </w:p>
    <w:p w:rsidR="00C135F2" w:rsidRDefault="00576A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Trata-se de uma revisão integrativ</w:t>
      </w:r>
      <w:r>
        <w:rPr>
          <w:rFonts w:ascii="Times New Roman" w:eastAsia="Times New Roman" w:hAnsi="Times New Roman" w:cs="Times New Roman"/>
          <w:color w:val="000000"/>
        </w:rPr>
        <w:t xml:space="preserve">a cujos artigos foram obtidos através das bases de dados: BVS (Biblioteca Virtual em Saúde),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Scientific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Electronic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Library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Online)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Medline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(Medical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Literature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Retrieval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System Online). Foram utilizados os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Decs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(Descritores em Ciência</w:t>
      </w:r>
      <w:r>
        <w:rPr>
          <w:rFonts w:ascii="Times New Roman" w:eastAsia="Times New Roman" w:hAnsi="Times New Roman" w:cs="Times New Roman"/>
          <w:color w:val="000000"/>
        </w:rPr>
        <w:t xml:space="preserve">s da Saúde): Infecções por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coronavírus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prisioneiros, saúde coletiva, utilizando os operadores booleanos AND, admitindo os seguintes critérios de inclusão: publicações com o texto completo em português, inglês, italiano e espanhol nos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anos de 2015 a 2020, </w:t>
      </w:r>
      <w:r>
        <w:rPr>
          <w:rFonts w:ascii="Times New Roman" w:eastAsia="Times New Roman" w:hAnsi="Times New Roman" w:cs="Times New Roman"/>
          <w:color w:val="000000"/>
        </w:rPr>
        <w:t>enquanto foram excluídos os artigos duplicados e que não correspondiam à temática do estudo, obtendo-se 30 publicações. Após triagem dos títulos restaram 14 artigos, com leitura dos resumos e das publicações na íntegra foram selecionados 06 artigos para co</w:t>
      </w:r>
      <w:r>
        <w:rPr>
          <w:rFonts w:ascii="Times New Roman" w:eastAsia="Times New Roman" w:hAnsi="Times New Roman" w:cs="Times New Roman"/>
          <w:color w:val="000000"/>
        </w:rPr>
        <w:t xml:space="preserve">mpor essa revisão. </w:t>
      </w:r>
    </w:p>
    <w:p w:rsidR="00C135F2" w:rsidRDefault="00C135F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135F2" w:rsidRDefault="00576AD1">
      <w:pPr>
        <w:pStyle w:val="normal0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-2" w:firstLine="2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RESULTADOS E DISCUSSÃO</w:t>
      </w:r>
    </w:p>
    <w:p w:rsidR="00C135F2" w:rsidRDefault="00576A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COVID-19 chega ao país em uma situação extremamente sobrecarregada e fraca do sistema de saúde prisional, que tem como produto alto taxa de mortalidade causada por doenças infecciosas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imunoprevíniveis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Onde, o próprio processo do envelhecimento e suas </w:t>
      </w:r>
      <w:r>
        <w:rPr>
          <w:rFonts w:ascii="Times New Roman" w:eastAsia="Times New Roman" w:hAnsi="Times New Roman" w:cs="Times New Roman"/>
          <w:color w:val="000000"/>
        </w:rPr>
        <w:t>condições clínicas prevalentes como: o déficit visual e auditivo, incontinência, problemas de locomoção e tendência a queda são índices presentes nas pessoas privadas de liberdade e idosas, além do mais as comorbidades como diabetes, cardiopatias, hiperten</w:t>
      </w:r>
      <w:r>
        <w:rPr>
          <w:rFonts w:ascii="Times New Roman" w:eastAsia="Times New Roman" w:hAnsi="Times New Roman" w:cs="Times New Roman"/>
          <w:color w:val="000000"/>
        </w:rPr>
        <w:t xml:space="preserve">são, insuficiência renal, asma, HCV/HBV, HIV/AIDS e tuberculose, estão associadas à progressão para as formas fatais de COVID-19, indicando um grupo de risco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Kinner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al., (2020 ).</w:t>
      </w:r>
    </w:p>
    <w:p w:rsidR="00C135F2" w:rsidRDefault="00576A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000000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Burki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e Talha (2020)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 instalações penitenciárias os detentos compartilham refeitórios, banheiros e pias, dormem no mesmo espaço, há superlotações e na ausência de beliches dormem no chão, somado a isso temos a pouca ventilação e as condições sanitárias insalubres. Ainda sim</w:t>
      </w:r>
      <w:r>
        <w:rPr>
          <w:rFonts w:ascii="Times New Roman" w:eastAsia="Times New Roman" w:hAnsi="Times New Roman" w:cs="Times New Roman"/>
          <w:color w:val="000000"/>
        </w:rPr>
        <w:t>, existe um rigoroso controle de insumos como materiais de higiene e a escassez de produtos de limpeza, essas restrições podem ocasionar a falta de higiene e propagar a transmissão do vírus, doença de origem respiratória, à transmissão é altamente provável</w:t>
      </w:r>
      <w:r>
        <w:rPr>
          <w:rFonts w:ascii="Times New Roman" w:eastAsia="Times New Roman" w:hAnsi="Times New Roman" w:cs="Times New Roman"/>
          <w:color w:val="000000"/>
        </w:rPr>
        <w:t>. Uma estratégia apontada foi o desencarceramento em razão a pandemia, porém existe uma grande discussão e uma duplicidade de ideias; já afeta a segurança pública</w:t>
      </w:r>
      <w:r>
        <w:rPr>
          <w:rFonts w:ascii="Helvetica Neue" w:eastAsia="Helvetica Neue" w:hAnsi="Helvetica Neue" w:cs="Helvetica Neue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(Sánchez 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222222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222222"/>
        </w:rPr>
        <w:t xml:space="preserve"> al.</w:t>
      </w:r>
      <w:r>
        <w:rPr>
          <w:rFonts w:ascii="Times New Roman" w:eastAsia="Times New Roman" w:hAnsi="Times New Roman" w:cs="Times New Roman"/>
          <w:color w:val="222222"/>
        </w:rPr>
        <w:t>, 2020).</w:t>
      </w:r>
    </w:p>
    <w:p w:rsidR="00C135F2" w:rsidRDefault="00576A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 olhar especial deve ser dado, pois quando existe a omissão de fer</w:t>
      </w:r>
      <w:r>
        <w:rPr>
          <w:rFonts w:ascii="Times New Roman" w:eastAsia="Times New Roman" w:hAnsi="Times New Roman" w:cs="Times New Roman"/>
          <w:color w:val="000000"/>
        </w:rPr>
        <w:t xml:space="preserve">ramentas e materiais para o enfrentamento do surto nas penitenciárias como: testes para diagnóstico e equipamentos de proteção individual (EPI) e vigilância epidemiológica, há um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demaseio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para disseminação da COVID-19, e encontra-se em contrariedade aos pr</w:t>
      </w:r>
      <w:r>
        <w:rPr>
          <w:rFonts w:ascii="Times New Roman" w:eastAsia="Times New Roman" w:hAnsi="Times New Roman" w:cs="Times New Roman"/>
          <w:color w:val="000000"/>
        </w:rPr>
        <w:t xml:space="preserve">incípios do SUS. De acordo com a necessidade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testagem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das pessoas presas, profissionais de segurança e de saúde com suspeitas com quadro gripal, deve ser a principal estratégia de combate e não apenas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testagem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pós-morte. Ademais, o enfraquecimento da </w:t>
      </w:r>
      <w:r>
        <w:rPr>
          <w:rFonts w:ascii="Times New Roman" w:eastAsia="Times New Roman" w:hAnsi="Times New Roman" w:cs="Times New Roman"/>
          <w:color w:val="000000"/>
        </w:rPr>
        <w:t xml:space="preserve">educação em saúde favorece o desconhecimento dessa pandemia e o entendimento das necessidades preventivas de higiene e medidas de isolamento, exigindo a restrição e interrupção das atividades laborais, </w:t>
      </w:r>
      <w:r>
        <w:rPr>
          <w:rFonts w:ascii="Times New Roman" w:eastAsia="Times New Roman" w:hAnsi="Times New Roman" w:cs="Times New Roman"/>
          <w:color w:val="000000"/>
        </w:rPr>
        <w:lastRenderedPageBreak/>
        <w:t>educativas e religiosas, suspensão do contato familiar</w:t>
      </w:r>
      <w:r>
        <w:rPr>
          <w:rFonts w:ascii="Times New Roman" w:eastAsia="Times New Roman" w:hAnsi="Times New Roman" w:cs="Times New Roman"/>
          <w:color w:val="000000"/>
        </w:rPr>
        <w:t>.  De acordo com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Hewson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al., (2020)</w:t>
      </w:r>
      <w:r>
        <w:rPr>
          <w:rFonts w:ascii="Times New Roman" w:eastAsia="Times New Roman" w:hAnsi="Times New Roman" w:cs="Times New Roman"/>
          <w:color w:val="000000"/>
        </w:rPr>
        <w:t xml:space="preserve">  outro fator importante é a falta de assistência psicológica onde repercute na saúde e no bem estar dos profissionais, pois as rotinas exacerbadas e o agravamento das tensões já existentes, causa instabilidades emocionais para as PPL e seus parentes como </w:t>
      </w:r>
      <w:r>
        <w:rPr>
          <w:rFonts w:ascii="Times New Roman" w:eastAsia="Times New Roman" w:hAnsi="Times New Roman" w:cs="Times New Roman"/>
          <w:color w:val="000000"/>
        </w:rPr>
        <w:t xml:space="preserve">ansiedade, agitação e depressão, deve ser implementada e monitorada. </w:t>
      </w:r>
    </w:p>
    <w:p w:rsidR="00C135F2" w:rsidRDefault="00C135F2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135F2" w:rsidRDefault="00576AD1">
      <w:pPr>
        <w:pStyle w:val="normal0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</w:pPr>
      <w:r>
        <w:rPr>
          <w:rFonts w:ascii="Times New Roman" w:eastAsia="Times New Roman" w:hAnsi="Times New Roman" w:cs="Times New Roman"/>
          <w:b/>
          <w:color w:val="000000"/>
        </w:rPr>
        <w:t>CONCLUSÃO</w:t>
      </w:r>
    </w:p>
    <w:p w:rsidR="00C135F2" w:rsidRDefault="00576A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Conclui-se que a insalubridade e o colapso da saúde pública no âmbito do sistema prisional são fatores que predispõe a alta taxa de transmissão e agravamento da COVID-19. É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necessário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 implantação de medidas eficazes de vigilância epidemiológica e sanitár</w:t>
      </w:r>
      <w:r>
        <w:rPr>
          <w:rFonts w:ascii="Times New Roman" w:eastAsia="Times New Roman" w:hAnsi="Times New Roman" w:cs="Times New Roman"/>
          <w:color w:val="000000"/>
        </w:rPr>
        <w:t>ia, testes para prisioneiros e profissionais que apresentam sintomas compatíveis com a patologia, além da disponibilização de equipamentos de proteção individual para a prevenção do contágio.  Ademais, estratégias de saúde mental para estabilização biopsic</w:t>
      </w:r>
      <w:r>
        <w:rPr>
          <w:rFonts w:ascii="Times New Roman" w:eastAsia="Times New Roman" w:hAnsi="Times New Roman" w:cs="Times New Roman"/>
          <w:color w:val="000000"/>
        </w:rPr>
        <w:t xml:space="preserve">ossocial como </w:t>
      </w:r>
      <w:r w:rsidRPr="00C74218">
        <w:rPr>
          <w:rFonts w:ascii="Times New Roman" w:eastAsia="Times New Roman" w:hAnsi="Times New Roman" w:cs="Times New Roman"/>
        </w:rPr>
        <w:t>implementação</w:t>
      </w:r>
      <w:r>
        <w:rPr>
          <w:rFonts w:ascii="Times New Roman" w:eastAsia="Times New Roman" w:hAnsi="Times New Roman" w:cs="Times New Roman"/>
          <w:color w:val="000000"/>
        </w:rPr>
        <w:t xml:space="preserve"> de videoconferências e telechamadas com familiares e assistência psicológica são fundamentais para tornar o ambiente prisional mais humanizado para além da pandemia.</w:t>
      </w:r>
    </w:p>
    <w:p w:rsidR="00C135F2" w:rsidRDefault="00C135F2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</w:rPr>
      </w:pPr>
    </w:p>
    <w:p w:rsidR="00C135F2" w:rsidRDefault="00576AD1">
      <w:pPr>
        <w:pStyle w:val="normal0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</w:pPr>
      <w:r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:rsidR="00C135F2" w:rsidRDefault="00576AD1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SÁNCHEZ, Alexandra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al. COVID-19 nas prisões : um desafio impossível para a saúde pública? Cadernos de Saúde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Pública,</w:t>
      </w:r>
      <w:proofErr w:type="gramEnd"/>
      <w:r>
        <w:rPr>
          <w:rFonts w:ascii="Times New Roman" w:eastAsia="Times New Roman" w:hAnsi="Times New Roman" w:cs="Times New Roman"/>
          <w:color w:val="000000"/>
        </w:rPr>
        <w:t>v.36, p.e00083520,2020. Disponível em:&lt;</w:t>
      </w:r>
      <w:proofErr w:type="gramStart"/>
      <w:r>
        <w:rPr>
          <w:rFonts w:ascii="Times New Roman" w:eastAsia="Times New Roman" w:hAnsi="Times New Roman" w:cs="Times New Roman"/>
          <w:color w:val="000000"/>
        </w:rPr>
        <w:t>https</w:t>
      </w:r>
      <w:proofErr w:type="gramEnd"/>
      <w:r>
        <w:rPr>
          <w:rFonts w:ascii="Times New Roman" w:eastAsia="Times New Roman" w:hAnsi="Times New Roman" w:cs="Times New Roman"/>
          <w:color w:val="000000"/>
        </w:rPr>
        <w:t>://doi.org/10.1590/0102-311X00083520</w:t>
      </w:r>
      <w:r>
        <w:rPr>
          <w:rFonts w:ascii="Times New Roman" w:eastAsia="Times New Roman" w:hAnsi="Times New Roman" w:cs="Times New Roman"/>
          <w:color w:val="222222"/>
          <w:highlight w:val="white"/>
        </w:rPr>
        <w:t>&gt;. Acesso em jul. 2020.</w:t>
      </w:r>
    </w:p>
    <w:p w:rsidR="00C135F2" w:rsidRDefault="00C135F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135F2" w:rsidRDefault="00576AD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 w:rsidRPr="00C742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74218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KINNER, Stuart A. et al. </w:t>
      </w:r>
      <w:r>
        <w:rPr>
          <w:rFonts w:ascii="Times New Roman" w:eastAsia="Times New Roman" w:hAnsi="Times New Roman" w:cs="Times New Roman"/>
          <w:color w:val="222222"/>
          <w:highlight w:val="white"/>
        </w:rPr>
        <w:t>Prisões e configurações de custódia fazem parte de uma resposta abrangente ao COVID-19. 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Lancet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highlight w:val="white"/>
        </w:rPr>
        <w:t>Public</w:t>
      </w:r>
      <w:proofErr w:type="spellEnd"/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22222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> ,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v. 5, n. 4, p. e188-e189, 2020. Disponível em:&lt;</w:t>
      </w:r>
      <w:proofErr w:type="gramStart"/>
      <w:r>
        <w:rPr>
          <w:rFonts w:ascii="Times New Roman" w:eastAsia="Times New Roman" w:hAnsi="Times New Roman" w:cs="Times New Roman"/>
          <w:color w:val="000000"/>
        </w:rPr>
        <w:t>https</w:t>
      </w:r>
      <w:proofErr w:type="gramEnd"/>
      <w:r>
        <w:rPr>
          <w:rFonts w:ascii="Times New Roman" w:eastAsia="Times New Roman" w:hAnsi="Times New Roman" w:cs="Times New Roman"/>
          <w:color w:val="000000"/>
        </w:rPr>
        <w:t>://doi.org/10.1016/ S2468-2667(20)30058-X&gt; . Acesso em jul. 2020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135F2" w:rsidRDefault="00C135F2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C135F2" w:rsidRDefault="00C135F2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C135F2" w:rsidRDefault="00576AD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C74218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 xml:space="preserve">BURKI, </w:t>
      </w:r>
      <w:proofErr w:type="spellStart"/>
      <w:r w:rsidRPr="00C74218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Talha</w:t>
      </w:r>
      <w:proofErr w:type="spellEnd"/>
      <w:r w:rsidRPr="00C74218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. Prisons re “in no way equipped” to deal with COVID-19. 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Lancet (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highlight w:val="white"/>
        </w:rPr>
        <w:t>London</w:t>
      </w:r>
      <w:proofErr w:type="spellEnd"/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highlight w:val="white"/>
        </w:rPr>
        <w:t>England</w:t>
      </w:r>
      <w:proofErr w:type="spellEnd"/>
      <w:r>
        <w:rPr>
          <w:rFonts w:ascii="Times New Roman" w:eastAsia="Times New Roman" w:hAnsi="Times New Roman" w:cs="Times New Roman"/>
          <w:b/>
          <w:color w:val="222222"/>
          <w:highlight w:val="white"/>
        </w:rPr>
        <w:t>)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v. 395, n. 10234, p. 1411, 2020.</w:t>
      </w:r>
      <w:r>
        <w:rPr>
          <w:rFonts w:ascii="Times New Roman" w:eastAsia="Times New Roman" w:hAnsi="Times New Roman" w:cs="Times New Roman"/>
          <w:color w:val="222222"/>
        </w:rPr>
        <w:t xml:space="preserve"> Disponível em:&lt;</w:t>
      </w:r>
      <w:proofErr w:type="gramStart"/>
      <w:r>
        <w:rPr>
          <w:rFonts w:ascii="Times New Roman" w:eastAsia="Times New Roman" w:hAnsi="Times New Roman" w:cs="Times New Roman"/>
          <w:color w:val="FFFFFF"/>
          <w:shd w:val="clear" w:color="auto" w:fill="4D6A75"/>
        </w:rPr>
        <w:t xml:space="preserve"> </w:t>
      </w:r>
      <w:r>
        <w:rPr>
          <w:rFonts w:ascii="Times New Roman" w:eastAsia="Times New Roman" w:hAnsi="Times New Roman" w:cs="Times New Roman"/>
          <w:color w:val="FFFFFF"/>
        </w:rPr>
        <w:t>:</w:t>
      </w:r>
      <w:proofErr w:type="gramEnd"/>
      <w:r>
        <w:rPr>
          <w:rFonts w:ascii="Times New Roman" w:eastAsia="Times New Roman" w:hAnsi="Times New Roman" w:cs="Times New Roman"/>
          <w:color w:val="FFFFFF"/>
        </w:rPr>
        <w:t> </w:t>
      </w:r>
      <w:r>
        <w:rPr>
          <w:rFonts w:ascii="Times New Roman" w:eastAsia="Times New Roman" w:hAnsi="Times New Roman" w:cs="Times New Roman"/>
          <w:color w:val="000000"/>
        </w:rPr>
        <w:t>https://doi.org/10.1016/S0140-6736(20)30984-3</w:t>
      </w:r>
      <w:r>
        <w:rPr>
          <w:rFonts w:ascii="Times New Roman" w:eastAsia="Times New Roman" w:hAnsi="Times New Roman" w:cs="Times New Roman"/>
          <w:color w:val="000000"/>
        </w:rPr>
        <w:t>&gt;. Acesso em jul. 2020.</w:t>
      </w:r>
    </w:p>
    <w:p w:rsidR="00C135F2" w:rsidRDefault="00576A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135F2" w:rsidRDefault="00576AD1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CAMPOSERAGNA,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Antonella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al. Outro efeito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Covid</w:t>
      </w:r>
      <w:proofErr w:type="spellEnd"/>
      <w:r>
        <w:rPr>
          <w:rFonts w:ascii="Times New Roman" w:eastAsia="Times New Roman" w:hAnsi="Times New Roman" w:cs="Times New Roman"/>
          <w:color w:val="000000"/>
        </w:rPr>
        <w:t>-19</w:t>
      </w:r>
      <w:r w:rsidR="00C74218">
        <w:rPr>
          <w:rFonts w:ascii="Times New Roman" w:eastAsia="Times New Roman" w:hAnsi="Times New Roman" w:cs="Times New Roman"/>
          <w:color w:val="000000"/>
        </w:rPr>
        <w:t xml:space="preserve"> : acender as luzes da situação </w:t>
      </w:r>
      <w:r>
        <w:rPr>
          <w:rFonts w:ascii="Times New Roman" w:eastAsia="Times New Roman" w:hAnsi="Times New Roman" w:cs="Times New Roman"/>
          <w:color w:val="000000"/>
        </w:rPr>
        <w:t xml:space="preserve">na prisão italiana, 2020. Disponível em:&lt; </w:t>
      </w:r>
      <w:proofErr w:type="gramStart"/>
      <w:r>
        <w:rPr>
          <w:rFonts w:ascii="Times New Roman" w:eastAsia="Times New Roman" w:hAnsi="Times New Roman" w:cs="Times New Roman"/>
          <w:color w:val="0000FF"/>
          <w:u w:val="single"/>
        </w:rPr>
        <w:t>https</w:t>
      </w:r>
      <w:proofErr w:type="gramEnd"/>
      <w:r>
        <w:rPr>
          <w:rFonts w:ascii="Times New Roman" w:eastAsia="Times New Roman" w:hAnsi="Times New Roman" w:cs="Times New Roman"/>
          <w:color w:val="0000FF"/>
          <w:u w:val="single"/>
        </w:rPr>
        <w:t>://doi.org/10.1701/3366.33407</w:t>
      </w:r>
      <w:r>
        <w:rPr>
          <w:rFonts w:ascii="Times New Roman" w:eastAsia="Times New Roman" w:hAnsi="Times New Roman" w:cs="Times New Roman"/>
          <w:color w:val="000000"/>
        </w:rPr>
        <w:t>&gt;. Acesso em jul. 2020.</w:t>
      </w:r>
    </w:p>
    <w:p w:rsidR="00C135F2" w:rsidRDefault="00C74218" w:rsidP="00C742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45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C135F2" w:rsidRDefault="00576AD1" w:rsidP="00C74218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74218">
        <w:rPr>
          <w:rFonts w:ascii="Times New Roman" w:eastAsia="Times New Roman" w:hAnsi="Times New Roman" w:cs="Times New Roman"/>
          <w:color w:val="000000"/>
          <w:lang w:val="en-US"/>
        </w:rPr>
        <w:t xml:space="preserve">5.  </w:t>
      </w:r>
      <w:r w:rsidRPr="00C74218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HEWSON, Thomas et al. Effects of the COVID-19 pandemic on the mental health of prisoners. 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Lancet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highlight w:val="white"/>
        </w:rPr>
        <w:t>Psychiatry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v. 7, n. 7, p. 568-570, 2020.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Disponível em:&lt; </w:t>
      </w:r>
      <w:bookmarkStart w:id="0" w:name="_Hlk47462744"/>
      <w:proofErr w:type="gramStart"/>
      <w:r>
        <w:rPr>
          <w:rFonts w:ascii="Times New Roman" w:eastAsia="Times New Roman" w:hAnsi="Times New Roman" w:cs="Times New Roman"/>
          <w:color w:val="1155CC"/>
          <w:highlight w:val="white"/>
          <w:u w:val="single"/>
        </w:rPr>
        <w:t>https</w:t>
      </w:r>
      <w:proofErr w:type="gramEnd"/>
      <w:r>
        <w:rPr>
          <w:rFonts w:ascii="Times New Roman" w:eastAsia="Times New Roman" w:hAnsi="Times New Roman" w:cs="Times New Roman"/>
          <w:color w:val="1155CC"/>
          <w:highlight w:val="white"/>
          <w:u w:val="single"/>
        </w:rPr>
        <w:t>://doi.org/10.1016/s2215-0366(20)30241-8</w:t>
      </w:r>
      <w:bookmarkEnd w:id="0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&gt; Acesso em Jul. 2020.</w:t>
      </w:r>
    </w:p>
    <w:p w:rsidR="00C135F2" w:rsidRDefault="00C135F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C135F2" w:rsidRDefault="00C135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135F2" w:rsidRDefault="00C135F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135F2" w:rsidRDefault="00C135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135F2" w:rsidRDefault="00C135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135F2" w:rsidRDefault="00C135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135F2" w:rsidRDefault="00C135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135F2" w:rsidRDefault="00C135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C135F2" w:rsidSect="00C135F2"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AD1" w:rsidRDefault="00576AD1" w:rsidP="00C135F2">
      <w:r>
        <w:separator/>
      </w:r>
    </w:p>
  </w:endnote>
  <w:endnote w:type="continuationSeparator" w:id="0">
    <w:p w:rsidR="00576AD1" w:rsidRDefault="00576AD1" w:rsidP="00C1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F2" w:rsidRDefault="00C135F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F2" w:rsidRDefault="00C135F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AD1" w:rsidRDefault="00576AD1" w:rsidP="00C135F2">
      <w:r>
        <w:separator/>
      </w:r>
    </w:p>
  </w:footnote>
  <w:footnote w:type="continuationSeparator" w:id="0">
    <w:p w:rsidR="00576AD1" w:rsidRDefault="00576AD1" w:rsidP="00C13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F2" w:rsidRDefault="00576AD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289800" cy="173736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800" cy="1737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307975</wp:posOffset>
          </wp:positionH>
          <wp:positionV relativeFrom="paragraph">
            <wp:posOffset>0</wp:posOffset>
          </wp:positionV>
          <wp:extent cx="3543300" cy="1682115"/>
          <wp:effectExtent l="0" t="0" r="0" b="0"/>
          <wp:wrapSquare wrapText="bothSides" distT="0" distB="0" distL="114300" distR="11430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3300" cy="168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2092325</wp:posOffset>
          </wp:positionH>
          <wp:positionV relativeFrom="paragraph">
            <wp:posOffset>1532255</wp:posOffset>
          </wp:positionV>
          <wp:extent cx="205105" cy="20510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05" cy="205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3551555</wp:posOffset>
          </wp:positionH>
          <wp:positionV relativeFrom="paragraph">
            <wp:posOffset>0</wp:posOffset>
          </wp:positionV>
          <wp:extent cx="436245" cy="11239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245" cy="112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668655</wp:posOffset>
          </wp:positionH>
          <wp:positionV relativeFrom="paragraph">
            <wp:posOffset>0</wp:posOffset>
          </wp:positionV>
          <wp:extent cx="2802890" cy="132905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2890" cy="1329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CAE"/>
    <w:multiLevelType w:val="multilevel"/>
    <w:tmpl w:val="C8F4F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B39A5"/>
    <w:multiLevelType w:val="multilevel"/>
    <w:tmpl w:val="18BC2D46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5F2"/>
    <w:rsid w:val="00576AD1"/>
    <w:rsid w:val="00C135F2"/>
    <w:rsid w:val="00C7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135F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C135F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C135F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C135F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0"/>
    <w:next w:val="normal0"/>
    <w:rsid w:val="00C135F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0"/>
    <w:next w:val="normal0"/>
    <w:rsid w:val="00C135F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135F2"/>
  </w:style>
  <w:style w:type="table" w:customStyle="1" w:styleId="TableNormal">
    <w:name w:val="Table Normal"/>
    <w:rsid w:val="00C135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135F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C135F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742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1479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2020-08-04T22:47:00Z</dcterms:created>
  <dcterms:modified xsi:type="dcterms:W3CDTF">2020-08-04T22:47:00Z</dcterms:modified>
</cp:coreProperties>
</file>