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0CFB"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D01ED2C"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DF491B8"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A87066E" w14:textId="384C5B05"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77A9054F" wp14:editId="2A3D96BF">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AE48" w14:textId="77777777" w:rsidR="00F76107" w:rsidRDefault="0058067C">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9054F"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060CAE48" w14:textId="77777777" w:rsidR="00F76107" w:rsidRDefault="007F4261">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9B5008">
        <w:rPr>
          <w:rFonts w:ascii="Times New Roman" w:hAnsi="Times New Roman" w:cs="Times New Roman"/>
          <w:b/>
          <w:color w:val="000000"/>
          <w:sz w:val="28"/>
        </w:rPr>
        <w:t>PREVALÊNCIA DE</w:t>
      </w:r>
      <w:r w:rsidR="00DC4583">
        <w:rPr>
          <w:rFonts w:ascii="Times New Roman" w:hAnsi="Times New Roman" w:cs="Times New Roman"/>
          <w:b/>
          <w:color w:val="000000"/>
          <w:sz w:val="28"/>
        </w:rPr>
        <w:t xml:space="preserve"> </w:t>
      </w:r>
      <w:r w:rsidR="009B5008">
        <w:rPr>
          <w:rFonts w:ascii="Times New Roman" w:hAnsi="Times New Roman" w:cs="Times New Roman"/>
          <w:b/>
          <w:color w:val="000000"/>
          <w:sz w:val="28"/>
        </w:rPr>
        <w:t xml:space="preserve">OBESIDADE </w:t>
      </w:r>
      <w:r w:rsidR="007339C9">
        <w:rPr>
          <w:rFonts w:ascii="Times New Roman" w:hAnsi="Times New Roman" w:cs="Times New Roman"/>
          <w:b/>
          <w:color w:val="000000"/>
          <w:sz w:val="28"/>
        </w:rPr>
        <w:t>DE ACORDO COM A FAIXA ETÁRIA E SEXO NA REGIÃO SUL DO PAÍS</w:t>
      </w:r>
    </w:p>
    <w:p w14:paraId="490E617C"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777DA6A8" w14:textId="77777777" w:rsidR="00701006" w:rsidRPr="00BD6489" w:rsidRDefault="00701006" w:rsidP="00701006">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Felipe Mendes Delpino</w:t>
      </w:r>
      <w:r w:rsidRPr="00BD6489">
        <w:rPr>
          <w:rFonts w:ascii="Times New Roman" w:hAnsi="Times New Roman" w:cs="Times New Roman"/>
          <w:b/>
        </w:rPr>
        <w:t xml:space="preserve"> </w:t>
      </w:r>
      <w:r w:rsidRPr="00BD6489">
        <w:rPr>
          <w:rFonts w:ascii="Times New Roman" w:hAnsi="Times New Roman" w:cs="Times New Roman"/>
          <w:b/>
          <w:vertAlign w:val="superscript"/>
        </w:rPr>
        <w:t>1</w:t>
      </w:r>
      <w:r w:rsidRPr="00BD6489">
        <w:rPr>
          <w:rFonts w:ascii="Times New Roman" w:hAnsi="Times New Roman" w:cs="Times New Roman"/>
          <w:b/>
        </w:rPr>
        <w:t xml:space="preserve">, </w:t>
      </w:r>
      <w:r>
        <w:rPr>
          <w:rFonts w:ascii="Times New Roman" w:hAnsi="Times New Roman" w:cs="Times New Roman"/>
          <w:b/>
        </w:rPr>
        <w:t>Lílian Munhoz Figueiredo</w:t>
      </w:r>
      <w:r w:rsidRPr="00BD6489">
        <w:rPr>
          <w:rFonts w:ascii="Times New Roman" w:hAnsi="Times New Roman" w:cs="Times New Roman"/>
          <w:b/>
        </w:rPr>
        <w:t xml:space="preserve"> </w:t>
      </w:r>
      <w:r w:rsidRPr="00BD6489">
        <w:rPr>
          <w:rFonts w:ascii="Times New Roman" w:hAnsi="Times New Roman" w:cs="Times New Roman"/>
          <w:b/>
          <w:vertAlign w:val="superscript"/>
        </w:rPr>
        <w:t>2</w:t>
      </w:r>
    </w:p>
    <w:p w14:paraId="2A6F6C1A" w14:textId="77777777" w:rsidR="00701006" w:rsidRPr="00BD6489" w:rsidRDefault="00701006" w:rsidP="00701006">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Pr>
          <w:rFonts w:ascii="Times New Roman" w:hAnsi="Times New Roman" w:cs="Times New Roman"/>
        </w:rPr>
        <w:t>Programa de Pós-Graduação em Nutrição e Alimentos</w:t>
      </w:r>
      <w:r w:rsidRPr="00BD6489">
        <w:rPr>
          <w:rFonts w:ascii="Times New Roman" w:hAnsi="Times New Roman" w:cs="Times New Roman"/>
        </w:rPr>
        <w:t xml:space="preserve">/ </w:t>
      </w:r>
      <w:r>
        <w:rPr>
          <w:rFonts w:ascii="Times New Roman" w:hAnsi="Times New Roman" w:cs="Times New Roman"/>
        </w:rPr>
        <w:t>Universidade Federal de Pelotas</w:t>
      </w:r>
      <w:r w:rsidRPr="00BD6489">
        <w:rPr>
          <w:rFonts w:ascii="Times New Roman" w:hAnsi="Times New Roman" w:cs="Times New Roman"/>
        </w:rPr>
        <w:t xml:space="preserve"> (</w:t>
      </w:r>
      <w:r>
        <w:rPr>
          <w:rFonts w:ascii="Times New Roman" w:hAnsi="Times New Roman" w:cs="Times New Roman"/>
        </w:rPr>
        <w:t>fmdsocial@outlook.com</w:t>
      </w:r>
      <w:r w:rsidRPr="00BD6489">
        <w:rPr>
          <w:rFonts w:ascii="Times New Roman" w:hAnsi="Times New Roman" w:cs="Times New Roman"/>
        </w:rPr>
        <w:t>)</w:t>
      </w:r>
    </w:p>
    <w:p w14:paraId="0F92D8AC" w14:textId="77777777" w:rsidR="00701006" w:rsidRPr="00BD6489" w:rsidRDefault="00701006" w:rsidP="00701006">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Pr="00BD6489">
        <w:rPr>
          <w:rFonts w:ascii="Times New Roman" w:hAnsi="Times New Roman" w:cs="Times New Roman"/>
        </w:rPr>
        <w:t xml:space="preserve"> </w:t>
      </w:r>
      <w:r>
        <w:rPr>
          <w:rFonts w:ascii="Times New Roman" w:hAnsi="Times New Roman" w:cs="Times New Roman"/>
        </w:rPr>
        <w:t>Faculdade de Enfermagem</w:t>
      </w:r>
      <w:r w:rsidRPr="00BD6489">
        <w:rPr>
          <w:rFonts w:ascii="Times New Roman" w:hAnsi="Times New Roman" w:cs="Times New Roman"/>
        </w:rPr>
        <w:t xml:space="preserve">/ </w:t>
      </w:r>
      <w:r>
        <w:rPr>
          <w:rFonts w:ascii="Times New Roman" w:hAnsi="Times New Roman" w:cs="Times New Roman"/>
        </w:rPr>
        <w:t>Universidade Federal de Pelotas</w:t>
      </w:r>
    </w:p>
    <w:p w14:paraId="58941536" w14:textId="27075E15" w:rsidR="00324CA4" w:rsidRDefault="00324CA4" w:rsidP="00F76107">
      <w:pPr>
        <w:spacing w:line="360" w:lineRule="auto"/>
        <w:rPr>
          <w:rFonts w:ascii="Times New Roman" w:hAnsi="Times New Roman" w:cs="Times New Roman"/>
          <w:b/>
          <w:u w:val="single"/>
        </w:rPr>
      </w:pPr>
    </w:p>
    <w:p w14:paraId="43FE9275" w14:textId="77777777" w:rsidR="00F76107" w:rsidRPr="00BD6489" w:rsidRDefault="00F76107" w:rsidP="00F76107">
      <w:pPr>
        <w:spacing w:line="360" w:lineRule="auto"/>
        <w:rPr>
          <w:rFonts w:ascii="Times New Roman" w:hAnsi="Times New Roman" w:cs="Times New Roman"/>
        </w:rPr>
      </w:pPr>
    </w:p>
    <w:p w14:paraId="1845642E" w14:textId="7764EF89" w:rsidR="001C422C" w:rsidRPr="00324CA4" w:rsidRDefault="00324CA4" w:rsidP="00324CA4">
      <w:pPr>
        <w:spacing w:after="120" w:line="360" w:lineRule="auto"/>
        <w:ind w:hanging="2"/>
        <w:jc w:val="both"/>
        <w:rPr>
          <w:rFonts w:ascii="Times New Roman" w:hAnsi="Times New Roman" w:cs="Times New Roman"/>
        </w:rPr>
      </w:pPr>
      <w:r>
        <w:rPr>
          <w:rFonts w:ascii="Times New Roman" w:hAnsi="Times New Roman" w:cs="Times New Roman"/>
          <w:b/>
        </w:rPr>
        <w:t xml:space="preserve">Resumo: </w:t>
      </w:r>
      <w:r w:rsidR="00941853" w:rsidRPr="00600559">
        <w:rPr>
          <w:rFonts w:ascii="Times New Roman" w:hAnsi="Times New Roman" w:cs="Times New Roman"/>
          <w:color w:val="000000"/>
        </w:rPr>
        <w:t>A obesidade é uma doença de caráter multifatorial que</w:t>
      </w:r>
      <w:r w:rsidR="00941853">
        <w:rPr>
          <w:rFonts w:ascii="Times New Roman" w:hAnsi="Times New Roman" w:cs="Times New Roman"/>
          <w:color w:val="000000"/>
        </w:rPr>
        <w:t xml:space="preserve"> gera</w:t>
      </w:r>
      <w:r w:rsidR="00941853" w:rsidRPr="00600559">
        <w:rPr>
          <w:rFonts w:ascii="Times New Roman" w:hAnsi="Times New Roman" w:cs="Times New Roman"/>
          <w:color w:val="000000"/>
        </w:rPr>
        <w:t xml:space="preserve"> grandes problemas aos indivíduos e à sociedade</w:t>
      </w:r>
      <w:r w:rsidR="00941853">
        <w:rPr>
          <w:rFonts w:ascii="Times New Roman" w:hAnsi="Times New Roman" w:cs="Times New Roman"/>
          <w:color w:val="000000"/>
        </w:rPr>
        <w:t xml:space="preserve">. </w:t>
      </w:r>
      <w:r w:rsidR="002C2E71" w:rsidRPr="00600559">
        <w:rPr>
          <w:rFonts w:ascii="Times New Roman" w:hAnsi="Times New Roman" w:cs="Times New Roman"/>
          <w:color w:val="000000"/>
        </w:rPr>
        <w:t>Estudos estimam que a prevalência de sobrepeso mais que dobrará entre os anos de 2010 e 2040, e a de obesidade triplicará no mesmo período</w:t>
      </w:r>
      <w:r w:rsidR="002C2E71">
        <w:rPr>
          <w:rFonts w:ascii="Times New Roman" w:hAnsi="Times New Roman" w:cs="Times New Roman"/>
          <w:color w:val="000000"/>
        </w:rPr>
        <w:t xml:space="preserve">. </w:t>
      </w:r>
      <w:r w:rsidR="00941853">
        <w:rPr>
          <w:rFonts w:ascii="Times New Roman" w:hAnsi="Times New Roman" w:cs="Times New Roman"/>
          <w:color w:val="000000"/>
        </w:rPr>
        <w:t xml:space="preserve">O objetivo do presente estudo foi avaliar a prevalência de obesidade de acordo com sexo e a faixa etária em indivíduos moradores na região Sul do país. </w:t>
      </w:r>
      <w:r w:rsidR="00AC3F4D">
        <w:rPr>
          <w:rFonts w:ascii="Times New Roman" w:hAnsi="Times New Roman" w:cs="Times New Roman"/>
          <w:color w:val="000000"/>
        </w:rPr>
        <w:t>Estudo transversal, no qual foram utilizados</w:t>
      </w:r>
      <w:r w:rsidR="00941853">
        <w:rPr>
          <w:rFonts w:ascii="Times New Roman" w:hAnsi="Times New Roman" w:cs="Times New Roman"/>
          <w:color w:val="000000"/>
        </w:rPr>
        <w:t xml:space="preserve"> os dados do VIGITEL no ano de 2010. A prevalência de obesidade foi de 16,4%, sendo 0,1% a mais nas mulheres. Houve tendência de </w:t>
      </w:r>
      <w:r w:rsidR="002C2E71">
        <w:rPr>
          <w:rFonts w:ascii="Times New Roman" w:hAnsi="Times New Roman" w:cs="Times New Roman"/>
          <w:color w:val="000000"/>
        </w:rPr>
        <w:t xml:space="preserve">maior obesidade </w:t>
      </w:r>
      <w:r w:rsidR="002C2E71">
        <w:rPr>
          <w:rFonts w:ascii="Times New Roman" w:hAnsi="Times New Roman" w:cs="Times New Roman"/>
          <w:bCs/>
          <w:color w:val="000000"/>
        </w:rPr>
        <w:t xml:space="preserve">nas mulheres com faixa etária de </w:t>
      </w:r>
      <w:r w:rsidR="002C2E71" w:rsidRPr="00C11143">
        <w:rPr>
          <w:rFonts w:ascii="Times New Roman" w:hAnsi="Times New Roman" w:cs="Times New Roman"/>
          <w:bCs/>
          <w:color w:val="000000"/>
        </w:rPr>
        <w:t>55 a 64</w:t>
      </w:r>
      <w:r w:rsidR="002C2E71">
        <w:rPr>
          <w:rFonts w:ascii="Times New Roman" w:hAnsi="Times New Roman" w:cs="Times New Roman"/>
          <w:bCs/>
          <w:color w:val="000000"/>
        </w:rPr>
        <w:t xml:space="preserve"> anos, as quais apresentaram 26,1% de obesidade, seguida pelos homens na faixa de </w:t>
      </w:r>
      <w:r w:rsidR="002C2E71" w:rsidRPr="00C11143">
        <w:rPr>
          <w:rFonts w:ascii="Times New Roman" w:hAnsi="Times New Roman" w:cs="Times New Roman"/>
          <w:bCs/>
          <w:color w:val="000000"/>
        </w:rPr>
        <w:t>45 a 54</w:t>
      </w:r>
      <w:r w:rsidR="002C2E71">
        <w:rPr>
          <w:rFonts w:ascii="Times New Roman" w:hAnsi="Times New Roman" w:cs="Times New Roman"/>
          <w:bCs/>
          <w:color w:val="000000"/>
        </w:rPr>
        <w:t xml:space="preserve"> anos que apresentaram 24,1%. </w:t>
      </w:r>
      <w:r w:rsidR="002C2E71" w:rsidRPr="00C11143">
        <w:rPr>
          <w:rFonts w:ascii="Times New Roman" w:hAnsi="Times New Roman" w:cs="Times New Roman"/>
          <w:bCs/>
          <w:color w:val="000000"/>
        </w:rPr>
        <w:t>Os mais jovens foram o grupo que tiveram menor prevalência de obesidade</w:t>
      </w:r>
      <w:r w:rsidR="002C2E71">
        <w:rPr>
          <w:rFonts w:ascii="Times New Roman" w:hAnsi="Times New Roman" w:cs="Times New Roman"/>
          <w:bCs/>
          <w:color w:val="000000"/>
        </w:rPr>
        <w:t>. O presente estudo demonstrou elevadas taxas de obesidade na Região Sul com tendência de aumento nos adultos mais velhos. São necessárias políticas públicas que tenham como objetivo a diminuição da elevada taxa de obesidade aqui apresentada</w:t>
      </w:r>
      <w:r w:rsidR="003C0006">
        <w:rPr>
          <w:rFonts w:ascii="Times New Roman" w:hAnsi="Times New Roman" w:cs="Times New Roman"/>
          <w:bCs/>
          <w:color w:val="000000"/>
        </w:rPr>
        <w:t xml:space="preserve"> – como o Guia Alimentar para a População Brasileira.</w:t>
      </w:r>
    </w:p>
    <w:p w14:paraId="3920EBBD" w14:textId="6C47EF19"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600559">
        <w:rPr>
          <w:rFonts w:ascii="Times New Roman" w:hAnsi="Times New Roman" w:cs="Times New Roman"/>
          <w:color w:val="000000"/>
        </w:rPr>
        <w:t>Obesidade</w:t>
      </w:r>
      <w:r w:rsidR="001C422C" w:rsidRPr="00BD6489">
        <w:rPr>
          <w:rFonts w:ascii="Times New Roman" w:hAnsi="Times New Roman" w:cs="Times New Roman"/>
          <w:color w:val="000000"/>
        </w:rPr>
        <w:t xml:space="preserve">. </w:t>
      </w:r>
      <w:r w:rsidR="00600559">
        <w:rPr>
          <w:rFonts w:ascii="Times New Roman" w:hAnsi="Times New Roman" w:cs="Times New Roman"/>
          <w:color w:val="000000"/>
        </w:rPr>
        <w:t>Região Sul</w:t>
      </w:r>
      <w:r w:rsidR="001C422C" w:rsidRPr="00BD6489">
        <w:rPr>
          <w:rFonts w:ascii="Times New Roman" w:hAnsi="Times New Roman" w:cs="Times New Roman"/>
          <w:color w:val="000000"/>
        </w:rPr>
        <w:t xml:space="preserve">. </w:t>
      </w:r>
      <w:r w:rsidR="00600559">
        <w:rPr>
          <w:rFonts w:ascii="Times New Roman" w:hAnsi="Times New Roman" w:cs="Times New Roman"/>
          <w:color w:val="000000"/>
        </w:rPr>
        <w:t>Obeso</w:t>
      </w:r>
      <w:r w:rsidR="001C422C" w:rsidRPr="00BD6489">
        <w:rPr>
          <w:rFonts w:ascii="Times New Roman" w:hAnsi="Times New Roman" w:cs="Times New Roman"/>
          <w:color w:val="000000"/>
        </w:rPr>
        <w:t>.</w:t>
      </w:r>
    </w:p>
    <w:p w14:paraId="3F007FE3" w14:textId="05434C32"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600559">
        <w:rPr>
          <w:rFonts w:ascii="Times New Roman" w:hAnsi="Times New Roman" w:cs="Times New Roman"/>
          <w:color w:val="000000"/>
        </w:rPr>
        <w:t>Temas livres</w:t>
      </w:r>
      <w:r w:rsidRPr="00BD6489">
        <w:rPr>
          <w:rFonts w:ascii="Times New Roman" w:hAnsi="Times New Roman" w:cs="Times New Roman"/>
          <w:color w:val="000000"/>
        </w:rPr>
        <w:t>.</w:t>
      </w:r>
    </w:p>
    <w:p w14:paraId="1136F338" w14:textId="77777777"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041D7753" w14:textId="77777777"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2FEDF4C4" w14:textId="5BC85468" w:rsidR="001C422C" w:rsidRPr="009E2A79" w:rsidRDefault="00600559" w:rsidP="009E2A79">
      <w:pPr>
        <w:keepNext/>
        <w:pBdr>
          <w:top w:val="nil"/>
          <w:left w:val="nil"/>
          <w:bottom w:val="nil"/>
          <w:right w:val="nil"/>
          <w:between w:val="nil"/>
        </w:pBdr>
        <w:spacing w:before="120" w:after="120" w:line="360" w:lineRule="auto"/>
        <w:ind w:firstLine="720"/>
        <w:jc w:val="both"/>
        <w:rPr>
          <w:rFonts w:ascii="Times New Roman" w:hAnsi="Times New Roman" w:cs="Times New Roman"/>
          <w:color w:val="000000"/>
        </w:rPr>
      </w:pPr>
      <w:r w:rsidRPr="00600559">
        <w:rPr>
          <w:rFonts w:ascii="Times New Roman" w:hAnsi="Times New Roman" w:cs="Times New Roman"/>
          <w:color w:val="000000"/>
        </w:rPr>
        <w:t>A obesidade é uma doença de caráter multifatorial que</w:t>
      </w:r>
      <w:r w:rsidR="009E2A79">
        <w:rPr>
          <w:rFonts w:ascii="Times New Roman" w:hAnsi="Times New Roman" w:cs="Times New Roman"/>
          <w:color w:val="000000"/>
        </w:rPr>
        <w:t xml:space="preserve"> gera</w:t>
      </w:r>
      <w:r w:rsidRPr="00600559">
        <w:rPr>
          <w:rFonts w:ascii="Times New Roman" w:hAnsi="Times New Roman" w:cs="Times New Roman"/>
          <w:color w:val="000000"/>
        </w:rPr>
        <w:t xml:space="preserve"> grandes problemas aos indivíduos e à sociedade. Dentre esses problemas, os gastos dos sistemas de saúde destacam-se por estarem sendo cada vez mais elevados</w:t>
      </w:r>
      <w:r w:rsidR="009E2A79">
        <w:rPr>
          <w:rFonts w:ascii="Times New Roman" w:hAnsi="Times New Roman" w:cs="Times New Roman"/>
          <w:color w:val="000000"/>
        </w:rPr>
        <w:t xml:space="preserve"> </w:t>
      </w:r>
      <w:r w:rsidR="009E2A79">
        <w:rPr>
          <w:rFonts w:ascii="Times New Roman" w:hAnsi="Times New Roman" w:cs="Times New Roman"/>
          <w:color w:val="000000"/>
        </w:rPr>
        <w:fldChar w:fldCharType="begin" w:fldLock="1"/>
      </w:r>
      <w:r w:rsidR="009E2A79">
        <w:rPr>
          <w:rFonts w:ascii="Times New Roman" w:hAnsi="Times New Roman" w:cs="Times New Roman"/>
          <w:color w:val="000000"/>
        </w:rPr>
        <w:instrText>ADDIN CSL_CITATION {"citationItems":[{"id":"ITEM-1","itemData":{"DOI":"10.1093/eurpub/cku170","ISSN":"1464360X","abstract":"Background: Obesity represents an important public health issue. An assessment of its costs would be useful to provide recommendations for policy and decision-making strategies. The aims of our study were to carry out a systematic review to assess the economic burden of adult obesity in terms of direct and indirect costs and to perform a quality appraisal of the analysed studies. Methods: A literature search was carried out on PubMed, Scopus and Cochrane Library to retrieve cost-of-illness (COI) analyses focused on adult (aged 18 years or more) overweight or obese people and published up to 2013. COI analyses that considered direct and indirect costs were included. Each included manuscript was independently appraised by three groups of researchers on the basis of the British Medical Journal Drummond's checklist. Results: Approximately 2044 articles were initially retrieved, and 17 were included in the current review. The included studies showed a medium-high-quality level. The available studies seemed to be heterogeneous both in terms of methodology and results reporting. However, as many studies have been conducted from the payer perspective, just direct medical costs can be considered exhaustive. As only three studies included considered also indirect costs, there is no strong evidence to give a comprehensive picture of this phenomenon also from the societal perspective. Conclusion: The review confirmed that obesity absorbs a huge amount of health-care resources. Further research is therefore needed to better understand the economic impact and to identify and promote public health strategies to tackle obesity.","author":[{"dropping-particle":"","family":"Specchia","given":"Maria Lucia","non-dropping-particle":"","parse-names":false,"suffix":""},{"dropping-particle":"","family":"Veneziano","given":"Maria Assunta","non-dropping-particle":"","parse-names":false,"suffix":""},{"dropping-particle":"","family":"Cadeddu","given":"Chiara","non-dropping-particle":"","parse-names":false,"suffix":""},{"dropping-particle":"","family":"Ferriero","given":"Anna Maria","non-dropping-particle":"","parse-names":false,"suffix":""},{"dropping-particle":"","family":"Mancuso","given":"Agostino","non-dropping-particle":"","parse-names":false,"suffix":""},{"dropping-particle":"","family":"Ianuale","given":"Carolina","non-dropping-particle":"","parse-names":false,"suffix":""},{"dropping-particle":"","family":"Parente","given":"Paolo","non-dropping-particle":"","parse-names":false,"suffix":""},{"dropping-particle":"","family":"Capri","given":"Stefano","non-dropping-particle":"","parse-names":false,"suffix":""},{"dropping-particle":"","family":"Ricciardi","given":"Walter","non-dropping-particle":"","parse-names":false,"suffix":""}],"container-title":"European Journal of Public Health","id":"ITEM-1","issue":"2","issued":{"date-parts":[["2015"]]},"page":"255-262","title":"Economic impact of adult obesity on health systems: A systematic review","type":"article","volume":"25"},"uris":["http://www.mendeley.com/documents/?uuid=1be1f1cb-0087-39e0-81b1-86e672866daf"]}],"mendeley":{"formattedCitation":"(SPECCHIA et al., 2015)","plainTextFormattedCitation":"(SPECCHIA et al., 2015)","previouslyFormattedCitation":"(SPECCHIA et al., 2015)"},"properties":{"noteIndex":0},"schema":"https://github.com/citation-style-language/schema/raw/master/csl-citation.json"}</w:instrText>
      </w:r>
      <w:r w:rsidR="009E2A79">
        <w:rPr>
          <w:rFonts w:ascii="Times New Roman" w:hAnsi="Times New Roman" w:cs="Times New Roman"/>
          <w:color w:val="000000"/>
        </w:rPr>
        <w:fldChar w:fldCharType="separate"/>
      </w:r>
      <w:r w:rsidR="009E2A79" w:rsidRPr="009E2A79">
        <w:rPr>
          <w:rFonts w:ascii="Times New Roman" w:hAnsi="Times New Roman" w:cs="Times New Roman"/>
          <w:noProof/>
          <w:color w:val="000000"/>
        </w:rPr>
        <w:t>(SPECCHIA et al., 2015)</w:t>
      </w:r>
      <w:r w:rsidR="009E2A79">
        <w:rPr>
          <w:rFonts w:ascii="Times New Roman" w:hAnsi="Times New Roman" w:cs="Times New Roman"/>
          <w:color w:val="000000"/>
        </w:rPr>
        <w:fldChar w:fldCharType="end"/>
      </w:r>
      <w:r w:rsidRPr="00600559">
        <w:rPr>
          <w:rFonts w:ascii="Times New Roman" w:hAnsi="Times New Roman" w:cs="Times New Roman"/>
          <w:color w:val="000000"/>
        </w:rPr>
        <w:t>.</w:t>
      </w:r>
      <w:r w:rsidR="009E2A79">
        <w:rPr>
          <w:rFonts w:ascii="Times New Roman" w:hAnsi="Times New Roman" w:cs="Times New Roman"/>
          <w:color w:val="000000"/>
        </w:rPr>
        <w:t xml:space="preserve"> </w:t>
      </w:r>
      <w:r w:rsidRPr="00600559">
        <w:rPr>
          <w:rFonts w:ascii="Times New Roman" w:hAnsi="Times New Roman" w:cs="Times New Roman"/>
          <w:color w:val="000000"/>
        </w:rPr>
        <w:t>Estudo estim</w:t>
      </w:r>
      <w:r w:rsidR="002536D5">
        <w:rPr>
          <w:rFonts w:ascii="Times New Roman" w:hAnsi="Times New Roman" w:cs="Times New Roman"/>
          <w:color w:val="000000"/>
        </w:rPr>
        <w:t>ou</w:t>
      </w:r>
      <w:r w:rsidRPr="00600559">
        <w:rPr>
          <w:rFonts w:ascii="Times New Roman" w:hAnsi="Times New Roman" w:cs="Times New Roman"/>
          <w:color w:val="000000"/>
        </w:rPr>
        <w:t xml:space="preserve"> que a </w:t>
      </w:r>
      <w:r w:rsidRPr="00600559">
        <w:rPr>
          <w:rFonts w:ascii="Times New Roman" w:hAnsi="Times New Roman" w:cs="Times New Roman"/>
          <w:color w:val="000000"/>
        </w:rPr>
        <w:lastRenderedPageBreak/>
        <w:t xml:space="preserve">prevalência de sobrepeso mais que dobrará entre os anos de 2010 e 2040, e a de obesidade triplicará no mesmo período </w:t>
      </w:r>
      <w:r w:rsidR="009E2A79">
        <w:rPr>
          <w:rFonts w:ascii="Times New Roman" w:hAnsi="Times New Roman" w:cs="Times New Roman"/>
          <w:color w:val="000000"/>
        </w:rPr>
        <w:fldChar w:fldCharType="begin" w:fldLock="1"/>
      </w:r>
      <w:r w:rsidR="009E2A79">
        <w:rPr>
          <w:rFonts w:ascii="Times New Roman" w:hAnsi="Times New Roman" w:cs="Times New Roman"/>
          <w:color w:val="000000"/>
        </w:rPr>
        <w:instrText>ADDIN CSL_CITATION {"citationItems":[{"id":"ITEM-1","itemData":{"DOI":"10.1371/journal.pone.0229438","ISSN":"19326203","PMID":"32092114","abstract":"Background: In India, the prevalence of overweight and obesity has increased rapidly in recent decades. Given the association between overweight and obesity with many non-communicable diseases, forecasts of the future prevalence of overweight and obesity can help inform policy in a country where around one sixth of the world's population resides. Methods: We used a system of multi-state life tables to forecast overweight and obesity prevalence among Indians aged 20-69 years by age, sex and urban/rural residence to 2040. We estimated the incidence and initial prevalence of overweight using nationally representative data from the National Family Health Surveys 3 and 4, and the Study on global AGEing and adult health, waves 0 and 1. We forecasted future mortality, using the Lee-Carter model fitted life tables reported by the Sample Registration System, and adjusted the mortality rates for Body Mass Index using relative risks from the literature. Results: The prevalence of overweight will more than double among Indian adults aged 20-69 years between 2010 and 2040, while the prevalence of obesity will triple. Specifically, the prevalence of overweight and obesity will reach 30.5% (27.4%-34.4%) and 9.5% (5.4%-13.3%) among men, and 27.4% (24.5%-30.6%) and 13.9% (10.1%-16.9%) among women, respectively, by 2040. The largest increases in the prevalence of overweight and obesity between 2010 and 2040 is expected to be in older ages, and we found a larger relative increase in overweight and obesity in rural areas compared to urban areas. The largest relative increase in overweight and obesity prevalence was forecast to occur at older age groups. Conclusion: The overall prevalence of overweight and obesity is expected to increase considerably in India by 2040, with substantial increases particularly among rural residents and older Indians. Detailed predictions of excess weight are crucial in estimating future non-communicable disease burdens and their economic impact.","author":[{"dropping-particle":"","family":"Luhar","given":"Shammi","non-dropping-particle":"","parse-names":false,"suffix":""},{"dropping-particle":"","family":"Timæus","given":"Ian M.","non-dropping-particle":"","parse-names":false,"suffix":""},{"dropping-particle":"","family":"Jones","given":"Rebecca","non-dropping-particle":"","parse-names":false,"suffix":""},{"dropping-particle":"","family":"Cunningham","given":"Solveig","non-dropping-particle":"","parse-names":false,"suffix":""},{"dropping-particle":"","family":"Patel","given":"Shivani A.","non-dropping-particle":"","parse-names":false,"suffix":""},{"dropping-particle":"","family":"Kinra","given":"Sanjay","non-dropping-particle":"","parse-names":false,"suffix":""},{"dropping-particle":"","family":"Clarke","given":"Lynda","non-dropping-particle":"","parse-names":false,"suffix":""},{"dropping-particle":"","family":"Houben","given":"Rein","non-dropping-particle":"","parse-names":false,"suffix":""}],"container-title":"PLoS ONE","id":"ITEM-1","issue":"2","issued":{"date-parts":[["2020"]]},"publisher":"Public Library of Science","title":"Forecasting the prevalence of overweight and obesity in India to 2040","type":"article","volume":"15"},"uris":["http://www.mendeley.com/documents/?uuid=331e7d94-fd84-3a45-96fd-82b94f14be52"]}],"mendeley":{"formattedCitation":"(LUHAR et al., 2020)","plainTextFormattedCitation":"(LUHAR et al., 2020)","previouslyFormattedCitation":"(LUHAR et al., 2020)"},"properties":{"noteIndex":0},"schema":"https://github.com/citation-style-language/schema/raw/master/csl-citation.json"}</w:instrText>
      </w:r>
      <w:r w:rsidR="009E2A79">
        <w:rPr>
          <w:rFonts w:ascii="Times New Roman" w:hAnsi="Times New Roman" w:cs="Times New Roman"/>
          <w:color w:val="000000"/>
        </w:rPr>
        <w:fldChar w:fldCharType="separate"/>
      </w:r>
      <w:r w:rsidR="009E2A79" w:rsidRPr="009E2A79">
        <w:rPr>
          <w:rFonts w:ascii="Times New Roman" w:hAnsi="Times New Roman" w:cs="Times New Roman"/>
          <w:noProof/>
          <w:color w:val="000000"/>
        </w:rPr>
        <w:t>(LUHAR et al., 2020)</w:t>
      </w:r>
      <w:r w:rsidR="009E2A79">
        <w:rPr>
          <w:rFonts w:ascii="Times New Roman" w:hAnsi="Times New Roman" w:cs="Times New Roman"/>
          <w:color w:val="000000"/>
        </w:rPr>
        <w:fldChar w:fldCharType="end"/>
      </w:r>
      <w:r w:rsidRPr="00600559">
        <w:rPr>
          <w:rFonts w:ascii="Times New Roman" w:hAnsi="Times New Roman" w:cs="Times New Roman"/>
          <w:color w:val="000000"/>
        </w:rPr>
        <w:t xml:space="preserve">. Ainda, o mesmo estudo estima que esse aumento ocorrerá nos indivíduos mais velhos </w:t>
      </w:r>
      <w:r w:rsidR="009E2A79">
        <w:rPr>
          <w:rFonts w:ascii="Times New Roman" w:hAnsi="Times New Roman" w:cs="Times New Roman"/>
          <w:color w:val="000000"/>
        </w:rPr>
        <w:fldChar w:fldCharType="begin" w:fldLock="1"/>
      </w:r>
      <w:r w:rsidR="002C2E71">
        <w:rPr>
          <w:rFonts w:ascii="Times New Roman" w:hAnsi="Times New Roman" w:cs="Times New Roman"/>
          <w:color w:val="000000"/>
        </w:rPr>
        <w:instrText>ADDIN CSL_CITATION {"citationItems":[{"id":"ITEM-1","itemData":{"DOI":"10.1371/journal.pone.0229438","ISSN":"19326203","PMID":"32092114","abstract":"Background: In India, the prevalence of overweight and obesity has increased rapidly in recent decades. Given the association between overweight and obesity with many non-communicable diseases, forecasts of the future prevalence of overweight and obesity can help inform policy in a country where around one sixth of the world's population resides. Methods: We used a system of multi-state life tables to forecast overweight and obesity prevalence among Indians aged 20-69 years by age, sex and urban/rural residence to 2040. We estimated the incidence and initial prevalence of overweight using nationally representative data from the National Family Health Surveys 3 and 4, and the Study on global AGEing and adult health, waves 0 and 1. We forecasted future mortality, using the Lee-Carter model fitted life tables reported by the Sample Registration System, and adjusted the mortality rates for Body Mass Index using relative risks from the literature. Results: The prevalence of overweight will more than double among Indian adults aged 20-69 years between 2010 and 2040, while the prevalence of obesity will triple. Specifically, the prevalence of overweight and obesity will reach 30.5% (27.4%-34.4%) and 9.5% (5.4%-13.3%) among men, and 27.4% (24.5%-30.6%) and 13.9% (10.1%-16.9%) among women, respectively, by 2040. The largest increases in the prevalence of overweight and obesity between 2010 and 2040 is expected to be in older ages, and we found a larger relative increase in overweight and obesity in rural areas compared to urban areas. The largest relative increase in overweight and obesity prevalence was forecast to occur at older age groups. Conclusion: The overall prevalence of overweight and obesity is expected to increase considerably in India by 2040, with substantial increases particularly among rural residents and older Indians. Detailed predictions of excess weight are crucial in estimating future non-communicable disease burdens and their economic impact.","author":[{"dropping-particle":"","family":"Luhar","given":"Shammi","non-dropping-particle":"","parse-names":false,"suffix":""},{"dropping-particle":"","family":"Timæus","given":"Ian M.","non-dropping-particle":"","parse-names":false,"suffix":""},{"dropping-particle":"","family":"Jones","given":"Rebecca","non-dropping-particle":"","parse-names":false,"suffix":""},{"dropping-particle":"","family":"Cunningham","given":"Solveig","non-dropping-particle":"","parse-names":false,"suffix":""},{"dropping-particle":"","family":"Patel","given":"Shivani A.","non-dropping-particle":"","parse-names":false,"suffix":""},{"dropping-particle":"","family":"Kinra","given":"Sanjay","non-dropping-particle":"","parse-names":false,"suffix":""},{"dropping-particle":"","family":"Clarke","given":"Lynda","non-dropping-particle":"","parse-names":false,"suffix":""},{"dropping-particle":"","family":"Houben","given":"Rein","non-dropping-particle":"","parse-names":false,"suffix":""}],"container-title":"PLoS ONE","id":"ITEM-1","issue":"2","issued":{"date-parts":[["2020"]]},"publisher":"Public Library of Science","title":"Forecasting the prevalence of overweight and obesity in India to 2040","type":"article","volume":"15"},"uris":["http://www.mendeley.com/documents/?uuid=331e7d94-fd84-3a45-96fd-82b94f14be52"]}],"mendeley":{"formattedCitation":"(LUHAR et al., 2020)","plainTextFormattedCitation":"(LUHAR et al., 2020)","previouslyFormattedCitation":"(LUHAR et al., 2020)"},"properties":{"noteIndex":0},"schema":"https://github.com/citation-style-language/schema/raw/master/csl-citation.json"}</w:instrText>
      </w:r>
      <w:r w:rsidR="009E2A79">
        <w:rPr>
          <w:rFonts w:ascii="Times New Roman" w:hAnsi="Times New Roman" w:cs="Times New Roman"/>
          <w:color w:val="000000"/>
        </w:rPr>
        <w:fldChar w:fldCharType="separate"/>
      </w:r>
      <w:r w:rsidR="009E2A79" w:rsidRPr="009E2A79">
        <w:rPr>
          <w:rFonts w:ascii="Times New Roman" w:hAnsi="Times New Roman" w:cs="Times New Roman"/>
          <w:noProof/>
          <w:color w:val="000000"/>
        </w:rPr>
        <w:t>(LUHAR et al., 2020)</w:t>
      </w:r>
      <w:r w:rsidR="009E2A79">
        <w:rPr>
          <w:rFonts w:ascii="Times New Roman" w:hAnsi="Times New Roman" w:cs="Times New Roman"/>
          <w:color w:val="000000"/>
        </w:rPr>
        <w:fldChar w:fldCharType="end"/>
      </w:r>
      <w:r w:rsidRPr="00600559">
        <w:rPr>
          <w:rFonts w:ascii="Times New Roman" w:hAnsi="Times New Roman" w:cs="Times New Roman"/>
          <w:color w:val="000000"/>
        </w:rPr>
        <w:t>. Esse fato é preocupante, visto que esses indivíduos já sofrem com outros problemas de saúde, como a ocorrência de múltiplas doenças crônicas.</w:t>
      </w:r>
      <w:r>
        <w:rPr>
          <w:rFonts w:ascii="Times New Roman" w:hAnsi="Times New Roman" w:cs="Times New Roman"/>
          <w:color w:val="000000"/>
        </w:rPr>
        <w:t xml:space="preserve"> </w:t>
      </w:r>
      <w:r w:rsidR="00283F71">
        <w:rPr>
          <w:rFonts w:ascii="Times New Roman" w:hAnsi="Times New Roman" w:cs="Times New Roman"/>
          <w:color w:val="000000"/>
        </w:rPr>
        <w:t xml:space="preserve">O objetivo do presente estudo foi avaliar a prevalência de obesidade de acordo com sexo e a faixa etária </w:t>
      </w:r>
      <w:r w:rsidR="009E2A79">
        <w:rPr>
          <w:rFonts w:ascii="Times New Roman" w:hAnsi="Times New Roman" w:cs="Times New Roman"/>
          <w:color w:val="000000"/>
        </w:rPr>
        <w:t>em</w:t>
      </w:r>
      <w:r w:rsidR="00283F71">
        <w:rPr>
          <w:rFonts w:ascii="Times New Roman" w:hAnsi="Times New Roman" w:cs="Times New Roman"/>
          <w:color w:val="000000"/>
        </w:rPr>
        <w:t xml:space="preserve"> indivíduos moradores na </w:t>
      </w:r>
      <w:r w:rsidR="002C2E71">
        <w:rPr>
          <w:rFonts w:ascii="Times New Roman" w:hAnsi="Times New Roman" w:cs="Times New Roman"/>
          <w:color w:val="000000"/>
        </w:rPr>
        <w:t>R</w:t>
      </w:r>
      <w:r w:rsidR="00283F71">
        <w:rPr>
          <w:rFonts w:ascii="Times New Roman" w:hAnsi="Times New Roman" w:cs="Times New Roman"/>
          <w:color w:val="000000"/>
        </w:rPr>
        <w:t>egião Sul do país.</w:t>
      </w:r>
    </w:p>
    <w:p w14:paraId="56D3D5A0" w14:textId="3FE54747" w:rsidR="001C422C" w:rsidRPr="00BD6489" w:rsidRDefault="001C422C" w:rsidP="0052541E">
      <w:pPr>
        <w:pBdr>
          <w:top w:val="nil"/>
          <w:left w:val="nil"/>
          <w:bottom w:val="nil"/>
          <w:right w:val="nil"/>
          <w:between w:val="nil"/>
        </w:pBdr>
        <w:rPr>
          <w:rFonts w:ascii="Times New Roman" w:hAnsi="Times New Roman" w:cs="Times New Roman"/>
          <w:color w:val="000000"/>
        </w:rPr>
      </w:pPr>
    </w:p>
    <w:p w14:paraId="17B72D79" w14:textId="601D8EEE"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690120E4" w14:textId="45B34543" w:rsidR="009B5008" w:rsidRDefault="0069305A" w:rsidP="0052541E">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Cs/>
          <w:color w:val="000000"/>
        </w:rPr>
      </w:pPr>
      <w:r>
        <w:rPr>
          <w:rFonts w:ascii="Times New Roman" w:hAnsi="Times New Roman" w:cs="Times New Roman"/>
          <w:bCs/>
          <w:color w:val="000000"/>
        </w:rPr>
        <w:t>Estudo transversal, no qual foram utilizados dados</w:t>
      </w:r>
      <w:r w:rsidRPr="009B5008">
        <w:rPr>
          <w:rFonts w:ascii="Times New Roman" w:hAnsi="Times New Roman" w:cs="Times New Roman"/>
          <w:bCs/>
          <w:color w:val="000000"/>
        </w:rPr>
        <w:t xml:space="preserve"> coletados pelo Sistema de Vigilância de Fatores de Risco e Proteção para Doenças Crônicas por Inquérito Telefônico (VIGITEL)</w:t>
      </w:r>
      <w:r>
        <w:rPr>
          <w:rFonts w:ascii="Times New Roman" w:hAnsi="Times New Roman" w:cs="Times New Roman"/>
          <w:bCs/>
          <w:color w:val="000000"/>
        </w:rPr>
        <w:t xml:space="preserve">. </w:t>
      </w:r>
      <w:r w:rsidR="00363DD0" w:rsidRPr="00363DD0">
        <w:rPr>
          <w:rFonts w:ascii="Times New Roman" w:hAnsi="Times New Roman" w:cs="Times New Roman"/>
          <w:bCs/>
          <w:color w:val="000000"/>
        </w:rPr>
        <w:t xml:space="preserve">O </w:t>
      </w:r>
      <w:r w:rsidR="00363DD0">
        <w:rPr>
          <w:rFonts w:ascii="Times New Roman" w:hAnsi="Times New Roman" w:cs="Times New Roman"/>
          <w:bCs/>
          <w:color w:val="000000"/>
        </w:rPr>
        <w:t>VIGITEL</w:t>
      </w:r>
      <w:r w:rsidR="00363DD0" w:rsidRPr="00363DD0">
        <w:rPr>
          <w:rFonts w:ascii="Times New Roman" w:hAnsi="Times New Roman" w:cs="Times New Roman"/>
          <w:bCs/>
          <w:color w:val="000000"/>
        </w:rPr>
        <w:t xml:space="preserve"> é um inquérito de base populacional, no qual o objetivo é investigar fatores de risco e proteção para o desenvolvimento de doenças crônicas não transmissíveis, como consumo alimentar, excesso de peso, sedentarismo, nível de atividade física, hábito de fumar, consumo de bebidas alcoólicas e prevenção de câncer</w:t>
      </w:r>
      <w:r w:rsidR="00363DD0">
        <w:rPr>
          <w:rFonts w:ascii="Times New Roman" w:hAnsi="Times New Roman" w:cs="Times New Roman"/>
          <w:bCs/>
          <w:color w:val="000000"/>
        </w:rPr>
        <w:t xml:space="preserve"> </w:t>
      </w:r>
      <w:r w:rsidR="00363DD0">
        <w:rPr>
          <w:rFonts w:ascii="Times New Roman" w:hAnsi="Times New Roman" w:cs="Times New Roman"/>
          <w:bCs/>
          <w:color w:val="000000"/>
        </w:rPr>
        <w:fldChar w:fldCharType="begin" w:fldLock="1"/>
      </w:r>
      <w:r w:rsidR="00363DD0">
        <w:rPr>
          <w:rFonts w:ascii="Times New Roman" w:hAnsi="Times New Roman" w:cs="Times New Roman"/>
          <w:bCs/>
          <w:color w:val="000000"/>
        </w:rPr>
        <w:instrText>ADDIN CSL_CITATION {"citationItems":[{"id":"ITEM-1","itemData":{"ISBN":"9788533415652","abstract":"Conhecimento sobre as DCNT no país. A implantação do VIGITEL vem sendo realizada em estreita parceria, estabelecida desde 2006, entre a Secretaria de Vigilância em Saúde e a Secretaria de Gestão Estratégica e Participativa, além de contar com o suporte tecnicocientífico do Núcleo de Pesquisas Epidemiológicas em Nutrição e Saúde da Universidade de São Paulo (Nupens/USP). Além de atualizar a frequência e distribuição dos principais indicadores do sistema VIGITEL para o ano de 2010, a presente publicação descreve a evolução anual desses indicadores desde 2006. Com isto, o Ministério da Saúde cumpre a tarefa de monitorar os principais determinantes das DCNT no Brasil, contribuindo na formulação de políticas públicas que promovam a melhoria da qualidade de vida da população brasileira,","author":[{"dropping-particle":"","family":"Brasil. Ministério Da Saúde. Secretaria de Vigilancia em Saúde","given":"","non-dropping-particle":"","parse-names":false,"suffix":""}],"container-title":"Vigitel","id":"ITEM-1","issued":{"date-parts":[["2018"]]},"number-of-pages":"152","title":"Vigitel Brasil 2017, estimativas sobre frequência e distribuição sócio-demográfica de fatores de risco e proteção para doenças crônicas nas capitais dos 26 estados brasileiros e no Distrito Federal em 2017","type":"book"},"uris":["http://www.mendeley.com/documents/?uuid=1a05f4cf-7750-362a-864e-7c0399af4082"]}],"mendeley":{"formattedCitation":"(BRASIL. MINISTÉRIO DA SAÚDE. SECRETARIA DE VIGILANCIA EM SAÚDE, 2018)","plainTextFormattedCitation":"(BRASIL. MINISTÉRIO DA SAÚDE. SECRETARIA DE VIGILANCIA EM SAÚDE, 2018)","previouslyFormattedCitation":"(BRASIL. MINISTÉRIO DA SAÚDE. SECRETARIA DE VIGILANCIA EM SAÚDE, 2018)"},"properties":{"noteIndex":0},"schema":"https://github.com/citation-style-language/schema/raw/master/csl-citation.json"}</w:instrText>
      </w:r>
      <w:r w:rsidR="00363DD0">
        <w:rPr>
          <w:rFonts w:ascii="Times New Roman" w:hAnsi="Times New Roman" w:cs="Times New Roman"/>
          <w:bCs/>
          <w:color w:val="000000"/>
        </w:rPr>
        <w:fldChar w:fldCharType="separate"/>
      </w:r>
      <w:r w:rsidR="00363DD0" w:rsidRPr="00363DD0">
        <w:rPr>
          <w:rFonts w:ascii="Times New Roman" w:hAnsi="Times New Roman" w:cs="Times New Roman"/>
          <w:bCs/>
          <w:noProof/>
          <w:color w:val="000000"/>
        </w:rPr>
        <w:t>(BRASIL. MINISTÉRIO DA SAÚDE. SECRETARIA DE VIGILANCIA EM SAÚDE, 2018)</w:t>
      </w:r>
      <w:r w:rsidR="00363DD0">
        <w:rPr>
          <w:rFonts w:ascii="Times New Roman" w:hAnsi="Times New Roman" w:cs="Times New Roman"/>
          <w:bCs/>
          <w:color w:val="000000"/>
        </w:rPr>
        <w:fldChar w:fldCharType="end"/>
      </w:r>
      <w:r w:rsidR="00363DD0" w:rsidRPr="00363DD0">
        <w:rPr>
          <w:rFonts w:ascii="Times New Roman" w:hAnsi="Times New Roman" w:cs="Times New Roman"/>
          <w:bCs/>
          <w:color w:val="000000"/>
        </w:rPr>
        <w:t>.</w:t>
      </w:r>
    </w:p>
    <w:p w14:paraId="6C7BB00B" w14:textId="3BA5402A" w:rsidR="009B5008" w:rsidRPr="00405417" w:rsidRDefault="00283F71" w:rsidP="00405417">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Cs/>
          <w:color w:val="000000"/>
        </w:rPr>
      </w:pPr>
      <w:r>
        <w:rPr>
          <w:rFonts w:ascii="Times New Roman" w:hAnsi="Times New Roman" w:cs="Times New Roman"/>
          <w:bCs/>
          <w:color w:val="000000"/>
        </w:rPr>
        <w:t xml:space="preserve">Foram utilizados dados sobre a prevalência </w:t>
      </w:r>
      <w:r w:rsidR="00DC4583">
        <w:rPr>
          <w:rFonts w:ascii="Times New Roman" w:hAnsi="Times New Roman" w:cs="Times New Roman"/>
          <w:bCs/>
          <w:color w:val="000000"/>
        </w:rPr>
        <w:t>d</w:t>
      </w:r>
      <w:r>
        <w:rPr>
          <w:rFonts w:ascii="Times New Roman" w:hAnsi="Times New Roman" w:cs="Times New Roman"/>
          <w:bCs/>
          <w:color w:val="000000"/>
        </w:rPr>
        <w:t xml:space="preserve">e obesidade no ano de 2010 de acordo com sexo e faixa etária dos indivíduos.  </w:t>
      </w:r>
      <w:r w:rsidR="00405417" w:rsidRPr="00405417">
        <w:rPr>
          <w:rFonts w:ascii="Times New Roman" w:hAnsi="Times New Roman" w:cs="Times New Roman"/>
          <w:bCs/>
          <w:color w:val="000000"/>
        </w:rPr>
        <w:t>Utilizamos as faixas etárias de 25 a 34 anos, 35 a 44, 45 a 54, 55 a 64 e 65 ou mais.</w:t>
      </w:r>
      <w:r w:rsidR="00405417">
        <w:rPr>
          <w:rFonts w:ascii="Times New Roman" w:hAnsi="Times New Roman" w:cs="Times New Roman"/>
          <w:bCs/>
          <w:color w:val="000000"/>
        </w:rPr>
        <w:t xml:space="preserve"> </w:t>
      </w:r>
      <w:r w:rsidR="00363DD0" w:rsidRPr="00363DD0">
        <w:rPr>
          <w:rFonts w:ascii="Times New Roman" w:hAnsi="Times New Roman" w:cs="Times New Roman"/>
          <w:bCs/>
          <w:color w:val="000000"/>
        </w:rPr>
        <w:t xml:space="preserve">Os dados utilizados no presente estudo são de domínio público e estão disponíveis no site </w:t>
      </w:r>
      <w:hyperlink r:id="rId10" w:history="1">
        <w:r w:rsidR="00363DD0" w:rsidRPr="00283F71">
          <w:rPr>
            <w:rStyle w:val="Hyperlink"/>
            <w:rFonts w:ascii="Times New Roman" w:hAnsi="Times New Roman" w:cs="Times New Roman"/>
            <w:bCs/>
          </w:rPr>
          <w:t>http://www2.datasus.gov.br/DATASUS/index.php?area=0208&amp;id=28248785</w:t>
        </w:r>
      </w:hyperlink>
      <w:r w:rsidR="00363DD0" w:rsidRPr="00363DD0">
        <w:rPr>
          <w:rFonts w:ascii="Times New Roman" w:hAnsi="Times New Roman" w:cs="Times New Roman"/>
          <w:bCs/>
          <w:color w:val="000000"/>
        </w:rPr>
        <w:t>, e sua coleta foi aprovada pela Comissão Nacional de Ética em Pesquisa para Seres Humanos do Ministério da Saúde (CAAE: 65610017.1.0000.0008).</w:t>
      </w:r>
    </w:p>
    <w:p w14:paraId="69584655"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5C06DE76" w14:textId="1EEFD1D5" w:rsidR="00941853" w:rsidRPr="00941853" w:rsidRDefault="00B466BF" w:rsidP="00941853">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181EE151" w14:textId="2A219653" w:rsidR="00941853" w:rsidRDefault="00C11143" w:rsidP="00941853">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Cs/>
          <w:color w:val="000000"/>
        </w:rPr>
      </w:pPr>
      <w:r>
        <w:rPr>
          <w:rFonts w:ascii="Times New Roman" w:hAnsi="Times New Roman" w:cs="Times New Roman"/>
          <w:bCs/>
          <w:color w:val="000000"/>
        </w:rPr>
        <w:t xml:space="preserve">Os resultados completos estão apresentados na tabela 1. </w:t>
      </w:r>
      <w:r w:rsidR="0052541E">
        <w:rPr>
          <w:rFonts w:ascii="Times New Roman" w:hAnsi="Times New Roman" w:cs="Times New Roman"/>
          <w:bCs/>
          <w:color w:val="000000"/>
        </w:rPr>
        <w:t xml:space="preserve">A prevalência de </w:t>
      </w:r>
      <w:r w:rsidR="00DC4583">
        <w:rPr>
          <w:rFonts w:ascii="Times New Roman" w:hAnsi="Times New Roman" w:cs="Times New Roman"/>
          <w:bCs/>
          <w:color w:val="000000"/>
        </w:rPr>
        <w:t>obesidade</w:t>
      </w:r>
      <w:r w:rsidR="0052541E">
        <w:rPr>
          <w:rFonts w:ascii="Times New Roman" w:hAnsi="Times New Roman" w:cs="Times New Roman"/>
          <w:bCs/>
          <w:color w:val="000000"/>
        </w:rPr>
        <w:t xml:space="preserve"> geral foi de </w:t>
      </w:r>
      <w:r w:rsidR="00DC4583">
        <w:rPr>
          <w:rFonts w:ascii="Times New Roman" w:hAnsi="Times New Roman" w:cs="Times New Roman"/>
          <w:bCs/>
          <w:color w:val="000000"/>
        </w:rPr>
        <w:t>16</w:t>
      </w:r>
      <w:r w:rsidR="0052541E">
        <w:rPr>
          <w:rFonts w:ascii="Times New Roman" w:hAnsi="Times New Roman" w:cs="Times New Roman"/>
          <w:bCs/>
          <w:color w:val="000000"/>
        </w:rPr>
        <w:t>,4%</w:t>
      </w:r>
      <w:r w:rsidR="00DC4583">
        <w:rPr>
          <w:rFonts w:ascii="Times New Roman" w:hAnsi="Times New Roman" w:cs="Times New Roman"/>
          <w:bCs/>
          <w:color w:val="000000"/>
        </w:rPr>
        <w:t xml:space="preserve">, sendo que as mulheres tiveram 0,1% a mais que os homens. </w:t>
      </w:r>
      <w:r>
        <w:rPr>
          <w:rFonts w:ascii="Times New Roman" w:hAnsi="Times New Roman" w:cs="Times New Roman"/>
          <w:bCs/>
          <w:color w:val="000000"/>
        </w:rPr>
        <w:t xml:space="preserve">A maior prevalência observada foi nas mulheres com faixa etária de </w:t>
      </w:r>
      <w:r w:rsidRPr="00C11143">
        <w:rPr>
          <w:rFonts w:ascii="Times New Roman" w:hAnsi="Times New Roman" w:cs="Times New Roman"/>
          <w:bCs/>
          <w:color w:val="000000"/>
        </w:rPr>
        <w:t>55 a 64</w:t>
      </w:r>
      <w:r>
        <w:rPr>
          <w:rFonts w:ascii="Times New Roman" w:hAnsi="Times New Roman" w:cs="Times New Roman"/>
          <w:bCs/>
          <w:color w:val="000000"/>
        </w:rPr>
        <w:t xml:space="preserve"> anos, as quais apresentaram 26,1% de obesidade, seguida pelos homens na faixa de </w:t>
      </w:r>
      <w:r w:rsidRPr="00C11143">
        <w:rPr>
          <w:rFonts w:ascii="Times New Roman" w:hAnsi="Times New Roman" w:cs="Times New Roman"/>
          <w:bCs/>
          <w:color w:val="000000"/>
        </w:rPr>
        <w:t>45 a 54</w:t>
      </w:r>
      <w:r>
        <w:rPr>
          <w:rFonts w:ascii="Times New Roman" w:hAnsi="Times New Roman" w:cs="Times New Roman"/>
          <w:bCs/>
          <w:color w:val="000000"/>
        </w:rPr>
        <w:t xml:space="preserve"> anos que apresentaram 24,1%.</w:t>
      </w:r>
    </w:p>
    <w:p w14:paraId="34996FAC" w14:textId="7ADA1508" w:rsidR="00283F71" w:rsidRPr="00C11143" w:rsidRDefault="00BE57D9" w:rsidP="00C11143">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Cs/>
          <w:color w:val="000000"/>
        </w:rPr>
      </w:pPr>
      <w:r w:rsidRPr="00C11143">
        <w:rPr>
          <w:rFonts w:ascii="Times New Roman" w:hAnsi="Times New Roman" w:cs="Times New Roman"/>
          <w:bCs/>
          <w:color w:val="000000"/>
        </w:rPr>
        <w:t>Os mais jovens foram o grupo que tiveram menor prevalência de obesidade.</w:t>
      </w:r>
      <w:r>
        <w:rPr>
          <w:rFonts w:ascii="Times New Roman" w:hAnsi="Times New Roman" w:cs="Times New Roman"/>
          <w:bCs/>
          <w:color w:val="000000"/>
        </w:rPr>
        <w:t xml:space="preserve"> </w:t>
      </w:r>
      <w:r w:rsidR="00C11143" w:rsidRPr="00C11143">
        <w:rPr>
          <w:rFonts w:ascii="Times New Roman" w:hAnsi="Times New Roman" w:cs="Times New Roman"/>
          <w:bCs/>
          <w:color w:val="000000"/>
        </w:rPr>
        <w:t>De modo geral, houve uma tendência de maior prevalência de obesidade nos adultos mais velhos e nos</w:t>
      </w:r>
      <w:r w:rsidR="00941853">
        <w:rPr>
          <w:rFonts w:ascii="Times New Roman" w:hAnsi="Times New Roman" w:cs="Times New Roman"/>
          <w:bCs/>
          <w:color w:val="000000"/>
        </w:rPr>
        <w:t xml:space="preserve"> </w:t>
      </w:r>
      <w:r w:rsidR="00C11143" w:rsidRPr="00C11143">
        <w:rPr>
          <w:rFonts w:ascii="Times New Roman" w:hAnsi="Times New Roman" w:cs="Times New Roman"/>
          <w:bCs/>
          <w:color w:val="000000"/>
        </w:rPr>
        <w:lastRenderedPageBreak/>
        <w:t xml:space="preserve">idosos jovens. Porém, a partir dos 65 anos a prevalência de obesidade baixou consideravelmente. </w:t>
      </w:r>
    </w:p>
    <w:p w14:paraId="4FE17B62" w14:textId="3B2031E2" w:rsidR="00C11143" w:rsidRPr="00A52B5E" w:rsidRDefault="00C11143" w:rsidP="00C11143">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sz w:val="20"/>
          <w:szCs w:val="20"/>
        </w:rPr>
      </w:pPr>
      <w:r w:rsidRPr="00A52B5E">
        <w:rPr>
          <w:rFonts w:ascii="Times New Roman" w:hAnsi="Times New Roman" w:cs="Times New Roman"/>
          <w:b/>
          <w:color w:val="000000"/>
          <w:sz w:val="20"/>
          <w:szCs w:val="20"/>
        </w:rPr>
        <w:t>Tabela 1 – Prevalência de obesidade de acordo com sexo e faixa etária</w:t>
      </w:r>
      <w:r w:rsidR="005C7DFE">
        <w:rPr>
          <w:rFonts w:ascii="Times New Roman" w:hAnsi="Times New Roman" w:cs="Times New Roman"/>
          <w:b/>
          <w:color w:val="000000"/>
          <w:sz w:val="20"/>
          <w:szCs w:val="20"/>
        </w:rPr>
        <w:t xml:space="preserve"> (dados do Vigitel)</w:t>
      </w:r>
    </w:p>
    <w:tbl>
      <w:tblPr>
        <w:tblStyle w:val="Tabelacomgrade"/>
        <w:tblpPr w:leftFromText="141" w:rightFromText="141" w:vertAnchor="page" w:horzAnchor="margin" w:tblpY="2941"/>
        <w:tblW w:w="0" w:type="auto"/>
        <w:tblLook w:val="04A0" w:firstRow="1" w:lastRow="0" w:firstColumn="1" w:lastColumn="0" w:noHBand="0" w:noVBand="1"/>
      </w:tblPr>
      <w:tblGrid>
        <w:gridCol w:w="2933"/>
        <w:gridCol w:w="1954"/>
      </w:tblGrid>
      <w:tr w:rsidR="00BE57D9" w:rsidRPr="00A52B5E" w14:paraId="0B629D9A" w14:textId="77777777" w:rsidTr="00941853">
        <w:trPr>
          <w:trHeight w:val="194"/>
        </w:trPr>
        <w:tc>
          <w:tcPr>
            <w:tcW w:w="2933" w:type="dxa"/>
            <w:tcBorders>
              <w:top w:val="single" w:sz="4" w:space="0" w:color="auto"/>
              <w:left w:val="nil"/>
              <w:bottom w:val="single" w:sz="4" w:space="0" w:color="auto"/>
              <w:right w:val="nil"/>
            </w:tcBorders>
          </w:tcPr>
          <w:p w14:paraId="57F5FD4F"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Características dos indivíduos</w:t>
            </w:r>
          </w:p>
        </w:tc>
        <w:tc>
          <w:tcPr>
            <w:tcW w:w="1954" w:type="dxa"/>
            <w:tcBorders>
              <w:top w:val="single" w:sz="4" w:space="0" w:color="auto"/>
              <w:left w:val="nil"/>
              <w:bottom w:val="single" w:sz="4" w:space="0" w:color="auto"/>
              <w:right w:val="nil"/>
            </w:tcBorders>
          </w:tcPr>
          <w:p w14:paraId="13039472" w14:textId="77777777" w:rsidR="00BE57D9" w:rsidRPr="00A52B5E" w:rsidRDefault="00BE57D9" w:rsidP="00BE57D9">
            <w:pPr>
              <w:jc w:val="center"/>
              <w:rPr>
                <w:rFonts w:ascii="Times New Roman" w:eastAsiaTheme="majorEastAsia" w:hAnsi="Times New Roman" w:cs="Times New Roman"/>
                <w:i/>
                <w:iCs/>
                <w:sz w:val="22"/>
                <w:szCs w:val="22"/>
              </w:rPr>
            </w:pPr>
            <w:r w:rsidRPr="00A52B5E">
              <w:rPr>
                <w:rFonts w:ascii="Times New Roman" w:hAnsi="Times New Roman" w:cs="Times New Roman"/>
                <w:b/>
                <w:bCs/>
                <w:sz w:val="22"/>
                <w:szCs w:val="22"/>
              </w:rPr>
              <w:t>(%)</w:t>
            </w:r>
          </w:p>
        </w:tc>
      </w:tr>
      <w:tr w:rsidR="00BE57D9" w:rsidRPr="00A52B5E" w14:paraId="3C91F945" w14:textId="77777777" w:rsidTr="00941853">
        <w:trPr>
          <w:trHeight w:val="227"/>
        </w:trPr>
        <w:tc>
          <w:tcPr>
            <w:tcW w:w="2933" w:type="dxa"/>
            <w:tcBorders>
              <w:top w:val="nil"/>
              <w:left w:val="nil"/>
              <w:bottom w:val="nil"/>
              <w:right w:val="nil"/>
            </w:tcBorders>
          </w:tcPr>
          <w:p w14:paraId="6144DBA9" w14:textId="77777777" w:rsidR="00BE57D9" w:rsidRPr="00A52B5E" w:rsidRDefault="00BE57D9" w:rsidP="00BE57D9">
            <w:pPr>
              <w:spacing w:line="276" w:lineRule="auto"/>
              <w:rPr>
                <w:rFonts w:ascii="Times New Roman" w:hAnsi="Times New Roman" w:cs="Times New Roman"/>
                <w:b/>
                <w:bCs/>
                <w:sz w:val="22"/>
                <w:szCs w:val="22"/>
              </w:rPr>
            </w:pPr>
            <w:r w:rsidRPr="00A52B5E">
              <w:rPr>
                <w:rFonts w:ascii="Times New Roman" w:hAnsi="Times New Roman" w:cs="Times New Roman"/>
                <w:b/>
                <w:bCs/>
                <w:sz w:val="22"/>
                <w:szCs w:val="22"/>
              </w:rPr>
              <w:t>Sexo</w:t>
            </w:r>
          </w:p>
        </w:tc>
        <w:tc>
          <w:tcPr>
            <w:tcW w:w="1954" w:type="dxa"/>
            <w:tcBorders>
              <w:top w:val="nil"/>
              <w:left w:val="nil"/>
              <w:bottom w:val="nil"/>
              <w:right w:val="nil"/>
            </w:tcBorders>
          </w:tcPr>
          <w:p w14:paraId="29ABBD82" w14:textId="77777777" w:rsidR="00BE57D9" w:rsidRPr="00A52B5E" w:rsidRDefault="00BE57D9" w:rsidP="00BE57D9">
            <w:pPr>
              <w:jc w:val="center"/>
              <w:rPr>
                <w:rFonts w:ascii="Times New Roman" w:hAnsi="Times New Roman" w:cs="Times New Roman"/>
                <w:sz w:val="22"/>
                <w:szCs w:val="22"/>
              </w:rPr>
            </w:pPr>
          </w:p>
        </w:tc>
      </w:tr>
      <w:tr w:rsidR="00BE57D9" w:rsidRPr="00A52B5E" w14:paraId="74736CF4" w14:textId="77777777" w:rsidTr="00941853">
        <w:trPr>
          <w:trHeight w:val="205"/>
        </w:trPr>
        <w:tc>
          <w:tcPr>
            <w:tcW w:w="2933" w:type="dxa"/>
            <w:tcBorders>
              <w:top w:val="nil"/>
              <w:left w:val="nil"/>
              <w:bottom w:val="nil"/>
              <w:right w:val="nil"/>
            </w:tcBorders>
          </w:tcPr>
          <w:p w14:paraId="4714AC20"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tc>
        <w:tc>
          <w:tcPr>
            <w:tcW w:w="1954" w:type="dxa"/>
            <w:tcBorders>
              <w:top w:val="nil"/>
              <w:left w:val="nil"/>
              <w:bottom w:val="nil"/>
              <w:right w:val="nil"/>
            </w:tcBorders>
          </w:tcPr>
          <w:p w14:paraId="7F1C1C37" w14:textId="77777777" w:rsidR="00BE57D9" w:rsidRPr="00A52B5E" w:rsidRDefault="00BE57D9" w:rsidP="00BE57D9">
            <w:pPr>
              <w:jc w:val="center"/>
              <w:rPr>
                <w:rFonts w:ascii="Times New Roman" w:eastAsiaTheme="majorEastAsia" w:hAnsi="Times New Roman" w:cs="Times New Roman"/>
                <w:i/>
                <w:iCs/>
                <w:sz w:val="22"/>
                <w:szCs w:val="22"/>
              </w:rPr>
            </w:pPr>
            <w:r w:rsidRPr="00A52B5E">
              <w:rPr>
                <w:rFonts w:ascii="Times New Roman" w:hAnsi="Times New Roman" w:cs="Times New Roman"/>
                <w:sz w:val="22"/>
                <w:szCs w:val="22"/>
              </w:rPr>
              <w:t>16,4</w:t>
            </w:r>
          </w:p>
        </w:tc>
      </w:tr>
      <w:tr w:rsidR="00BE57D9" w:rsidRPr="00A52B5E" w14:paraId="7A2A7DE3" w14:textId="77777777" w:rsidTr="00941853">
        <w:trPr>
          <w:trHeight w:val="194"/>
        </w:trPr>
        <w:tc>
          <w:tcPr>
            <w:tcW w:w="2933" w:type="dxa"/>
            <w:tcBorders>
              <w:top w:val="nil"/>
              <w:left w:val="nil"/>
              <w:bottom w:val="nil"/>
              <w:right w:val="nil"/>
            </w:tcBorders>
          </w:tcPr>
          <w:p w14:paraId="0B27B9F7"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tc>
        <w:tc>
          <w:tcPr>
            <w:tcW w:w="1954" w:type="dxa"/>
            <w:tcBorders>
              <w:top w:val="nil"/>
              <w:left w:val="nil"/>
              <w:bottom w:val="nil"/>
              <w:right w:val="nil"/>
            </w:tcBorders>
          </w:tcPr>
          <w:p w14:paraId="0E15ECCF" w14:textId="77777777" w:rsidR="00BE57D9" w:rsidRPr="00A52B5E" w:rsidRDefault="00BE57D9" w:rsidP="00BE57D9">
            <w:pPr>
              <w:jc w:val="center"/>
              <w:rPr>
                <w:rFonts w:ascii="Times New Roman" w:eastAsiaTheme="majorEastAsia" w:hAnsi="Times New Roman" w:cs="Times New Roman"/>
                <w:sz w:val="22"/>
                <w:szCs w:val="22"/>
              </w:rPr>
            </w:pPr>
            <w:r w:rsidRPr="00A52B5E">
              <w:rPr>
                <w:rFonts w:ascii="Times New Roman" w:eastAsiaTheme="majorEastAsia" w:hAnsi="Times New Roman" w:cs="Times New Roman"/>
                <w:sz w:val="22"/>
                <w:szCs w:val="22"/>
              </w:rPr>
              <w:t>16,3</w:t>
            </w:r>
          </w:p>
        </w:tc>
      </w:tr>
      <w:tr w:rsidR="00BE57D9" w:rsidRPr="00A52B5E" w14:paraId="406D13CA" w14:textId="77777777" w:rsidTr="00941853">
        <w:trPr>
          <w:trHeight w:val="194"/>
        </w:trPr>
        <w:tc>
          <w:tcPr>
            <w:tcW w:w="2933" w:type="dxa"/>
            <w:tcBorders>
              <w:top w:val="nil"/>
              <w:left w:val="nil"/>
              <w:bottom w:val="nil"/>
              <w:right w:val="nil"/>
            </w:tcBorders>
          </w:tcPr>
          <w:p w14:paraId="4B2C729D" w14:textId="77777777" w:rsidR="00BE57D9" w:rsidRPr="00A52B5E" w:rsidRDefault="00BE57D9" w:rsidP="00BE57D9">
            <w:pPr>
              <w:rPr>
                <w:rFonts w:ascii="Times New Roman" w:hAnsi="Times New Roman" w:cs="Times New Roman"/>
                <w:b/>
                <w:bCs/>
                <w:sz w:val="22"/>
                <w:szCs w:val="22"/>
              </w:rPr>
            </w:pPr>
            <w:r w:rsidRPr="00A52B5E">
              <w:rPr>
                <w:rFonts w:ascii="Times New Roman" w:hAnsi="Times New Roman" w:cs="Times New Roman"/>
                <w:b/>
                <w:bCs/>
                <w:sz w:val="22"/>
                <w:szCs w:val="22"/>
              </w:rPr>
              <w:t xml:space="preserve">25 a 34 anos </w:t>
            </w:r>
          </w:p>
        </w:tc>
        <w:tc>
          <w:tcPr>
            <w:tcW w:w="1954" w:type="dxa"/>
            <w:tcBorders>
              <w:top w:val="nil"/>
              <w:left w:val="nil"/>
              <w:bottom w:val="nil"/>
              <w:right w:val="nil"/>
            </w:tcBorders>
          </w:tcPr>
          <w:p w14:paraId="0335C256" w14:textId="77777777" w:rsidR="00BE57D9" w:rsidRPr="00A52B5E" w:rsidRDefault="00BE57D9" w:rsidP="00BE57D9">
            <w:pPr>
              <w:jc w:val="center"/>
              <w:rPr>
                <w:rFonts w:ascii="Times New Roman" w:hAnsi="Times New Roman" w:cs="Times New Roman"/>
                <w:sz w:val="22"/>
                <w:szCs w:val="22"/>
              </w:rPr>
            </w:pPr>
          </w:p>
        </w:tc>
      </w:tr>
      <w:tr w:rsidR="00BE57D9" w:rsidRPr="00A52B5E" w14:paraId="3FB19FCE" w14:textId="77777777" w:rsidTr="00941853">
        <w:trPr>
          <w:trHeight w:val="205"/>
        </w:trPr>
        <w:tc>
          <w:tcPr>
            <w:tcW w:w="2933" w:type="dxa"/>
            <w:tcBorders>
              <w:top w:val="nil"/>
              <w:left w:val="nil"/>
              <w:bottom w:val="nil"/>
              <w:right w:val="nil"/>
            </w:tcBorders>
          </w:tcPr>
          <w:p w14:paraId="339D0F37"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tc>
        <w:tc>
          <w:tcPr>
            <w:tcW w:w="1954" w:type="dxa"/>
            <w:tcBorders>
              <w:top w:val="nil"/>
              <w:left w:val="nil"/>
              <w:bottom w:val="nil"/>
              <w:right w:val="nil"/>
            </w:tcBorders>
          </w:tcPr>
          <w:p w14:paraId="2B5D91DD" w14:textId="77777777" w:rsidR="00BE57D9" w:rsidRPr="00A52B5E" w:rsidRDefault="00BE57D9" w:rsidP="00BE57D9">
            <w:pPr>
              <w:jc w:val="center"/>
              <w:rPr>
                <w:rFonts w:ascii="Times New Roman" w:eastAsiaTheme="majorEastAsia" w:hAnsi="Times New Roman" w:cs="Times New Roman"/>
                <w:sz w:val="22"/>
                <w:szCs w:val="22"/>
              </w:rPr>
            </w:pPr>
            <w:r w:rsidRPr="00A52B5E">
              <w:rPr>
                <w:rFonts w:ascii="Times New Roman" w:eastAsiaTheme="majorEastAsia" w:hAnsi="Times New Roman" w:cs="Times New Roman"/>
                <w:sz w:val="22"/>
                <w:szCs w:val="22"/>
              </w:rPr>
              <w:t>18,9</w:t>
            </w:r>
          </w:p>
        </w:tc>
      </w:tr>
      <w:tr w:rsidR="00BE57D9" w:rsidRPr="00A52B5E" w14:paraId="0CDC36D5" w14:textId="77777777" w:rsidTr="00941853">
        <w:trPr>
          <w:trHeight w:val="194"/>
        </w:trPr>
        <w:tc>
          <w:tcPr>
            <w:tcW w:w="2933" w:type="dxa"/>
            <w:tcBorders>
              <w:top w:val="nil"/>
              <w:left w:val="nil"/>
              <w:bottom w:val="nil"/>
              <w:right w:val="nil"/>
            </w:tcBorders>
          </w:tcPr>
          <w:p w14:paraId="1C4C777B"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tc>
        <w:tc>
          <w:tcPr>
            <w:tcW w:w="1954" w:type="dxa"/>
            <w:tcBorders>
              <w:top w:val="nil"/>
              <w:left w:val="nil"/>
              <w:bottom w:val="nil"/>
              <w:right w:val="nil"/>
            </w:tcBorders>
          </w:tcPr>
          <w:p w14:paraId="3C9074C3" w14:textId="77777777" w:rsidR="00BE57D9" w:rsidRPr="00A52B5E" w:rsidRDefault="00BE57D9" w:rsidP="00BE57D9">
            <w:pPr>
              <w:jc w:val="center"/>
              <w:rPr>
                <w:rFonts w:ascii="Times New Roman" w:hAnsi="Times New Roman" w:cs="Times New Roman"/>
                <w:sz w:val="22"/>
                <w:szCs w:val="22"/>
              </w:rPr>
            </w:pPr>
            <w:r w:rsidRPr="00A52B5E">
              <w:rPr>
                <w:rFonts w:ascii="Times New Roman" w:hAnsi="Times New Roman" w:cs="Times New Roman"/>
                <w:sz w:val="22"/>
                <w:szCs w:val="22"/>
              </w:rPr>
              <w:t>12,2</w:t>
            </w:r>
          </w:p>
        </w:tc>
      </w:tr>
      <w:tr w:rsidR="00BE57D9" w:rsidRPr="00A52B5E" w14:paraId="6134DD7A" w14:textId="77777777" w:rsidTr="00941853">
        <w:trPr>
          <w:trHeight w:val="227"/>
        </w:trPr>
        <w:tc>
          <w:tcPr>
            <w:tcW w:w="2933" w:type="dxa"/>
            <w:tcBorders>
              <w:top w:val="nil"/>
              <w:left w:val="nil"/>
              <w:bottom w:val="nil"/>
              <w:right w:val="nil"/>
            </w:tcBorders>
          </w:tcPr>
          <w:p w14:paraId="7730429F" w14:textId="77777777" w:rsidR="00BE57D9" w:rsidRPr="00A52B5E" w:rsidRDefault="00BE57D9" w:rsidP="00BE57D9">
            <w:pPr>
              <w:spacing w:line="276" w:lineRule="auto"/>
              <w:rPr>
                <w:rFonts w:ascii="Times New Roman" w:hAnsi="Times New Roman" w:cs="Times New Roman"/>
                <w:b/>
                <w:bCs/>
                <w:sz w:val="22"/>
                <w:szCs w:val="22"/>
              </w:rPr>
            </w:pPr>
            <w:r w:rsidRPr="00A52B5E">
              <w:rPr>
                <w:rFonts w:ascii="Times New Roman" w:hAnsi="Times New Roman" w:cs="Times New Roman"/>
                <w:b/>
                <w:bCs/>
                <w:sz w:val="22"/>
                <w:szCs w:val="22"/>
              </w:rPr>
              <w:t>35 a 44 anos</w:t>
            </w:r>
          </w:p>
        </w:tc>
        <w:tc>
          <w:tcPr>
            <w:tcW w:w="1954" w:type="dxa"/>
            <w:tcBorders>
              <w:top w:val="nil"/>
              <w:left w:val="nil"/>
              <w:bottom w:val="nil"/>
              <w:right w:val="nil"/>
            </w:tcBorders>
          </w:tcPr>
          <w:p w14:paraId="1178C547" w14:textId="77777777" w:rsidR="00BE57D9" w:rsidRPr="00A52B5E" w:rsidRDefault="00BE57D9" w:rsidP="00BE57D9">
            <w:pPr>
              <w:jc w:val="center"/>
              <w:rPr>
                <w:rFonts w:ascii="Times New Roman" w:hAnsi="Times New Roman" w:cs="Times New Roman"/>
                <w:sz w:val="22"/>
                <w:szCs w:val="22"/>
              </w:rPr>
            </w:pPr>
          </w:p>
        </w:tc>
      </w:tr>
      <w:tr w:rsidR="00BE57D9" w:rsidRPr="00A52B5E" w14:paraId="604A065B" w14:textId="77777777" w:rsidTr="00941853">
        <w:trPr>
          <w:trHeight w:val="205"/>
        </w:trPr>
        <w:tc>
          <w:tcPr>
            <w:tcW w:w="2933" w:type="dxa"/>
            <w:tcBorders>
              <w:top w:val="nil"/>
              <w:left w:val="nil"/>
              <w:bottom w:val="nil"/>
              <w:right w:val="nil"/>
            </w:tcBorders>
          </w:tcPr>
          <w:p w14:paraId="4421835C"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p w14:paraId="54B94BCB"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tc>
        <w:tc>
          <w:tcPr>
            <w:tcW w:w="1954" w:type="dxa"/>
            <w:tcBorders>
              <w:top w:val="nil"/>
              <w:left w:val="nil"/>
              <w:bottom w:val="nil"/>
              <w:right w:val="nil"/>
            </w:tcBorders>
          </w:tcPr>
          <w:p w14:paraId="639D8FBF" w14:textId="77777777" w:rsidR="00BE57D9" w:rsidRPr="00A52B5E" w:rsidRDefault="00BE57D9" w:rsidP="00BE57D9">
            <w:pPr>
              <w:jc w:val="center"/>
              <w:rPr>
                <w:rFonts w:ascii="Times New Roman" w:hAnsi="Times New Roman" w:cs="Times New Roman"/>
                <w:sz w:val="22"/>
                <w:szCs w:val="22"/>
              </w:rPr>
            </w:pPr>
            <w:r w:rsidRPr="00A52B5E">
              <w:rPr>
                <w:rFonts w:ascii="Times New Roman" w:hAnsi="Times New Roman" w:cs="Times New Roman"/>
                <w:sz w:val="22"/>
                <w:szCs w:val="22"/>
              </w:rPr>
              <w:t>16,3</w:t>
            </w:r>
          </w:p>
          <w:p w14:paraId="2EA08CE5" w14:textId="77777777" w:rsidR="00BE57D9" w:rsidRPr="00A52B5E" w:rsidRDefault="00BE57D9" w:rsidP="00BE57D9">
            <w:pPr>
              <w:jc w:val="center"/>
              <w:rPr>
                <w:rFonts w:ascii="Times New Roman" w:hAnsi="Times New Roman" w:cs="Times New Roman"/>
                <w:sz w:val="22"/>
                <w:szCs w:val="22"/>
              </w:rPr>
            </w:pPr>
            <w:r w:rsidRPr="00A52B5E">
              <w:rPr>
                <w:rFonts w:ascii="Times New Roman" w:hAnsi="Times New Roman" w:cs="Times New Roman"/>
                <w:sz w:val="22"/>
                <w:szCs w:val="22"/>
              </w:rPr>
              <w:t>20,1</w:t>
            </w:r>
          </w:p>
        </w:tc>
      </w:tr>
      <w:tr w:rsidR="00BE57D9" w:rsidRPr="00A52B5E" w14:paraId="1B06CCEF" w14:textId="77777777" w:rsidTr="00941853">
        <w:trPr>
          <w:trHeight w:val="194"/>
        </w:trPr>
        <w:tc>
          <w:tcPr>
            <w:tcW w:w="2933" w:type="dxa"/>
            <w:tcBorders>
              <w:top w:val="nil"/>
              <w:left w:val="nil"/>
              <w:bottom w:val="nil"/>
              <w:right w:val="nil"/>
            </w:tcBorders>
          </w:tcPr>
          <w:p w14:paraId="12E2B0BF"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b/>
                <w:bCs/>
                <w:sz w:val="22"/>
                <w:szCs w:val="22"/>
              </w:rPr>
              <w:t>45 a 54 anos</w:t>
            </w:r>
          </w:p>
        </w:tc>
        <w:tc>
          <w:tcPr>
            <w:tcW w:w="1954" w:type="dxa"/>
            <w:tcBorders>
              <w:top w:val="nil"/>
              <w:left w:val="nil"/>
              <w:bottom w:val="nil"/>
              <w:right w:val="nil"/>
            </w:tcBorders>
          </w:tcPr>
          <w:p w14:paraId="1DA34124" w14:textId="77777777" w:rsidR="00BE57D9" w:rsidRPr="00A52B5E" w:rsidRDefault="00BE57D9" w:rsidP="00BE57D9">
            <w:pPr>
              <w:jc w:val="center"/>
              <w:rPr>
                <w:rFonts w:ascii="Times New Roman" w:hAnsi="Times New Roman" w:cs="Times New Roman"/>
                <w:sz w:val="22"/>
                <w:szCs w:val="22"/>
              </w:rPr>
            </w:pPr>
          </w:p>
        </w:tc>
      </w:tr>
      <w:tr w:rsidR="00BE57D9" w:rsidRPr="00A52B5E" w14:paraId="6C3176B6" w14:textId="77777777" w:rsidTr="00941853">
        <w:trPr>
          <w:trHeight w:val="194"/>
        </w:trPr>
        <w:tc>
          <w:tcPr>
            <w:tcW w:w="2933" w:type="dxa"/>
            <w:tcBorders>
              <w:top w:val="nil"/>
              <w:left w:val="nil"/>
              <w:bottom w:val="nil"/>
              <w:right w:val="nil"/>
            </w:tcBorders>
          </w:tcPr>
          <w:p w14:paraId="6EF0B1E8"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tc>
        <w:tc>
          <w:tcPr>
            <w:tcW w:w="1954" w:type="dxa"/>
            <w:tcBorders>
              <w:top w:val="nil"/>
              <w:left w:val="nil"/>
              <w:bottom w:val="nil"/>
              <w:right w:val="nil"/>
            </w:tcBorders>
          </w:tcPr>
          <w:p w14:paraId="22E5FD41" w14:textId="77777777" w:rsidR="00BE57D9" w:rsidRPr="00A52B5E" w:rsidRDefault="00BE57D9" w:rsidP="00BE57D9">
            <w:pPr>
              <w:jc w:val="center"/>
              <w:rPr>
                <w:rFonts w:ascii="Times New Roman" w:eastAsiaTheme="majorEastAsia" w:hAnsi="Times New Roman" w:cs="Times New Roman"/>
                <w:i/>
                <w:iCs/>
                <w:sz w:val="22"/>
                <w:szCs w:val="22"/>
              </w:rPr>
            </w:pPr>
            <w:r w:rsidRPr="00A52B5E">
              <w:rPr>
                <w:rFonts w:ascii="Times New Roman" w:hAnsi="Times New Roman" w:cs="Times New Roman"/>
                <w:sz w:val="22"/>
                <w:szCs w:val="22"/>
              </w:rPr>
              <w:t>24,1</w:t>
            </w:r>
          </w:p>
        </w:tc>
      </w:tr>
      <w:tr w:rsidR="00BE57D9" w:rsidRPr="00A52B5E" w14:paraId="425AA382" w14:textId="77777777" w:rsidTr="00941853">
        <w:trPr>
          <w:trHeight w:val="199"/>
        </w:trPr>
        <w:tc>
          <w:tcPr>
            <w:tcW w:w="2933" w:type="dxa"/>
            <w:tcBorders>
              <w:top w:val="nil"/>
              <w:left w:val="nil"/>
              <w:bottom w:val="nil"/>
              <w:right w:val="nil"/>
            </w:tcBorders>
          </w:tcPr>
          <w:p w14:paraId="40A404A0"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tc>
        <w:tc>
          <w:tcPr>
            <w:tcW w:w="1954" w:type="dxa"/>
            <w:tcBorders>
              <w:top w:val="nil"/>
              <w:left w:val="nil"/>
              <w:bottom w:val="nil"/>
              <w:right w:val="nil"/>
            </w:tcBorders>
          </w:tcPr>
          <w:p w14:paraId="6F52462A" w14:textId="77777777" w:rsidR="00BE57D9" w:rsidRPr="00A52B5E" w:rsidRDefault="00BE57D9" w:rsidP="00BE57D9">
            <w:pPr>
              <w:jc w:val="center"/>
              <w:rPr>
                <w:rFonts w:ascii="Times New Roman" w:eastAsiaTheme="majorEastAsia" w:hAnsi="Times New Roman" w:cs="Times New Roman"/>
                <w:i/>
                <w:iCs/>
                <w:sz w:val="22"/>
                <w:szCs w:val="22"/>
              </w:rPr>
            </w:pPr>
            <w:r w:rsidRPr="00A52B5E">
              <w:rPr>
                <w:rFonts w:ascii="Times New Roman" w:hAnsi="Times New Roman" w:cs="Times New Roman"/>
                <w:sz w:val="22"/>
                <w:szCs w:val="22"/>
              </w:rPr>
              <w:t>23,8</w:t>
            </w:r>
          </w:p>
        </w:tc>
      </w:tr>
      <w:tr w:rsidR="00BE57D9" w:rsidRPr="00A52B5E" w14:paraId="7D4E1346" w14:textId="77777777" w:rsidTr="00941853">
        <w:trPr>
          <w:trHeight w:val="194"/>
        </w:trPr>
        <w:tc>
          <w:tcPr>
            <w:tcW w:w="2933" w:type="dxa"/>
            <w:tcBorders>
              <w:top w:val="nil"/>
              <w:left w:val="nil"/>
              <w:bottom w:val="nil"/>
              <w:right w:val="nil"/>
            </w:tcBorders>
          </w:tcPr>
          <w:p w14:paraId="2A3F7B95" w14:textId="77777777" w:rsidR="00BE57D9" w:rsidRPr="00A52B5E" w:rsidRDefault="00BE57D9" w:rsidP="00BE57D9">
            <w:pPr>
              <w:rPr>
                <w:rFonts w:ascii="Times New Roman" w:hAnsi="Times New Roman" w:cs="Times New Roman"/>
                <w:b/>
                <w:bCs/>
                <w:sz w:val="22"/>
                <w:szCs w:val="22"/>
              </w:rPr>
            </w:pPr>
            <w:r w:rsidRPr="00A52B5E">
              <w:rPr>
                <w:rFonts w:ascii="Times New Roman" w:hAnsi="Times New Roman" w:cs="Times New Roman"/>
                <w:b/>
                <w:bCs/>
                <w:sz w:val="22"/>
                <w:szCs w:val="22"/>
              </w:rPr>
              <w:t>55 a 64 anos</w:t>
            </w:r>
          </w:p>
        </w:tc>
        <w:tc>
          <w:tcPr>
            <w:tcW w:w="1954" w:type="dxa"/>
            <w:tcBorders>
              <w:top w:val="nil"/>
              <w:left w:val="nil"/>
              <w:bottom w:val="nil"/>
              <w:right w:val="nil"/>
            </w:tcBorders>
          </w:tcPr>
          <w:p w14:paraId="6074D64C" w14:textId="77777777" w:rsidR="00BE57D9" w:rsidRPr="00A52B5E" w:rsidRDefault="00BE57D9" w:rsidP="00BE57D9">
            <w:pPr>
              <w:jc w:val="center"/>
              <w:rPr>
                <w:rFonts w:ascii="Times New Roman" w:hAnsi="Times New Roman" w:cs="Times New Roman"/>
                <w:sz w:val="22"/>
                <w:szCs w:val="22"/>
              </w:rPr>
            </w:pPr>
          </w:p>
        </w:tc>
      </w:tr>
      <w:tr w:rsidR="00BE57D9" w:rsidRPr="00A52B5E" w14:paraId="4FD08238" w14:textId="77777777" w:rsidTr="00941853">
        <w:trPr>
          <w:trHeight w:val="57"/>
        </w:trPr>
        <w:tc>
          <w:tcPr>
            <w:tcW w:w="2933" w:type="dxa"/>
            <w:tcBorders>
              <w:top w:val="nil"/>
              <w:left w:val="nil"/>
              <w:bottom w:val="nil"/>
              <w:right w:val="nil"/>
            </w:tcBorders>
          </w:tcPr>
          <w:p w14:paraId="37465353"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p w14:paraId="1FF76A66"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p w14:paraId="71B99D53" w14:textId="77777777" w:rsidR="00BE57D9" w:rsidRPr="00A52B5E" w:rsidRDefault="00BE57D9" w:rsidP="00BE57D9">
            <w:pPr>
              <w:rPr>
                <w:rFonts w:ascii="Times New Roman" w:hAnsi="Times New Roman" w:cs="Times New Roman"/>
                <w:b/>
                <w:bCs/>
                <w:sz w:val="22"/>
                <w:szCs w:val="22"/>
              </w:rPr>
            </w:pPr>
            <w:r w:rsidRPr="00A52B5E">
              <w:rPr>
                <w:rFonts w:ascii="Times New Roman" w:hAnsi="Times New Roman" w:cs="Times New Roman"/>
                <w:b/>
                <w:bCs/>
                <w:sz w:val="22"/>
                <w:szCs w:val="22"/>
              </w:rPr>
              <w:t>65 anos e mais</w:t>
            </w:r>
          </w:p>
          <w:p w14:paraId="78D563EC"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Masculino</w:t>
            </w:r>
          </w:p>
          <w:p w14:paraId="2D674ECB" w14:textId="77777777" w:rsidR="00BE57D9" w:rsidRPr="00A52B5E" w:rsidRDefault="00BE57D9" w:rsidP="00BE57D9">
            <w:pPr>
              <w:rPr>
                <w:rFonts w:ascii="Times New Roman" w:hAnsi="Times New Roman" w:cs="Times New Roman"/>
                <w:sz w:val="22"/>
                <w:szCs w:val="22"/>
              </w:rPr>
            </w:pPr>
            <w:r w:rsidRPr="00A52B5E">
              <w:rPr>
                <w:rFonts w:ascii="Times New Roman" w:hAnsi="Times New Roman" w:cs="Times New Roman"/>
                <w:sz w:val="22"/>
                <w:szCs w:val="22"/>
              </w:rPr>
              <w:t>Feminino</w:t>
            </w:r>
          </w:p>
        </w:tc>
        <w:tc>
          <w:tcPr>
            <w:tcW w:w="1954" w:type="dxa"/>
            <w:tcBorders>
              <w:top w:val="nil"/>
              <w:left w:val="nil"/>
              <w:bottom w:val="nil"/>
              <w:right w:val="nil"/>
            </w:tcBorders>
          </w:tcPr>
          <w:p w14:paraId="6F469789" w14:textId="77777777" w:rsidR="00BE57D9" w:rsidRPr="00A52B5E" w:rsidRDefault="00BE57D9" w:rsidP="00BE57D9">
            <w:pPr>
              <w:jc w:val="center"/>
              <w:rPr>
                <w:rFonts w:ascii="Times New Roman" w:hAnsi="Times New Roman" w:cs="Times New Roman"/>
                <w:sz w:val="22"/>
                <w:szCs w:val="22"/>
              </w:rPr>
            </w:pPr>
            <w:r w:rsidRPr="00A52B5E">
              <w:rPr>
                <w:rFonts w:ascii="Times New Roman" w:hAnsi="Times New Roman" w:cs="Times New Roman"/>
                <w:sz w:val="22"/>
                <w:szCs w:val="22"/>
              </w:rPr>
              <w:t>21,4</w:t>
            </w:r>
          </w:p>
          <w:p w14:paraId="02306227" w14:textId="77777777" w:rsidR="00BE57D9" w:rsidRPr="00A52B5E" w:rsidRDefault="00BE57D9" w:rsidP="00BE57D9">
            <w:pPr>
              <w:jc w:val="center"/>
              <w:rPr>
                <w:rFonts w:ascii="Times New Roman" w:eastAsiaTheme="majorEastAsia" w:hAnsi="Times New Roman" w:cs="Times New Roman"/>
                <w:sz w:val="22"/>
                <w:szCs w:val="22"/>
              </w:rPr>
            </w:pPr>
            <w:r w:rsidRPr="00A52B5E">
              <w:rPr>
                <w:rFonts w:ascii="Times New Roman" w:eastAsiaTheme="majorEastAsia" w:hAnsi="Times New Roman" w:cs="Times New Roman"/>
                <w:sz w:val="22"/>
                <w:szCs w:val="22"/>
              </w:rPr>
              <w:t>26,1</w:t>
            </w:r>
          </w:p>
          <w:p w14:paraId="15321D8E" w14:textId="77777777" w:rsidR="00BE57D9" w:rsidRPr="00A52B5E" w:rsidRDefault="00BE57D9" w:rsidP="00BE57D9">
            <w:pPr>
              <w:jc w:val="center"/>
              <w:rPr>
                <w:rFonts w:ascii="Times New Roman" w:eastAsiaTheme="majorEastAsia" w:hAnsi="Times New Roman" w:cs="Times New Roman"/>
                <w:sz w:val="22"/>
                <w:szCs w:val="22"/>
              </w:rPr>
            </w:pPr>
          </w:p>
          <w:p w14:paraId="3EA48A95" w14:textId="77777777" w:rsidR="00BE57D9" w:rsidRPr="00A52B5E" w:rsidRDefault="00BE57D9" w:rsidP="00BE57D9">
            <w:pPr>
              <w:jc w:val="center"/>
              <w:rPr>
                <w:rFonts w:ascii="Times New Roman" w:eastAsiaTheme="majorEastAsia" w:hAnsi="Times New Roman" w:cs="Times New Roman"/>
                <w:sz w:val="22"/>
                <w:szCs w:val="22"/>
              </w:rPr>
            </w:pPr>
            <w:r w:rsidRPr="00A52B5E">
              <w:rPr>
                <w:rFonts w:ascii="Times New Roman" w:eastAsiaTheme="majorEastAsia" w:hAnsi="Times New Roman" w:cs="Times New Roman"/>
                <w:sz w:val="22"/>
                <w:szCs w:val="22"/>
              </w:rPr>
              <w:t>16,7</w:t>
            </w:r>
          </w:p>
          <w:p w14:paraId="4965573C" w14:textId="77777777" w:rsidR="00BE57D9" w:rsidRPr="00A52B5E" w:rsidRDefault="00BE57D9" w:rsidP="00BE57D9">
            <w:pPr>
              <w:jc w:val="center"/>
              <w:rPr>
                <w:rFonts w:ascii="Times New Roman" w:eastAsiaTheme="majorEastAsia" w:hAnsi="Times New Roman" w:cs="Times New Roman"/>
                <w:sz w:val="22"/>
                <w:szCs w:val="22"/>
              </w:rPr>
            </w:pPr>
            <w:r w:rsidRPr="00A52B5E">
              <w:rPr>
                <w:rFonts w:ascii="Times New Roman" w:eastAsiaTheme="majorEastAsia" w:hAnsi="Times New Roman" w:cs="Times New Roman"/>
                <w:sz w:val="22"/>
                <w:szCs w:val="22"/>
              </w:rPr>
              <w:t>17,5</w:t>
            </w:r>
          </w:p>
        </w:tc>
      </w:tr>
      <w:tr w:rsidR="00BE57D9" w:rsidRPr="00A52B5E" w14:paraId="0D28FAF6" w14:textId="77777777" w:rsidTr="00941853">
        <w:trPr>
          <w:trHeight w:val="194"/>
        </w:trPr>
        <w:tc>
          <w:tcPr>
            <w:tcW w:w="2933" w:type="dxa"/>
            <w:tcBorders>
              <w:top w:val="single" w:sz="4" w:space="0" w:color="auto"/>
              <w:left w:val="nil"/>
              <w:bottom w:val="single" w:sz="4" w:space="0" w:color="auto"/>
              <w:right w:val="nil"/>
            </w:tcBorders>
          </w:tcPr>
          <w:p w14:paraId="0D208DFE" w14:textId="77777777" w:rsidR="00BE57D9" w:rsidRPr="00A52B5E" w:rsidRDefault="00BE57D9" w:rsidP="00BE57D9">
            <w:pPr>
              <w:jc w:val="both"/>
              <w:rPr>
                <w:rFonts w:ascii="Times New Roman" w:hAnsi="Times New Roman" w:cs="Times New Roman"/>
                <w:b/>
                <w:bCs/>
                <w:sz w:val="22"/>
                <w:szCs w:val="22"/>
              </w:rPr>
            </w:pPr>
            <w:r w:rsidRPr="00A52B5E">
              <w:rPr>
                <w:rFonts w:ascii="Times New Roman" w:hAnsi="Times New Roman" w:cs="Times New Roman"/>
                <w:b/>
                <w:bCs/>
                <w:sz w:val="22"/>
                <w:szCs w:val="22"/>
              </w:rPr>
              <w:t>Prevalência geral</w:t>
            </w:r>
          </w:p>
        </w:tc>
        <w:tc>
          <w:tcPr>
            <w:tcW w:w="1954" w:type="dxa"/>
            <w:tcBorders>
              <w:top w:val="single" w:sz="4" w:space="0" w:color="auto"/>
              <w:left w:val="nil"/>
              <w:bottom w:val="single" w:sz="4" w:space="0" w:color="auto"/>
              <w:right w:val="nil"/>
            </w:tcBorders>
          </w:tcPr>
          <w:p w14:paraId="34F3EF1D" w14:textId="77777777" w:rsidR="00BE57D9" w:rsidRPr="00A52B5E" w:rsidRDefault="00BE57D9" w:rsidP="00BE57D9">
            <w:pPr>
              <w:jc w:val="center"/>
              <w:rPr>
                <w:rFonts w:ascii="Times New Roman" w:eastAsiaTheme="majorEastAsia" w:hAnsi="Times New Roman" w:cs="Times New Roman"/>
                <w:i/>
                <w:iCs/>
                <w:sz w:val="22"/>
                <w:szCs w:val="22"/>
              </w:rPr>
            </w:pPr>
            <w:r w:rsidRPr="00A52B5E">
              <w:rPr>
                <w:rFonts w:ascii="Times New Roman" w:hAnsi="Times New Roman" w:cs="Times New Roman"/>
                <w:sz w:val="22"/>
                <w:szCs w:val="22"/>
              </w:rPr>
              <w:t>16,4%</w:t>
            </w:r>
          </w:p>
        </w:tc>
      </w:tr>
    </w:tbl>
    <w:p w14:paraId="26FF9489" w14:textId="35F20AEF" w:rsidR="0052541E" w:rsidRDefault="0052541E" w:rsidP="009B5008">
      <w:pPr>
        <w:pStyle w:val="PargrafodaLista"/>
        <w:rPr>
          <w:rFonts w:ascii="Times New Roman" w:hAnsi="Times New Roman" w:cs="Times New Roman"/>
          <w:b/>
          <w:color w:val="000000"/>
        </w:rPr>
      </w:pPr>
    </w:p>
    <w:p w14:paraId="219A5163" w14:textId="3830FF48" w:rsidR="0052541E" w:rsidRDefault="0052541E" w:rsidP="009B5008">
      <w:pPr>
        <w:pStyle w:val="PargrafodaLista"/>
        <w:rPr>
          <w:rFonts w:ascii="Times New Roman" w:hAnsi="Times New Roman" w:cs="Times New Roman"/>
          <w:b/>
          <w:color w:val="000000"/>
        </w:rPr>
      </w:pPr>
    </w:p>
    <w:p w14:paraId="4ABE4F76" w14:textId="01FB47B3" w:rsidR="0052541E" w:rsidRDefault="0052541E" w:rsidP="009B5008">
      <w:pPr>
        <w:pStyle w:val="PargrafodaLista"/>
        <w:rPr>
          <w:rFonts w:ascii="Times New Roman" w:hAnsi="Times New Roman" w:cs="Times New Roman"/>
          <w:b/>
          <w:color w:val="000000"/>
        </w:rPr>
      </w:pPr>
    </w:p>
    <w:p w14:paraId="1FFA4BBC" w14:textId="60383D7E" w:rsidR="0052541E" w:rsidRDefault="0052541E" w:rsidP="009B5008">
      <w:pPr>
        <w:pStyle w:val="PargrafodaLista"/>
        <w:rPr>
          <w:rFonts w:ascii="Times New Roman" w:hAnsi="Times New Roman" w:cs="Times New Roman"/>
          <w:b/>
          <w:color w:val="000000"/>
        </w:rPr>
      </w:pPr>
    </w:p>
    <w:p w14:paraId="689C0594" w14:textId="448EF3CE" w:rsidR="0052541E" w:rsidRDefault="0052541E" w:rsidP="009B5008">
      <w:pPr>
        <w:pStyle w:val="PargrafodaLista"/>
        <w:rPr>
          <w:rFonts w:ascii="Times New Roman" w:hAnsi="Times New Roman" w:cs="Times New Roman"/>
          <w:b/>
          <w:color w:val="000000"/>
        </w:rPr>
      </w:pPr>
    </w:p>
    <w:p w14:paraId="3B2BF509" w14:textId="206433E3" w:rsidR="0052541E" w:rsidRDefault="0052541E" w:rsidP="009B5008">
      <w:pPr>
        <w:pStyle w:val="PargrafodaLista"/>
        <w:rPr>
          <w:rFonts w:ascii="Times New Roman" w:hAnsi="Times New Roman" w:cs="Times New Roman"/>
          <w:b/>
          <w:color w:val="000000"/>
        </w:rPr>
      </w:pPr>
    </w:p>
    <w:p w14:paraId="3F27483B" w14:textId="7D27926E" w:rsidR="0052541E" w:rsidRDefault="0052541E" w:rsidP="009B5008">
      <w:pPr>
        <w:pStyle w:val="PargrafodaLista"/>
        <w:rPr>
          <w:rFonts w:ascii="Times New Roman" w:hAnsi="Times New Roman" w:cs="Times New Roman"/>
          <w:b/>
          <w:color w:val="000000"/>
        </w:rPr>
      </w:pPr>
    </w:p>
    <w:p w14:paraId="7229917A" w14:textId="3FBED78D" w:rsidR="00C11143" w:rsidRPr="00C11143" w:rsidRDefault="00C11143" w:rsidP="00C11143"/>
    <w:p w14:paraId="17601B29" w14:textId="5CFEACB0" w:rsidR="00C11143" w:rsidRPr="00C11143" w:rsidRDefault="00C11143" w:rsidP="00C11143"/>
    <w:p w14:paraId="3133D001" w14:textId="2BBF77B4" w:rsidR="00C11143" w:rsidRPr="00C11143" w:rsidRDefault="00C11143" w:rsidP="00C11143"/>
    <w:p w14:paraId="6B5FF6DA" w14:textId="5B8DE774" w:rsidR="00C11143" w:rsidRPr="00C11143" w:rsidRDefault="00C11143" w:rsidP="00C11143"/>
    <w:p w14:paraId="6DF53A75" w14:textId="73D09B3A" w:rsidR="00C11143" w:rsidRPr="00C11143" w:rsidRDefault="00C11143" w:rsidP="00C11143"/>
    <w:p w14:paraId="24E002AC" w14:textId="40D34B0A" w:rsidR="00C11143" w:rsidRPr="00C11143" w:rsidRDefault="00C11143" w:rsidP="00C11143"/>
    <w:p w14:paraId="04F28E36" w14:textId="68465D58" w:rsidR="00C11143" w:rsidRPr="00C11143" w:rsidRDefault="00C11143" w:rsidP="00C11143"/>
    <w:p w14:paraId="6E77EDDB" w14:textId="09ECD230" w:rsidR="00C11143" w:rsidRPr="00C11143" w:rsidRDefault="00C11143" w:rsidP="00C11143"/>
    <w:p w14:paraId="5D483701" w14:textId="36730AB7" w:rsidR="00C11143" w:rsidRPr="00C11143" w:rsidRDefault="00C11143" w:rsidP="00C11143"/>
    <w:p w14:paraId="766ED0CA" w14:textId="144CCC12" w:rsidR="00C11143" w:rsidRDefault="00C11143" w:rsidP="00C11143">
      <w:pPr>
        <w:rPr>
          <w:rFonts w:ascii="Times New Roman" w:hAnsi="Times New Roman" w:cs="Times New Roman"/>
          <w:b/>
          <w:color w:val="000000"/>
        </w:rPr>
      </w:pPr>
    </w:p>
    <w:p w14:paraId="613D9D96" w14:textId="13D37589" w:rsidR="00C11143" w:rsidRDefault="00C11143" w:rsidP="00C11143"/>
    <w:p w14:paraId="655640DB" w14:textId="77777777" w:rsidR="00BE57D9" w:rsidRDefault="00BE57D9" w:rsidP="00941853">
      <w:pPr>
        <w:spacing w:line="360" w:lineRule="auto"/>
        <w:jc w:val="both"/>
      </w:pPr>
    </w:p>
    <w:p w14:paraId="1A9E0DA5" w14:textId="695213C1" w:rsidR="00283F71" w:rsidRPr="00A52B5E" w:rsidRDefault="00C11143" w:rsidP="00A52B5E">
      <w:pPr>
        <w:spacing w:line="360" w:lineRule="auto"/>
        <w:ind w:firstLine="709"/>
        <w:jc w:val="both"/>
        <w:rPr>
          <w:rFonts w:ascii="Times New Roman" w:hAnsi="Times New Roman" w:cs="Times New Roman"/>
        </w:rPr>
      </w:pPr>
      <w:r w:rsidRPr="00A52B5E">
        <w:rPr>
          <w:rFonts w:ascii="Times New Roman" w:hAnsi="Times New Roman" w:cs="Times New Roman"/>
        </w:rPr>
        <w:t>Os resultados aqui apresentados são preocupantes, visto que em algumas faixas etárias a obesidade atingi</w:t>
      </w:r>
      <w:r w:rsidR="004F4E74" w:rsidRPr="00A52B5E">
        <w:rPr>
          <w:rFonts w:ascii="Times New Roman" w:hAnsi="Times New Roman" w:cs="Times New Roman"/>
        </w:rPr>
        <w:t>u</w:t>
      </w:r>
      <w:r w:rsidRPr="00A52B5E">
        <w:rPr>
          <w:rFonts w:ascii="Times New Roman" w:hAnsi="Times New Roman" w:cs="Times New Roman"/>
        </w:rPr>
        <w:t xml:space="preserve"> mais de 1/5 da população.</w:t>
      </w:r>
      <w:r w:rsidR="002C2E71" w:rsidRPr="00A52B5E">
        <w:rPr>
          <w:rFonts w:ascii="Times New Roman" w:hAnsi="Times New Roman" w:cs="Times New Roman"/>
        </w:rPr>
        <w:t xml:space="preserve"> A obesidade deve ser vista como uma doença grave, tendo em vista que ela é responsável por piorar a qualidade de vida do indivíduo</w:t>
      </w:r>
      <w:r w:rsidR="00321317" w:rsidRPr="00A52B5E">
        <w:rPr>
          <w:rFonts w:ascii="Times New Roman" w:hAnsi="Times New Roman" w:cs="Times New Roman"/>
        </w:rPr>
        <w:t>, sendo</w:t>
      </w:r>
      <w:r w:rsidR="002C2E71" w:rsidRPr="00A52B5E">
        <w:rPr>
          <w:rFonts w:ascii="Times New Roman" w:hAnsi="Times New Roman" w:cs="Times New Roman"/>
        </w:rPr>
        <w:t xml:space="preserve"> fator de risco p</w:t>
      </w:r>
      <w:r w:rsidR="00A52B5E" w:rsidRPr="00A52B5E">
        <w:rPr>
          <w:rFonts w:ascii="Times New Roman" w:hAnsi="Times New Roman" w:cs="Times New Roman"/>
        </w:rPr>
        <w:t>a</w:t>
      </w:r>
      <w:r w:rsidR="002C2E71" w:rsidRPr="00A52B5E">
        <w:rPr>
          <w:rFonts w:ascii="Times New Roman" w:hAnsi="Times New Roman" w:cs="Times New Roman"/>
        </w:rPr>
        <w:t xml:space="preserve">ra diversas doenças crônicas, incluindo diabetes, hipertensão, doenças cardiovasculares e câncer </w:t>
      </w:r>
      <w:r w:rsidR="002C2E71" w:rsidRPr="00A52B5E">
        <w:rPr>
          <w:rFonts w:ascii="Times New Roman" w:hAnsi="Times New Roman" w:cs="Times New Roman"/>
        </w:rPr>
        <w:fldChar w:fldCharType="begin" w:fldLock="1"/>
      </w:r>
      <w:r w:rsidR="0053722F">
        <w:rPr>
          <w:rFonts w:ascii="Times New Roman" w:hAnsi="Times New Roman" w:cs="Times New Roman"/>
        </w:rPr>
        <w:instrText>ADDIN CSL_CITATION {"citationItems":[{"id":"ITEM-1","itemData":{"DOI":"10.1186/1471-2458-14-143","ISSN":"14712458","abstract":"Background: Overweight and obesity prevalence has risen dramatically in recent decades. While it is known that overweight and obesity is associated with a wide range of chronic diseases, the cumulative burden of chronic disease in the population associated with overweight and obesity is not well quantified. The aims of this paper were to examine the associations between BMI and chronic disease prevalence; to calculate Population Attributable Fractions (PAFs) associated with overweight and obesity; and to estimate the impact of a one unit reduction in BMI on the population prevalence of chronic disease. Methods. A cross-sectional analysis of 10,364 adults aged ≥18 years from the Republic of Ireland National Survey of Lifestyle, Attitudes and Nutrition (SLÁN 2007) was performed. Using binary regression, we examined the relationship between BMI and the selected chronic diseases. In further analyses, we calculated PAFs of selected chronic diseases attributable to overweight and obesity and we assessed the impact of a one unit reduction in BMI on the overall burden of chronic disease. Results: Overweight and obesity prevalence was higher in men (43.0% and 16.1%) compared to women (29.2% and 13.4%), respectively. The most prevalent chronic conditions were lower back pain, hypertension, and raised cholesterol. Prevalence of chronic disease generally increased with increasing BMI. Compared to normal weight persons, the strongest associations were found in obese women for diabetes (RR 3.9, 95% CI 2.5-6.3), followed by hypertension (RR 2.9, 95% CI 2.3-3.6); and in obese men for hypertension (RR 2.1, 95% CI 1.6-2.7), followed by osteoarthritis (RR 2.0, 95% CI 1.2-3.2). Calculated PAFs indicated that a large proportion of chronic disease is attributable to increased BMI, most noticeably for diabetes in women (42%) and for hypertension in men (30%). Overall, a one unit decrease in BMI results in 26 and 28 fewer cases of chronic disease per 1,000 men and women, respectively. Conclusions: Overweight and obesity are major contributors to the burden of chronic disease in the population. The achievement of a relatively modest reduction in average BMI in the population has the potential to make a significant impact on the burden of chronic disease. © 2014 Kearns et al.; licensee BioMed Central Ltd.","author":[{"dropping-particle":"","family":"Kearns","given":"Karen","non-dropping-particle":"","parse-names":false,"suffix":""},{"dropping-particle":"","family":"Dee","given":"Anne","non-dropping-particle":"","parse-names":false,"suffix":""},{"dropping-particle":"","family":"Fitzgerald","given":"Anthony P.","non-dropping-particle":"","parse-names":false,"suffix":""},{"dropping-particle":"","family":"Doherty","given":"Edel","non-dropping-particle":"","parse-names":false,"suffix":""},{"dropping-particle":"","family":"Perry","given":"Ivan J.","non-dropping-particle":"","parse-names":false,"suffix":""}],"container-title":"BMC Public Health","id":"ITEM-1","issue":"1","issued":{"date-parts":[["2014","2","10"]]},"page":"143","publisher":"BioMed Central","title":"Chronic disease burden associated with overweight and obesity in Ireland: The effects of a small BMI reduction at population level","type":"article-journal","volume":"14"},"uris":["http://www.mendeley.com/documents/?uuid=e3e12977-73e1-3653-8cf2-90224446dd93"]},{"id":"ITEM-2","itemData":{"DOI":"10.1353/hpu.2011.0166","ISSN":"15486869","abstract":"Obesity is among the leading causes of elevated cardiovascular disease (CVD) mortality and morbidity. In the present study, the associations between the increase in body mass index (BMI) and the increase rates of CVD and high blood pressure (HBP) in the states of Mississippi, Alabama, Louisiana, Tennessee, and Colorado are examined using regression analysis and by means of neural network models for obesity and HBP. Data from Behavioral Risk Factor Surveillance System were obtained and analyzed for obesity rates, percent of myocardial infarction, stroke, and HBP from 2005-2009. Results of this study showed a low association between obesity and myocardial infarction rates (R 2=0.067); a moderate association with stroke rates (R 2=0.462); and a strong association with HBP rates (R 2=0.811). The highest rates of obesity, CVD, and HBP were found in Mississippi, while Colorado had the lowest rates. Maintaining healthy weight helps reduce the risks of developing CVD. © Meharry Medical College.","author":[{"dropping-particle":"","family":"Akil","given":"Luma","non-dropping-particle":"","parse-names":false,"suffix":""},{"dropping-particle":"","family":"Anwar Ahmad","given":"H.","non-dropping-particle":"","parse-names":false,"suffix":""}],"container-title":"Journal of Health Care for the Poor and Underserved","id":"ITEM-2","issue":"4 SUPPL.","issued":{"date-parts":[["2011"]]},"page":"61-72","publisher":"Johns Hopkins University Press","title":"Relationships between obesity and cardiovascular diseases in four southern states and Colorado","type":"article-journal","volume":"22"},"uris":["http://www.mendeley.com/documents/?uuid=b31daa4e-3180-398a-9bed-1538e08cf64f"]},{"id":"ITEM-3","itemData":{"DOI":"10.1155/2013/291546","abstract":"The number of cancer cases caused by being obese is estimated to be 20% with the increased risk of malignancies being influenced by diet, weight change, and body fat distribution together with physical activity. Reports from the International Agency for Research into Cancer and the World Cancer Research Fund (WCRF) have shown that the strongest evidence exists for an association of obesity with the following cancer types: endometrial, esophageal adenocarcinoma, colorectal, postmenopausal breast, prostate, and renal, whereas the less common malignancies are leukemia, non-Hodgkin's lymphoma, multiple myeloma, malignant melanoma, and thyroid tumours. To be able to develop novel methods in prevention and treatment, we first must understand the underlying processes which link cancer to obesity. Four main systems have been identified as potential producers of cancer in obesity: insulin, insulin-like growth factor-I, sex steroids, and adipokines. Various novel candidate mechanisms have been proposed: chronic inflammation, oxidative stress, crosstalk between tumour cells and surrounding adipocytes, migrating adipose stromal cells, obesity-induced hypoxia, shared genetic susceptibility, and the functional defeat of immune function. Herein, we review the major pathogenic links between obesity and susceptibility to cancer.","author":[{"dropping-particle":"","family":"Pergola","given":"Giovanni","non-dropping-particle":"De","parse-names":false,"suffix":""},{"dropping-particle":"","family":"Silvestris","given":"Franco","non-dropping-particle":"","parse-names":false,"suffix":""},{"dropping-particle":"","family":"Papadia","given":"Francesco Saverio","non-dropping-particle":"","parse-names":false,"suffix":""}],"container-title":"Journal of Obesity","id":"ITEM-3","issued":{"date-parts":[["2013"]]},"publisher":"Hindawi Publishing Corporation","title":"Obesity as a Major Risk Factor for Cancer","type":"article-journal","volume":"2013"},"uris":["http://www.mendeley.com/documents/?uuid=0663a8e6-84d3-30c7-8bfd-9c4cd17767ff"]}],"mendeley":{"formattedCitation":"(AKIL; ANWAR AHMAD, 2011; DE PERGOLA; SILVESTRIS; PAPADIA, 2013; KEARNS et al., 2014)","plainTextFormattedCitation":"(AKIL; ANWAR AHMAD, 2011; DE PERGOLA; SILVESTRIS; PAPADIA, 2013; KEARNS et al., 2014)","previouslyFormattedCitation":"(AKIL; ANWAR AHMAD, 2011; DE PERGOLA; SILVESTRIS; PAPADIA, 2013; KEARNS et al., 2014)"},"properties":{"noteIndex":0},"schema":"https://github.com/citation-style-language/schema/raw/master/csl-citation.json"}</w:instrText>
      </w:r>
      <w:r w:rsidR="002C2E71" w:rsidRPr="00A52B5E">
        <w:rPr>
          <w:rFonts w:ascii="Times New Roman" w:hAnsi="Times New Roman" w:cs="Times New Roman"/>
        </w:rPr>
        <w:fldChar w:fldCharType="separate"/>
      </w:r>
      <w:r w:rsidR="002C2E71" w:rsidRPr="00A52B5E">
        <w:rPr>
          <w:rFonts w:ascii="Times New Roman" w:hAnsi="Times New Roman" w:cs="Times New Roman"/>
          <w:noProof/>
        </w:rPr>
        <w:t>(AKIL; ANWAR AHMAD, 2011; DE PERGOLA; SILVESTRIS; PAPADIA, 2013; KEARNS et al., 2014)</w:t>
      </w:r>
      <w:r w:rsidR="002C2E71" w:rsidRPr="00A52B5E">
        <w:rPr>
          <w:rFonts w:ascii="Times New Roman" w:hAnsi="Times New Roman" w:cs="Times New Roman"/>
        </w:rPr>
        <w:fldChar w:fldCharType="end"/>
      </w:r>
      <w:r w:rsidR="002C2E71" w:rsidRPr="00A52B5E">
        <w:rPr>
          <w:rFonts w:ascii="Times New Roman" w:hAnsi="Times New Roman" w:cs="Times New Roman"/>
        </w:rPr>
        <w:t>.</w:t>
      </w:r>
      <w:r w:rsidR="003C0006">
        <w:rPr>
          <w:rFonts w:ascii="Times New Roman" w:hAnsi="Times New Roman" w:cs="Times New Roman"/>
        </w:rPr>
        <w:t xml:space="preserve"> Nesse sentido, o Guia Alimentar para População Brasileira</w:t>
      </w:r>
      <w:r w:rsidR="0053722F">
        <w:rPr>
          <w:rFonts w:ascii="Times New Roman" w:hAnsi="Times New Roman" w:cs="Times New Roman"/>
        </w:rPr>
        <w:t xml:space="preserve"> é um instrumento que pode ser eficaz para ajudar a diminuir essas elevadas taxas. </w:t>
      </w:r>
      <w:r w:rsidR="0053722F" w:rsidRPr="0053722F">
        <w:rPr>
          <w:rFonts w:ascii="Times New Roman" w:hAnsi="Times New Roman" w:cs="Times New Roman"/>
        </w:rPr>
        <w:t>Este instrumento trata-se de uma estratégia para implementação da promoção da alimentação adequada e saudável, a qual integral a Política Nacional de Alimentação e Nutrição (PNAN)</w:t>
      </w:r>
      <w:r w:rsidR="0053722F">
        <w:rPr>
          <w:rFonts w:ascii="Times New Roman" w:hAnsi="Times New Roman" w:cs="Times New Roman"/>
        </w:rPr>
        <w:t xml:space="preserve"> </w:t>
      </w:r>
      <w:r w:rsidR="0053722F">
        <w:rPr>
          <w:rFonts w:ascii="Times New Roman" w:hAnsi="Times New Roman" w:cs="Times New Roman"/>
        </w:rPr>
        <w:fldChar w:fldCharType="begin" w:fldLock="1"/>
      </w:r>
      <w:r w:rsidR="0053722F">
        <w:rPr>
          <w:rFonts w:ascii="Times New Roman" w:hAnsi="Times New Roman" w:cs="Times New Roman"/>
        </w:rPr>
        <w:instrText>ADDIN CSL_CITATION {"citationItems":[{"id":"ITEM-1","itemData":{"DOI":"10.20396/san.v17i1.8634805","ISBN":"978-85-334-2176-9","ISSN":"1098-6596","PMID":"25246403","abstract":"in Portuguese","author":[{"dropping-particle":"de","family":"Moura","given":"Neila Camargo","non-dropping-particle":"","parse-names":false,"suffix":""},{"dropping-particle":"de","family":"Paiva","given":"N. M. N.","non-dropping-particle":"","parse-names":false,"suffix":""},{"dropping-particle":"","family":"Costa","given":"J. da S.","non-dropping-particle":"","parse-names":false,"suffix":""},{"dropping-particle":"","family":"Pereira","given":"Maína Ribeiro","non-dropping-particle":"","parse-names":false,"suffix":""},{"dropping-particle":"","family":"Carvalho","given":"Érica","non-dropping-particle":"","parse-names":false,"suffix":""},{"dropping-particle":"","family":"Brasil","given":"","non-dropping-particle":"","parse-names":false,"suffix":""},{"dropping-particle":"","family":"Barros","given":"Milla Previtera","non-dropping-particle":"","parse-names":false,"suffix":""},{"dropping-particle":"","family":"Danubia","given":"Mirella","non-dropping-particle":"","parse-names":false,"suffix":""},{"dropping-particle":"","family":"Santos","given":"D O S","non-dropping-particle":"","parse-names":false,"suffix":""},{"dropping-particle":"","family":"Maia","given":"Emanuella Gomes","non-dropping-particle":"","parse-names":false,"suffix":""},{"dropping-particle":"","family":"Costa","given":"Bruna Vieira de Lima","non-dropping-particle":"","parse-names":false,"suffix":""},{"dropping-particle":"","family":"Coelho","given":"Francielly de Souza","non-dropping-particle":"","parse-names":false,"suffix":""},{"dropping-particle":"","family":"Guimarães","given":"Julia Soares","non-dropping-particle":"","parse-names":false,"suffix":""},{"dropping-particle":"","family":"Fortaleza","given":"Rafaela Garcia","non-dropping-particle":"","parse-names":false,"suffix":""},{"dropping-particle":"","family":"Claro","given":"Rafael Moreira","non-dropping-particle":"","parse-names":false,"suffix":""},{"dropping-particle":"","family":"Reis","given":"Patrícia","non-dropping-particle":"Dos","parse-names":false,"suffix":""},{"dropping-particle":"","family":"Vasconcellos","given":"Ana Beatriz","non-dropping-particle":"","parse-names":false,"suffix":""},{"dropping-particle":"","family":"Goulart","given":"Dillian","non-dropping-particle":"","parse-names":false,"suffix":""},{"dropping-particle":"","family":"Gentil","given":"Patricia Chaves","non-dropping-particle":"","parse-names":false,"suffix":""},{"dropping-particle":"","family":"BARBOSA","given":"RAÍSSA ALENCAR DE SÁ","non-dropping-particle":"","parse-names":false,"suffix":""},{"dropping-particle":"","family":"Ádria","given":"Autor","non-dropping-particle":"","parse-names":false,"suffix":""},{"dropping-particle":"","family":"Siqueira","given":"Costa","non-dropping-particle":"","parse-names":false,"suffix":""}],"container-title":"Guia alimentar para a população","id":"ITEM-1","issue":"4","issued":{"date-parts":[["2015"]]},"number-of-pages":"1-11","title":"Biblioteca Virtual em Saúde do Ministério da Saúde","type":"book","volume":"33"},"uris":["http://www.mendeley.com/documents/?uuid=b1f93986-05dd-3123-a7e5-c066497c4039"]}],"mendeley":{"formattedCitation":"(MOURA et al., 2015)","plainTextFormattedCitation":"(MOURA et al., 2015)"},"properties":{"noteIndex":0},"schema":"https://github.com/citation-style-language/schema/raw/master/csl-citation.json"}</w:instrText>
      </w:r>
      <w:r w:rsidR="0053722F">
        <w:rPr>
          <w:rFonts w:ascii="Times New Roman" w:hAnsi="Times New Roman" w:cs="Times New Roman"/>
        </w:rPr>
        <w:fldChar w:fldCharType="separate"/>
      </w:r>
      <w:r w:rsidR="0053722F" w:rsidRPr="0053722F">
        <w:rPr>
          <w:rFonts w:ascii="Times New Roman" w:hAnsi="Times New Roman" w:cs="Times New Roman"/>
          <w:noProof/>
        </w:rPr>
        <w:t>(MOURA et al., 2015)</w:t>
      </w:r>
      <w:r w:rsidR="0053722F">
        <w:rPr>
          <w:rFonts w:ascii="Times New Roman" w:hAnsi="Times New Roman" w:cs="Times New Roman"/>
        </w:rPr>
        <w:fldChar w:fldCharType="end"/>
      </w:r>
      <w:r w:rsidR="0053722F">
        <w:rPr>
          <w:rFonts w:ascii="Times New Roman" w:hAnsi="Times New Roman" w:cs="Times New Roman"/>
        </w:rPr>
        <w:t>.</w:t>
      </w:r>
    </w:p>
    <w:p w14:paraId="7A2C0BA2" w14:textId="06C75112" w:rsidR="00283F71" w:rsidRDefault="00283F71" w:rsidP="009B5008">
      <w:pPr>
        <w:keepNext/>
        <w:pBdr>
          <w:top w:val="nil"/>
          <w:left w:val="nil"/>
          <w:bottom w:val="nil"/>
          <w:right w:val="nil"/>
          <w:between w:val="nil"/>
        </w:pBdr>
        <w:suppressAutoHyphens/>
        <w:spacing w:before="120" w:after="120"/>
        <w:textDirection w:val="btLr"/>
        <w:textAlignment w:val="top"/>
        <w:outlineLvl w:val="0"/>
        <w:rPr>
          <w:rFonts w:ascii="Arial" w:hAnsi="Arial" w:cs="Arial"/>
          <w:b/>
          <w:bCs/>
        </w:rPr>
      </w:pPr>
    </w:p>
    <w:p w14:paraId="5EC1CC73" w14:textId="664C030A" w:rsidR="001C422C" w:rsidRDefault="00B466BF" w:rsidP="00283F71">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0D1D95CA" w14:textId="0A20EB84" w:rsidR="00982948" w:rsidRPr="00BD6489" w:rsidRDefault="00982948" w:rsidP="00982948">
      <w:pPr>
        <w:keepNext/>
        <w:pBdr>
          <w:top w:val="nil"/>
          <w:left w:val="nil"/>
          <w:bottom w:val="nil"/>
          <w:right w:val="nil"/>
          <w:between w:val="nil"/>
        </w:pBdr>
        <w:suppressAutoHyphens/>
        <w:spacing w:before="120" w:after="120" w:line="360" w:lineRule="auto"/>
        <w:ind w:firstLine="709"/>
        <w:jc w:val="both"/>
        <w:textDirection w:val="btLr"/>
        <w:textAlignment w:val="top"/>
        <w:outlineLvl w:val="0"/>
        <w:rPr>
          <w:rFonts w:ascii="Times New Roman" w:hAnsi="Times New Roman" w:cs="Times New Roman"/>
          <w:b/>
          <w:color w:val="000000"/>
        </w:rPr>
      </w:pPr>
      <w:r>
        <w:rPr>
          <w:rFonts w:ascii="Times New Roman" w:hAnsi="Times New Roman" w:cs="Times New Roman"/>
          <w:bCs/>
          <w:color w:val="000000"/>
        </w:rPr>
        <w:t xml:space="preserve">O presente estudo demonstrou elevadas taxas de obesidade na Região Sul com tendência de aumento nos adultos mais velhos. São necessárias políticas públicas por parte do governo </w:t>
      </w:r>
      <w:r>
        <w:rPr>
          <w:rFonts w:ascii="Times New Roman" w:hAnsi="Times New Roman" w:cs="Times New Roman"/>
          <w:bCs/>
          <w:color w:val="000000"/>
        </w:rPr>
        <w:lastRenderedPageBreak/>
        <w:t xml:space="preserve">que tenham como objetivo a diminuição </w:t>
      </w:r>
      <w:r w:rsidR="0030663F">
        <w:rPr>
          <w:rFonts w:ascii="Times New Roman" w:hAnsi="Times New Roman" w:cs="Times New Roman"/>
          <w:bCs/>
          <w:color w:val="000000"/>
        </w:rPr>
        <w:t>das elevadas taxas de obesidade aqui apresentadas</w:t>
      </w:r>
      <w:r w:rsidR="008F7AC8">
        <w:rPr>
          <w:rFonts w:ascii="Times New Roman" w:hAnsi="Times New Roman" w:cs="Times New Roman"/>
          <w:bCs/>
          <w:color w:val="000000"/>
        </w:rPr>
        <w:t xml:space="preserve"> - </w:t>
      </w:r>
      <w:r w:rsidR="007D3C72">
        <w:rPr>
          <w:rFonts w:ascii="Times New Roman" w:hAnsi="Times New Roman" w:cs="Times New Roman"/>
          <w:bCs/>
          <w:color w:val="000000"/>
        </w:rPr>
        <w:t>como o Guia Alimentar para População Brasileira</w:t>
      </w:r>
      <w:r>
        <w:rPr>
          <w:rFonts w:ascii="Times New Roman" w:hAnsi="Times New Roman" w:cs="Times New Roman"/>
          <w:bCs/>
          <w:color w:val="000000"/>
        </w:rPr>
        <w:t>.</w:t>
      </w:r>
    </w:p>
    <w:p w14:paraId="4BCD3F07"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1BF7D4EC" w14:textId="53EBF6C6" w:rsidR="001C422C" w:rsidRPr="00363DD0"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6B7C36E7" w14:textId="77777777" w:rsidR="00363DD0" w:rsidRDefault="00363DD0" w:rsidP="00363DD0">
      <w:pPr>
        <w:pStyle w:val="PargrafodaLista"/>
        <w:rPr>
          <w:rFonts w:ascii="Times New Roman" w:hAnsi="Times New Roman" w:cs="Times New Roman"/>
        </w:rPr>
      </w:pPr>
    </w:p>
    <w:p w14:paraId="14F6840E" w14:textId="2DAB5EAA" w:rsidR="0053722F" w:rsidRPr="0053722F" w:rsidRDefault="00363DD0" w:rsidP="0053722F">
      <w:pPr>
        <w:widowControl w:val="0"/>
        <w:autoSpaceDE w:val="0"/>
        <w:autoSpaceDN w:val="0"/>
        <w:adjustRightInd w:val="0"/>
        <w:spacing w:before="120" w:after="120" w:line="360" w:lineRule="auto"/>
        <w:rPr>
          <w:rFonts w:ascii="Times New Roman" w:hAnsi="Times New Roman" w:cs="Times New Roman"/>
          <w:noProof/>
        </w:rPr>
      </w:pPr>
      <w:r>
        <w:rPr>
          <w:rFonts w:ascii="Times New Roman" w:hAnsi="Times New Roman" w:cs="Times New Roman"/>
        </w:rPr>
        <w:fldChar w:fldCharType="begin" w:fldLock="1"/>
      </w:r>
      <w:r w:rsidRPr="0072417C">
        <w:rPr>
          <w:rFonts w:ascii="Times New Roman" w:hAnsi="Times New Roman" w:cs="Times New Roman"/>
          <w:lang w:val="en-US"/>
        </w:rPr>
        <w:instrText xml:space="preserve">ADDIN Mendeley Bibliography CSL_BIBLIOGRAPHY </w:instrText>
      </w:r>
      <w:r>
        <w:rPr>
          <w:rFonts w:ascii="Times New Roman" w:hAnsi="Times New Roman" w:cs="Times New Roman"/>
        </w:rPr>
        <w:fldChar w:fldCharType="separate"/>
      </w:r>
      <w:r w:rsidR="0053722F" w:rsidRPr="0053722F">
        <w:rPr>
          <w:rFonts w:ascii="Times New Roman" w:hAnsi="Times New Roman" w:cs="Times New Roman"/>
          <w:noProof/>
        </w:rPr>
        <w:t xml:space="preserve">AKIL, L.; ANWAR AHMAD, H. Relationships between obesity and cardiovascular diseases in four southern states and Colorado. </w:t>
      </w:r>
      <w:r w:rsidR="0053722F" w:rsidRPr="0053722F">
        <w:rPr>
          <w:rFonts w:ascii="Times New Roman" w:hAnsi="Times New Roman" w:cs="Times New Roman"/>
          <w:b/>
          <w:bCs/>
          <w:noProof/>
        </w:rPr>
        <w:t>Journal of Health Care for the Poor and Underserved</w:t>
      </w:r>
      <w:r w:rsidR="0053722F" w:rsidRPr="0053722F">
        <w:rPr>
          <w:rFonts w:ascii="Times New Roman" w:hAnsi="Times New Roman" w:cs="Times New Roman"/>
          <w:noProof/>
        </w:rPr>
        <w:t xml:space="preserve">, v. 22, n. 4 SUPPL., p. 61–72, 2011. </w:t>
      </w:r>
    </w:p>
    <w:p w14:paraId="5034B70C"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BRASIL. MINISTÉRIO DA SAÚDE. SECRETARIA DE VIGILANCIA EM SAÚDE. </w:t>
      </w:r>
      <w:r w:rsidRPr="0053722F">
        <w:rPr>
          <w:rFonts w:ascii="Times New Roman" w:hAnsi="Times New Roman" w:cs="Times New Roman"/>
          <w:b/>
          <w:bCs/>
          <w:noProof/>
        </w:rPr>
        <w:t>Vigitel Brasil 2017, estimativas sobre frequência e distribuição sócio-demográfica de fatores de risco e proteção para doenças crônicas nas capitais dos 26 estados brasileiros e no Distrito Federal em 2017</w:t>
      </w:r>
      <w:r w:rsidRPr="0053722F">
        <w:rPr>
          <w:rFonts w:ascii="Times New Roman" w:hAnsi="Times New Roman" w:cs="Times New Roman"/>
          <w:noProof/>
        </w:rPr>
        <w:t xml:space="preserve">. [s.l: s.n.]. </w:t>
      </w:r>
    </w:p>
    <w:p w14:paraId="115F1669"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DE PERGOLA, G.; SILVESTRIS, F.; PAPADIA, F. S. Obesity as a Major Risk Factor for Cancer. </w:t>
      </w:r>
      <w:r w:rsidRPr="0053722F">
        <w:rPr>
          <w:rFonts w:ascii="Times New Roman" w:hAnsi="Times New Roman" w:cs="Times New Roman"/>
          <w:b/>
          <w:bCs/>
          <w:noProof/>
        </w:rPr>
        <w:t>Journal of Obesity</w:t>
      </w:r>
      <w:r w:rsidRPr="0053722F">
        <w:rPr>
          <w:rFonts w:ascii="Times New Roman" w:hAnsi="Times New Roman" w:cs="Times New Roman"/>
          <w:noProof/>
        </w:rPr>
        <w:t xml:space="preserve">, v. 2013, 2013. </w:t>
      </w:r>
    </w:p>
    <w:p w14:paraId="07EB85D3"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KEARNS, K. et al. Chronic disease burden associated with overweight and obesity in Ireland: The effects of a small BMI reduction at population level. </w:t>
      </w:r>
      <w:r w:rsidRPr="0053722F">
        <w:rPr>
          <w:rFonts w:ascii="Times New Roman" w:hAnsi="Times New Roman" w:cs="Times New Roman"/>
          <w:b/>
          <w:bCs/>
          <w:noProof/>
        </w:rPr>
        <w:t>BMC Public Health</w:t>
      </w:r>
      <w:r w:rsidRPr="0053722F">
        <w:rPr>
          <w:rFonts w:ascii="Times New Roman" w:hAnsi="Times New Roman" w:cs="Times New Roman"/>
          <w:noProof/>
        </w:rPr>
        <w:t xml:space="preserve">, v. 14, n. 1, p. 143, 10 fev. 2014. </w:t>
      </w:r>
    </w:p>
    <w:p w14:paraId="7179B4A9"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LUHAR, S. et al. </w:t>
      </w:r>
      <w:r w:rsidRPr="0053722F">
        <w:rPr>
          <w:rFonts w:ascii="Times New Roman" w:hAnsi="Times New Roman" w:cs="Times New Roman"/>
          <w:b/>
          <w:bCs/>
          <w:noProof/>
        </w:rPr>
        <w:t>Forecasting the prevalence of overweight and obesity in India to 2040PLoS ONE</w:t>
      </w:r>
      <w:r w:rsidRPr="0053722F">
        <w:rPr>
          <w:rFonts w:ascii="Times New Roman" w:hAnsi="Times New Roman" w:cs="Times New Roman"/>
          <w:noProof/>
        </w:rPr>
        <w:t>Public Library of Science, , 2020. Disponível em: &lt;/pmc/articles/PMC7039458/?report=abstract&gt;. Acesso em: 22 jun. 2020</w:t>
      </w:r>
    </w:p>
    <w:p w14:paraId="65149C65"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MOURA, N. C. DE et al. </w:t>
      </w:r>
      <w:r w:rsidRPr="0053722F">
        <w:rPr>
          <w:rFonts w:ascii="Times New Roman" w:hAnsi="Times New Roman" w:cs="Times New Roman"/>
          <w:b/>
          <w:bCs/>
          <w:noProof/>
        </w:rPr>
        <w:t>Biblioteca Virtual em Saúde do Ministério da Saúde</w:t>
      </w:r>
      <w:r w:rsidRPr="0053722F">
        <w:rPr>
          <w:rFonts w:ascii="Times New Roman" w:hAnsi="Times New Roman" w:cs="Times New Roman"/>
          <w:noProof/>
        </w:rPr>
        <w:t>. [s.l: s.n.]. v. 33</w:t>
      </w:r>
    </w:p>
    <w:p w14:paraId="62C0C933" w14:textId="77777777" w:rsidR="0053722F" w:rsidRPr="0053722F" w:rsidRDefault="0053722F" w:rsidP="0053722F">
      <w:pPr>
        <w:widowControl w:val="0"/>
        <w:autoSpaceDE w:val="0"/>
        <w:autoSpaceDN w:val="0"/>
        <w:adjustRightInd w:val="0"/>
        <w:spacing w:before="120" w:after="120" w:line="360" w:lineRule="auto"/>
        <w:rPr>
          <w:rFonts w:ascii="Times New Roman" w:hAnsi="Times New Roman" w:cs="Times New Roman"/>
          <w:noProof/>
        </w:rPr>
      </w:pPr>
      <w:r w:rsidRPr="0053722F">
        <w:rPr>
          <w:rFonts w:ascii="Times New Roman" w:hAnsi="Times New Roman" w:cs="Times New Roman"/>
          <w:noProof/>
        </w:rPr>
        <w:t xml:space="preserve">SPECCHIA, M. L. et al. </w:t>
      </w:r>
      <w:r w:rsidRPr="0053722F">
        <w:rPr>
          <w:rFonts w:ascii="Times New Roman" w:hAnsi="Times New Roman" w:cs="Times New Roman"/>
          <w:b/>
          <w:bCs/>
          <w:noProof/>
        </w:rPr>
        <w:t>Economic impact of adult obesity on health systems: A systematic reviewEuropean Journal of Public Health</w:t>
      </w:r>
      <w:r w:rsidRPr="0053722F">
        <w:rPr>
          <w:rFonts w:ascii="Times New Roman" w:hAnsi="Times New Roman" w:cs="Times New Roman"/>
          <w:noProof/>
        </w:rPr>
        <w:t>, 2015. Disponível em: &lt;https://academic.oup.com/eurpub/article-abstract/25/2/255/2837324&gt;. Acesso em: 26 maio. 2020</w:t>
      </w:r>
    </w:p>
    <w:p w14:paraId="1E66DEC0" w14:textId="34433E69" w:rsidR="00363DD0" w:rsidRPr="00BD6489" w:rsidRDefault="00363DD0" w:rsidP="00A52B5E">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rPr>
      </w:pPr>
      <w:r>
        <w:rPr>
          <w:rFonts w:ascii="Times New Roman" w:hAnsi="Times New Roman" w:cs="Times New Roman"/>
        </w:rPr>
        <w:fldChar w:fldCharType="end"/>
      </w:r>
      <w:r w:rsidR="0069305A" w:rsidRPr="0069305A">
        <w:rPr>
          <w:rFonts w:ascii="Times New Roman" w:hAnsi="Times New Roman" w:cs="Times New Roman"/>
        </w:rPr>
        <w:t>Ministério da Saúde. Pesquisa Vigitel Brasil 2018, 2018. Disponível em: &lt;http://www2.datasus.gov.br/DATASUS/index.php?area=0208&amp;id=28248785&gt;. Acesso em: 3 ago. 2020</w:t>
      </w:r>
    </w:p>
    <w:p w14:paraId="0DB0325C" w14:textId="77777777"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14:paraId="3B88B7FB" w14:textId="77777777" w:rsidR="001C422C" w:rsidRPr="00BD6489" w:rsidRDefault="001C422C" w:rsidP="001C422C">
      <w:pPr>
        <w:ind w:hanging="2"/>
        <w:jc w:val="both"/>
        <w:rPr>
          <w:rFonts w:ascii="Times New Roman" w:hAnsi="Times New Roman" w:cs="Times New Roman"/>
        </w:rPr>
      </w:pPr>
    </w:p>
    <w:p w14:paraId="67AD1FC7" w14:textId="77777777"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5AD77" w14:textId="77777777" w:rsidR="0058067C" w:rsidRDefault="0058067C" w:rsidP="00324CA4">
      <w:r>
        <w:separator/>
      </w:r>
    </w:p>
  </w:endnote>
  <w:endnote w:type="continuationSeparator" w:id="0">
    <w:p w14:paraId="72FE52B1" w14:textId="77777777" w:rsidR="0058067C" w:rsidRDefault="0058067C"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8118"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3D957B6D" wp14:editId="2AACE209">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F8CA"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1F8AD"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DF41D85" wp14:editId="491D59D9">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04471"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AE17E" w14:textId="77777777" w:rsidR="0058067C" w:rsidRDefault="0058067C" w:rsidP="00324CA4">
      <w:r>
        <w:separator/>
      </w:r>
    </w:p>
  </w:footnote>
  <w:footnote w:type="continuationSeparator" w:id="0">
    <w:p w14:paraId="45B0193F" w14:textId="77777777" w:rsidR="0058067C" w:rsidRDefault="0058067C"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9B9A8"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45683A27" wp14:editId="4A8BBD90">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D68811"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A"/>
    <w:rsid w:val="00036066"/>
    <w:rsid w:val="00055263"/>
    <w:rsid w:val="0007136F"/>
    <w:rsid w:val="00077A29"/>
    <w:rsid w:val="001031FB"/>
    <w:rsid w:val="001C422C"/>
    <w:rsid w:val="001F4945"/>
    <w:rsid w:val="00200E25"/>
    <w:rsid w:val="00213A0C"/>
    <w:rsid w:val="002270C9"/>
    <w:rsid w:val="002536D5"/>
    <w:rsid w:val="00283F71"/>
    <w:rsid w:val="002C2E71"/>
    <w:rsid w:val="0030663F"/>
    <w:rsid w:val="00314972"/>
    <w:rsid w:val="00321317"/>
    <w:rsid w:val="00324CA4"/>
    <w:rsid w:val="00363DD0"/>
    <w:rsid w:val="003C0006"/>
    <w:rsid w:val="00405417"/>
    <w:rsid w:val="00462948"/>
    <w:rsid w:val="004F4E74"/>
    <w:rsid w:val="0050564F"/>
    <w:rsid w:val="0052541E"/>
    <w:rsid w:val="0053722F"/>
    <w:rsid w:val="00544C43"/>
    <w:rsid w:val="00545305"/>
    <w:rsid w:val="00553E7F"/>
    <w:rsid w:val="0058067C"/>
    <w:rsid w:val="005C7DFE"/>
    <w:rsid w:val="005E1AE6"/>
    <w:rsid w:val="00600559"/>
    <w:rsid w:val="0069305A"/>
    <w:rsid w:val="006D3EA1"/>
    <w:rsid w:val="00701006"/>
    <w:rsid w:val="00702EEC"/>
    <w:rsid w:val="007107C5"/>
    <w:rsid w:val="0072417C"/>
    <w:rsid w:val="007339C9"/>
    <w:rsid w:val="007D3C72"/>
    <w:rsid w:val="007D6FDA"/>
    <w:rsid w:val="007F4261"/>
    <w:rsid w:val="0081238A"/>
    <w:rsid w:val="008F7AC8"/>
    <w:rsid w:val="009109F0"/>
    <w:rsid w:val="009315B8"/>
    <w:rsid w:val="00941853"/>
    <w:rsid w:val="00982948"/>
    <w:rsid w:val="009B5008"/>
    <w:rsid w:val="009E2A79"/>
    <w:rsid w:val="00A27736"/>
    <w:rsid w:val="00A52B5E"/>
    <w:rsid w:val="00A61910"/>
    <w:rsid w:val="00AC3F4D"/>
    <w:rsid w:val="00B466BF"/>
    <w:rsid w:val="00B7345D"/>
    <w:rsid w:val="00BD6489"/>
    <w:rsid w:val="00BE57D9"/>
    <w:rsid w:val="00C11143"/>
    <w:rsid w:val="00CC35C1"/>
    <w:rsid w:val="00CC5289"/>
    <w:rsid w:val="00D31FB7"/>
    <w:rsid w:val="00D46200"/>
    <w:rsid w:val="00DC4583"/>
    <w:rsid w:val="00DD128A"/>
    <w:rsid w:val="00DE53ED"/>
    <w:rsid w:val="00E618B4"/>
    <w:rsid w:val="00E8650C"/>
    <w:rsid w:val="00F06DC7"/>
    <w:rsid w:val="00F47AB9"/>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09F8D"/>
  <w15:docId w15:val="{D2D31C80-7E3E-48FF-81F1-796F9DEF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9B5008"/>
    <w:pPr>
      <w:ind w:left="720"/>
      <w:contextualSpacing/>
    </w:pPr>
  </w:style>
  <w:style w:type="character" w:customStyle="1" w:styleId="MenoPendente1">
    <w:name w:val="Menção Pendente1"/>
    <w:basedOn w:val="Fontepargpadro"/>
    <w:uiPriority w:val="99"/>
    <w:semiHidden/>
    <w:unhideWhenUsed/>
    <w:rsid w:val="0028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datasus.gov.br/DATASUS/index.php?area=0208&amp;id=28248785" TargetMode="External"/><Relationship Id="rId4" Type="http://schemas.openxmlformats.org/officeDocument/2006/relationships/settings" Target="settings.xml"/><Relationship Id="rId9" Type="http://schemas.openxmlformats.org/officeDocument/2006/relationships/hyperlink" Target="mailto:socepis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8E88-DDEC-4142-B968-84A2629E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4927</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Felipe Delpino</cp:lastModifiedBy>
  <cp:revision>3</cp:revision>
  <cp:lastPrinted>2020-07-04T16:53:00Z</cp:lastPrinted>
  <dcterms:created xsi:type="dcterms:W3CDTF">2020-08-03T16:17:00Z</dcterms:created>
  <dcterms:modified xsi:type="dcterms:W3CDTF">2020-08-03T16:18:00Z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vt:lpwstr>
  </property>
  <property fmtid="{D5CDD505-2E9C-101B-9397-08002B2CF9AE}" pid="4" name="Mendeley Unique User Id_1">
    <vt:lpwstr>1d8b3c8f-bc4e-3a94-8d05-4acd326de723</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http://www.zotero.org/styles/associacao-brasileira-de-normas-tecnicas</vt:lpwstr>
  </property>
  <property fmtid="{D5CDD505-2E9C-101B-9397-08002B2CF9AE}" pid="8" name="Mendeley Recent Style Name 1_1">
    <vt:lpwstr>Associação Brasileira de Normas Técnicas (Portuguese - Brazil)</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http://www.zotero.org/styles/instituto-brasileiro-de-informacao-em-ciencia-e-tecnologia-abnt</vt:lpwstr>
  </property>
  <property fmtid="{D5CDD505-2E9C-101B-9397-08002B2CF9AE}" pid="14" name="Mendeley Recent Style Name 4_1">
    <vt:lpwstr>Instituto Brasileiro de Informação em Ciência e Tecnologia - ABNT (autoria completa)</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http://www.zotero.org/styles/national-library-of-medicine-brackets-no-et-al</vt:lpwstr>
  </property>
  <property fmtid="{D5CDD505-2E9C-101B-9397-08002B2CF9AE}" pid="20" name="Mendeley Recent Style Name 7_1">
    <vt:lpwstr>National Library of Medicine (brackets, no "et al.")</vt:lpwstr>
  </property>
  <property fmtid="{D5CDD505-2E9C-101B-9397-08002B2CF9AE}" pid="21" name="Mendeley Recent Style Id 8_1">
    <vt:lpwstr>http://www.zotero.org/styles/revista-brasileira-de-ciencias-do-esporte</vt:lpwstr>
  </property>
  <property fmtid="{D5CDD505-2E9C-101B-9397-08002B2CF9AE}" pid="22" name="Mendeley Recent Style Name 8_1">
    <vt:lpwstr>Revista Brasileira de Ciências do Esporte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