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07" w:rsidRDefault="00226A5A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8" o:spid="_x0000_s1026" type="#_x0000_t202" style="position:absolute;left:0;text-align:left;margin-left:324.65pt;margin-top:59.4pt;width:234.6pt;height:26.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<v:textbox inset="0,0,0,0">
              <w:txbxContent>
                <w:p w:rsidR="00382D5F" w:rsidRDefault="00226A5A" w:rsidP="00382D5F">
                  <w:pPr>
                    <w:spacing w:line="268" w:lineRule="auto"/>
                    <w:ind w:left="20" w:firstLine="2881"/>
                    <w:rPr>
                      <w:rFonts w:ascii="Arial" w:hAnsi="Arial"/>
                      <w:sz w:val="21"/>
                    </w:rPr>
                  </w:pPr>
                  <w:hyperlink r:id="rId7">
                    <w:r w:rsidR="00382D5F">
                      <w:rPr>
                        <w:rFonts w:ascii="Arial" w:hAnsi="Arial"/>
                        <w:color w:val="087EA6"/>
                        <w:spacing w:val="-3"/>
                        <w:w w:val="90"/>
                        <w:sz w:val="21"/>
                      </w:rPr>
                      <w:t>socepis1@gmail.com</w:t>
                    </w:r>
                  </w:hyperlink>
                  <w:r w:rsidR="00382D5F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SociedadeCearensedePesquisaeInovaç</w:t>
                  </w:r>
                  <w:r w:rsidR="00382D5F">
                    <w:rPr>
                      <w:rFonts w:ascii="Tahoma" w:hAnsi="Tahoma"/>
                      <w:color w:val="087EA6"/>
                      <w:w w:val="90"/>
                      <w:sz w:val="18"/>
                    </w:rPr>
                    <w:t>õ</w:t>
                  </w:r>
                  <w:r w:rsidR="00382D5F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esemSa</w:t>
                  </w:r>
                  <w:r w:rsidR="00382D5F">
                    <w:rPr>
                      <w:rFonts w:ascii="Arial" w:hAnsi="Arial"/>
                      <w:color w:val="087EA6"/>
                      <w:w w:val="90"/>
                      <w:sz w:val="14"/>
                    </w:rPr>
                    <w:t>ú</w:t>
                  </w:r>
                  <w:r w:rsidR="00382D5F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de</w:t>
                  </w:r>
                </w:p>
              </w:txbxContent>
            </v:textbox>
            <w10:wrap anchorx="page" anchory="page"/>
          </v:shape>
        </w:pict>
      </w: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C422C" w:rsidRDefault="00B35F7B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COVID-19 EM PACIENTES COM ANEMIA FALCIFORME: UMA BREVE REVISÃO BIBLIOGRÁFICA</w:t>
      </w:r>
    </w:p>
    <w:p w:rsidR="00207C4F" w:rsidRPr="00BD6489" w:rsidRDefault="00207C4F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:rsidR="001C422C" w:rsidRPr="006310A0" w:rsidRDefault="001C422C" w:rsidP="001C422C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 w:rsidRPr="00324CA4">
        <w:rPr>
          <w:rFonts w:ascii="Times New Roman" w:hAnsi="Times New Roman" w:cs="Times New Roman"/>
          <w:b/>
          <w:u w:val="single"/>
        </w:rPr>
        <w:t>A</w:t>
      </w:r>
      <w:r w:rsidR="006310A0">
        <w:rPr>
          <w:rFonts w:ascii="Times New Roman" w:hAnsi="Times New Roman" w:cs="Times New Roman"/>
          <w:b/>
          <w:u w:val="single"/>
        </w:rPr>
        <w:t>l</w:t>
      </w:r>
      <w:r w:rsidR="00F1103E">
        <w:rPr>
          <w:rFonts w:ascii="Times New Roman" w:hAnsi="Times New Roman" w:cs="Times New Roman"/>
          <w:b/>
          <w:u w:val="single"/>
        </w:rPr>
        <w:t>éxia Fernanda Santos de Medeiros Melo</w:t>
      </w:r>
      <w:r w:rsidRPr="00BD6489">
        <w:rPr>
          <w:rFonts w:ascii="Times New Roman" w:hAnsi="Times New Roman" w:cs="Times New Roman"/>
          <w:b/>
          <w:vertAlign w:val="superscript"/>
        </w:rPr>
        <w:t>1</w:t>
      </w:r>
      <w:r w:rsidR="00DC0463">
        <w:rPr>
          <w:rFonts w:ascii="Times New Roman" w:hAnsi="Times New Roman" w:cs="Times New Roman"/>
          <w:b/>
        </w:rPr>
        <w:t>;</w:t>
      </w:r>
      <w:r w:rsidRPr="00BD6489">
        <w:rPr>
          <w:rFonts w:ascii="Times New Roman" w:hAnsi="Times New Roman" w:cs="Times New Roman"/>
          <w:b/>
        </w:rPr>
        <w:t xml:space="preserve"> A</w:t>
      </w:r>
      <w:r w:rsidR="006310A0">
        <w:rPr>
          <w:rFonts w:ascii="Times New Roman" w:hAnsi="Times New Roman" w:cs="Times New Roman"/>
          <w:b/>
        </w:rPr>
        <w:t>d</w:t>
      </w:r>
      <w:r w:rsidRPr="00BD6489">
        <w:rPr>
          <w:rFonts w:ascii="Times New Roman" w:hAnsi="Times New Roman" w:cs="Times New Roman"/>
          <w:b/>
        </w:rPr>
        <w:t>r</w:t>
      </w:r>
      <w:r w:rsidR="006310A0">
        <w:rPr>
          <w:rFonts w:ascii="Times New Roman" w:hAnsi="Times New Roman" w:cs="Times New Roman"/>
          <w:b/>
        </w:rPr>
        <w:t>iano Evangelista Maia</w:t>
      </w:r>
      <w:r w:rsidR="00F1103E" w:rsidRPr="00BD6489">
        <w:rPr>
          <w:rFonts w:ascii="Times New Roman" w:hAnsi="Times New Roman" w:cs="Times New Roman"/>
          <w:b/>
          <w:vertAlign w:val="superscript"/>
        </w:rPr>
        <w:t>1</w:t>
      </w:r>
      <w:r w:rsidR="00DC0463">
        <w:rPr>
          <w:rFonts w:ascii="Times New Roman" w:hAnsi="Times New Roman" w:cs="Times New Roman"/>
          <w:b/>
        </w:rPr>
        <w:t>;</w:t>
      </w:r>
      <w:r w:rsidR="006310A0" w:rsidRPr="006310A0">
        <w:rPr>
          <w:rFonts w:ascii="Times New Roman" w:hAnsi="Times New Roman" w:cs="Times New Roman"/>
          <w:b/>
        </w:rPr>
        <w:t xml:space="preserve"> Nayara Silva Lima</w:t>
      </w:r>
      <w:r w:rsidR="00F1103E" w:rsidRPr="00BD6489">
        <w:rPr>
          <w:rFonts w:ascii="Times New Roman" w:hAnsi="Times New Roman" w:cs="Times New Roman"/>
          <w:b/>
          <w:vertAlign w:val="superscript"/>
        </w:rPr>
        <w:t>1</w:t>
      </w:r>
      <w:r w:rsidR="00DC0463">
        <w:rPr>
          <w:rFonts w:ascii="Times New Roman" w:hAnsi="Times New Roman" w:cs="Times New Roman"/>
          <w:b/>
        </w:rPr>
        <w:t>;</w:t>
      </w:r>
      <w:r w:rsidR="006310A0">
        <w:rPr>
          <w:rFonts w:ascii="Times New Roman" w:hAnsi="Times New Roman" w:cs="Times New Roman"/>
          <w:b/>
        </w:rPr>
        <w:t xml:space="preserve"> </w:t>
      </w:r>
      <w:r w:rsidR="006310A0" w:rsidRPr="006310A0">
        <w:rPr>
          <w:rFonts w:ascii="Times New Roman" w:hAnsi="Times New Roman" w:cs="Times New Roman"/>
          <w:b/>
        </w:rPr>
        <w:t>Josyele Moreira de Sousa</w:t>
      </w:r>
      <w:r w:rsidR="00F1103E" w:rsidRPr="00BD6489">
        <w:rPr>
          <w:rFonts w:ascii="Times New Roman" w:hAnsi="Times New Roman" w:cs="Times New Roman"/>
          <w:b/>
          <w:vertAlign w:val="superscript"/>
        </w:rPr>
        <w:t>1</w:t>
      </w:r>
      <w:r w:rsidR="00DC0463">
        <w:rPr>
          <w:rFonts w:ascii="Times New Roman" w:hAnsi="Times New Roman" w:cs="Times New Roman"/>
          <w:b/>
        </w:rPr>
        <w:t>;</w:t>
      </w:r>
      <w:r w:rsidR="006310A0">
        <w:rPr>
          <w:rFonts w:ascii="Times New Roman" w:hAnsi="Times New Roman" w:cs="Times New Roman"/>
          <w:b/>
        </w:rPr>
        <w:t xml:space="preserve"> </w:t>
      </w:r>
      <w:r w:rsidR="006310A0" w:rsidRPr="006310A0">
        <w:rPr>
          <w:rFonts w:ascii="Times New Roman" w:hAnsi="Times New Roman" w:cs="Times New Roman"/>
          <w:b/>
        </w:rPr>
        <w:t>Juliana Araújo de Vasconcelos</w:t>
      </w:r>
      <w:r w:rsidR="00F1103E" w:rsidRPr="00BD6489">
        <w:rPr>
          <w:rFonts w:ascii="Times New Roman" w:hAnsi="Times New Roman" w:cs="Times New Roman"/>
          <w:b/>
          <w:vertAlign w:val="superscript"/>
        </w:rPr>
        <w:t>1</w:t>
      </w:r>
      <w:r w:rsidR="00F1103E">
        <w:rPr>
          <w:rFonts w:ascii="Times New Roman" w:hAnsi="Times New Roman" w:cs="Times New Roman"/>
          <w:b/>
        </w:rPr>
        <w:t>; Maria de Jesus Queiroz de Souza</w:t>
      </w:r>
      <w:r w:rsidR="00F1103E" w:rsidRPr="00BD6489">
        <w:rPr>
          <w:rFonts w:ascii="Times New Roman" w:hAnsi="Times New Roman" w:cs="Times New Roman"/>
          <w:b/>
          <w:vertAlign w:val="superscript"/>
        </w:rPr>
        <w:t>1</w:t>
      </w:r>
    </w:p>
    <w:p w:rsidR="001C422C" w:rsidRPr="00BD6489" w:rsidRDefault="00F1103E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b/>
          <w:vertAlign w:val="superscript"/>
        </w:rPr>
        <w:t>1</w:t>
      </w:r>
      <w:r w:rsidR="006310A0" w:rsidRPr="006310A0">
        <w:rPr>
          <w:rFonts w:ascii="Times New Roman" w:hAnsi="Times New Roman" w:cs="Times New Roman"/>
        </w:rPr>
        <w:t>Alunos do Curso de Farmácia da Universidade Federal do Ceará</w:t>
      </w:r>
      <w:r w:rsidR="00EC4C72">
        <w:rPr>
          <w:rFonts w:ascii="Times New Roman" w:hAnsi="Times New Roman" w:cs="Times New Roman"/>
        </w:rPr>
        <w:t xml:space="preserve"> (</w:t>
      </w:r>
      <w:r w:rsidRPr="00F1103E">
        <w:rPr>
          <w:rFonts w:ascii="Times New Roman" w:hAnsi="Times New Roman" w:cs="Times New Roman"/>
        </w:rPr>
        <w:t>alexiamedeirosm@gmail.com</w:t>
      </w:r>
      <w:r>
        <w:rPr>
          <w:rFonts w:ascii="Times New Roman" w:hAnsi="Times New Roman" w:cs="Times New Roman"/>
        </w:rPr>
        <w:t xml:space="preserve">; </w:t>
      </w:r>
      <w:r w:rsidR="00EC4C72" w:rsidRPr="00EC4C72">
        <w:rPr>
          <w:rFonts w:ascii="Times New Roman" w:hAnsi="Times New Roman" w:cs="Times New Roman"/>
        </w:rPr>
        <w:t>adrianomaia904@gmail.com</w:t>
      </w:r>
      <w:r w:rsidR="00EC4C72">
        <w:rPr>
          <w:rFonts w:ascii="Times New Roman" w:hAnsi="Times New Roman" w:cs="Times New Roman"/>
        </w:rPr>
        <w:t xml:space="preserve">; </w:t>
      </w:r>
      <w:r w:rsidR="003D20CF" w:rsidRPr="003D20CF">
        <w:rPr>
          <w:rFonts w:ascii="Times New Roman" w:hAnsi="Times New Roman" w:cs="Times New Roman"/>
        </w:rPr>
        <w:t>nayaralima0205@gmail.com</w:t>
      </w:r>
      <w:r w:rsidR="003D20CF">
        <w:rPr>
          <w:rFonts w:ascii="Times New Roman" w:hAnsi="Times New Roman" w:cs="Times New Roman"/>
        </w:rPr>
        <w:t xml:space="preserve">; </w:t>
      </w:r>
      <w:r w:rsidR="00EC4C72" w:rsidRPr="00EC4C72">
        <w:rPr>
          <w:rFonts w:ascii="Times New Roman" w:hAnsi="Times New Roman" w:cs="Times New Roman"/>
        </w:rPr>
        <w:t>josyelemoreira07@gmail.com</w:t>
      </w:r>
      <w:r w:rsidR="00EC4C72">
        <w:rPr>
          <w:rFonts w:ascii="Times New Roman" w:hAnsi="Times New Roman" w:cs="Times New Roman"/>
        </w:rPr>
        <w:t xml:space="preserve">; </w:t>
      </w:r>
      <w:r w:rsidRPr="00F1103E">
        <w:rPr>
          <w:rFonts w:ascii="Times New Roman" w:hAnsi="Times New Roman" w:cs="Times New Roman"/>
        </w:rPr>
        <w:t>julianabenevides16@gmail.com</w:t>
      </w:r>
      <w:r>
        <w:rPr>
          <w:rFonts w:ascii="Times New Roman" w:hAnsi="Times New Roman" w:cs="Times New Roman"/>
        </w:rPr>
        <w:t>; queirozmaria911@gmail.com</w:t>
      </w:r>
      <w:r w:rsidR="00EC4C72">
        <w:rPr>
          <w:rFonts w:ascii="Times New Roman" w:hAnsi="Times New Roman" w:cs="Times New Roman"/>
        </w:rPr>
        <w:t>)</w:t>
      </w:r>
    </w:p>
    <w:p w:rsidR="00324CA4" w:rsidRDefault="00324CA4" w:rsidP="00F76107">
      <w:pPr>
        <w:spacing w:line="360" w:lineRule="auto"/>
        <w:rPr>
          <w:rFonts w:ascii="Times New Roman" w:hAnsi="Times New Roman" w:cs="Times New Roman"/>
        </w:rPr>
      </w:pPr>
    </w:p>
    <w:p w:rsidR="00F76107" w:rsidRPr="00BD6489" w:rsidRDefault="00F76107" w:rsidP="00F76107">
      <w:pPr>
        <w:spacing w:line="360" w:lineRule="auto"/>
        <w:rPr>
          <w:rFonts w:ascii="Times New Roman" w:hAnsi="Times New Roman" w:cs="Times New Roman"/>
        </w:rPr>
      </w:pPr>
    </w:p>
    <w:p w:rsidR="001C422C" w:rsidRPr="00D82AA1" w:rsidRDefault="00324CA4" w:rsidP="00B16955">
      <w:pPr>
        <w:spacing w:line="360" w:lineRule="auto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Resumo:</w:t>
      </w:r>
      <w:r w:rsidR="00D82AA1" w:rsidRPr="00D82AA1">
        <w:t xml:space="preserve"> </w:t>
      </w:r>
      <w:r w:rsidR="00D82AA1" w:rsidRPr="00D82AA1">
        <w:rPr>
          <w:rFonts w:ascii="Times New Roman" w:hAnsi="Times New Roman" w:cs="Times New Roman"/>
        </w:rPr>
        <w:t xml:space="preserve">A </w:t>
      </w:r>
      <w:r w:rsidR="00D82AA1" w:rsidRPr="00207C4F">
        <w:rPr>
          <w:rFonts w:ascii="Times New Roman" w:hAnsi="Times New Roman" w:cs="Times New Roman"/>
          <w:i/>
        </w:rPr>
        <w:t>Coronavirus disease</w:t>
      </w:r>
      <w:r w:rsidR="00D82AA1" w:rsidRPr="00D82AA1">
        <w:rPr>
          <w:rFonts w:ascii="Times New Roman" w:hAnsi="Times New Roman" w:cs="Times New Roman"/>
        </w:rPr>
        <w:t xml:space="preserve"> (Covid-19) é uma doença causada pelo</w:t>
      </w:r>
      <w:r w:rsidR="00B35F7B">
        <w:rPr>
          <w:rFonts w:ascii="Times New Roman" w:hAnsi="Times New Roman" w:cs="Times New Roman"/>
        </w:rPr>
        <w:t xml:space="preserve"> Novo Coronavírus (SARS-CoV-2) e </w:t>
      </w:r>
      <w:r w:rsidR="00D82AA1" w:rsidRPr="00D82AA1">
        <w:rPr>
          <w:rFonts w:ascii="Times New Roman" w:hAnsi="Times New Roman" w:cs="Times New Roman"/>
        </w:rPr>
        <w:t>trata-se de uma síndrome respiratória aguda grave que acomete gravemente pacientes diabéticos, h</w:t>
      </w:r>
      <w:r w:rsidR="00625D67">
        <w:rPr>
          <w:rFonts w:ascii="Times New Roman" w:hAnsi="Times New Roman" w:cs="Times New Roman"/>
        </w:rPr>
        <w:t>ipertensos, cardíacos, anêmicos</w:t>
      </w:r>
      <w:r w:rsidR="00D82AA1" w:rsidRPr="00D82AA1">
        <w:rPr>
          <w:rFonts w:ascii="Times New Roman" w:hAnsi="Times New Roman" w:cs="Times New Roman"/>
        </w:rPr>
        <w:t xml:space="preserve"> etc. Este est</w:t>
      </w:r>
      <w:r w:rsidR="00B35F7B">
        <w:rPr>
          <w:rFonts w:ascii="Times New Roman" w:hAnsi="Times New Roman" w:cs="Times New Roman"/>
        </w:rPr>
        <w:t xml:space="preserve">udo teve como objetivo procurar </w:t>
      </w:r>
      <w:r w:rsidR="00D82AA1" w:rsidRPr="00D82AA1">
        <w:rPr>
          <w:rFonts w:ascii="Times New Roman" w:hAnsi="Times New Roman" w:cs="Times New Roman"/>
        </w:rPr>
        <w:t>indícios sobre a relação entre Covid-19 e a anemia falciforme a partir de uma revisão bibliográfica de caráter qualitativa, utilizando as bases de dados da Biblioteca Virtual em Saúde (BVS), PubMed e</w:t>
      </w:r>
      <w:r w:rsidR="00625D67">
        <w:rPr>
          <w:rFonts w:ascii="Times New Roman" w:hAnsi="Times New Roman" w:cs="Times New Roman"/>
        </w:rPr>
        <w:t xml:space="preserve"> Scielo, além</w:t>
      </w:r>
      <w:r w:rsidR="00D82AA1" w:rsidRPr="00D82AA1">
        <w:rPr>
          <w:rFonts w:ascii="Times New Roman" w:hAnsi="Times New Roman" w:cs="Times New Roman"/>
        </w:rPr>
        <w:t xml:space="preserve"> </w:t>
      </w:r>
      <w:r w:rsidR="00625D67">
        <w:rPr>
          <w:rFonts w:ascii="Times New Roman" w:hAnsi="Times New Roman" w:cs="Times New Roman"/>
        </w:rPr>
        <w:t>d</w:t>
      </w:r>
      <w:r w:rsidR="00D82AA1" w:rsidRPr="00D82AA1">
        <w:rPr>
          <w:rFonts w:ascii="Times New Roman" w:hAnsi="Times New Roman" w:cs="Times New Roman"/>
        </w:rPr>
        <w:t>os descritores "</w:t>
      </w:r>
      <w:r w:rsidR="00D82AA1" w:rsidRPr="00ED59D3">
        <w:rPr>
          <w:rFonts w:ascii="Times New Roman" w:hAnsi="Times New Roman" w:cs="Times New Roman"/>
          <w:i/>
        </w:rPr>
        <w:t>Sickle Cell Anemia</w:t>
      </w:r>
      <w:r w:rsidR="00D82AA1" w:rsidRPr="00D82AA1">
        <w:rPr>
          <w:rFonts w:ascii="Times New Roman" w:hAnsi="Times New Roman" w:cs="Times New Roman"/>
        </w:rPr>
        <w:t>” e “</w:t>
      </w:r>
      <w:r w:rsidR="00D82AA1" w:rsidRPr="00ED59D3">
        <w:rPr>
          <w:rFonts w:ascii="Times New Roman" w:hAnsi="Times New Roman" w:cs="Times New Roman"/>
          <w:i/>
        </w:rPr>
        <w:t>Coronavirus Infections</w:t>
      </w:r>
      <w:r w:rsidR="00625D67">
        <w:rPr>
          <w:rFonts w:ascii="Times New Roman" w:hAnsi="Times New Roman" w:cs="Times New Roman"/>
        </w:rPr>
        <w:t>”, ligado</w:t>
      </w:r>
      <w:r w:rsidR="00D82AA1" w:rsidRPr="00D82AA1">
        <w:rPr>
          <w:rFonts w:ascii="Times New Roman" w:hAnsi="Times New Roman" w:cs="Times New Roman"/>
        </w:rPr>
        <w:t xml:space="preserve">s pelo operador booleano </w:t>
      </w:r>
      <w:r w:rsidR="00B35F7B">
        <w:rPr>
          <w:rFonts w:ascii="Times New Roman" w:hAnsi="Times New Roman" w:cs="Times New Roman"/>
        </w:rPr>
        <w:t>“</w:t>
      </w:r>
      <w:r w:rsidR="00D82AA1" w:rsidRPr="00D82AA1">
        <w:rPr>
          <w:rFonts w:ascii="Times New Roman" w:hAnsi="Times New Roman" w:cs="Times New Roman"/>
        </w:rPr>
        <w:t>AND</w:t>
      </w:r>
      <w:r w:rsidR="00B35F7B">
        <w:rPr>
          <w:rFonts w:ascii="Times New Roman" w:hAnsi="Times New Roman" w:cs="Times New Roman"/>
        </w:rPr>
        <w:t>”</w:t>
      </w:r>
      <w:r w:rsidR="00D82AA1" w:rsidRPr="00D82AA1">
        <w:rPr>
          <w:rFonts w:ascii="Times New Roman" w:hAnsi="Times New Roman" w:cs="Times New Roman"/>
        </w:rPr>
        <w:t>. Os resultados mostra</w:t>
      </w:r>
      <w:r w:rsidR="00B35F7B">
        <w:rPr>
          <w:rFonts w:ascii="Times New Roman" w:hAnsi="Times New Roman" w:cs="Times New Roman"/>
        </w:rPr>
        <w:t>ra</w:t>
      </w:r>
      <w:r w:rsidR="00D82AA1" w:rsidRPr="00D82AA1">
        <w:rPr>
          <w:rFonts w:ascii="Times New Roman" w:hAnsi="Times New Roman" w:cs="Times New Roman"/>
        </w:rPr>
        <w:t>m que são poucos artigos que tratam do assunto, mas estes descreveram que pacientes com doença falciforme infectados por Covid‐19 têm um risco significativo de desenvolver síndrome torácica aguda e que a transfusão sanguínea deve ser iniciada imediatamente. Entretanto, a insuficiência de doadores de sangue</w:t>
      </w:r>
      <w:r w:rsidR="00B35F7B">
        <w:rPr>
          <w:rFonts w:ascii="Times New Roman" w:hAnsi="Times New Roman" w:cs="Times New Roman"/>
        </w:rPr>
        <w:t>,</w:t>
      </w:r>
      <w:r w:rsidR="00D82AA1" w:rsidRPr="00D82AA1">
        <w:rPr>
          <w:rFonts w:ascii="Times New Roman" w:hAnsi="Times New Roman" w:cs="Times New Roman"/>
        </w:rPr>
        <w:t xml:space="preserve"> nesta época de pandemia</w:t>
      </w:r>
      <w:r w:rsidR="00B35F7B">
        <w:rPr>
          <w:rFonts w:ascii="Times New Roman" w:hAnsi="Times New Roman" w:cs="Times New Roman"/>
        </w:rPr>
        <w:t>,</w:t>
      </w:r>
      <w:r w:rsidR="00D82AA1" w:rsidRPr="00D82AA1">
        <w:rPr>
          <w:rFonts w:ascii="Times New Roman" w:hAnsi="Times New Roman" w:cs="Times New Roman"/>
        </w:rPr>
        <w:t xml:space="preserve"> dificulta o tratamento, sendo </w:t>
      </w:r>
      <w:r w:rsidR="00CE322E" w:rsidRPr="00D82AA1">
        <w:rPr>
          <w:rFonts w:ascii="Times New Roman" w:hAnsi="Times New Roman" w:cs="Times New Roman"/>
        </w:rPr>
        <w:t>necessárias modificações no procedimento transfusional</w:t>
      </w:r>
      <w:r w:rsidR="00D82AA1" w:rsidRPr="00D82AA1">
        <w:rPr>
          <w:rFonts w:ascii="Times New Roman" w:hAnsi="Times New Roman" w:cs="Times New Roman"/>
        </w:rPr>
        <w:t>.</w:t>
      </w:r>
      <w:r w:rsidR="00B35F7B">
        <w:rPr>
          <w:rFonts w:ascii="Times New Roman" w:hAnsi="Times New Roman" w:cs="Times New Roman"/>
        </w:rPr>
        <w:t xml:space="preserve"> Assim,</w:t>
      </w:r>
      <w:r w:rsidR="00D82AA1" w:rsidRPr="00D82AA1">
        <w:rPr>
          <w:rFonts w:ascii="Times New Roman" w:hAnsi="Times New Roman" w:cs="Times New Roman"/>
        </w:rPr>
        <w:t xml:space="preserve"> </w:t>
      </w:r>
      <w:r w:rsidR="00B35F7B">
        <w:rPr>
          <w:rFonts w:ascii="Times New Roman" w:hAnsi="Times New Roman" w:cs="Times New Roman"/>
        </w:rPr>
        <w:t>conclui</w:t>
      </w:r>
      <w:r w:rsidR="00D82AA1" w:rsidRPr="00D82AA1">
        <w:rPr>
          <w:rFonts w:ascii="Times New Roman" w:hAnsi="Times New Roman" w:cs="Times New Roman"/>
        </w:rPr>
        <w:t>-se que há poucos dados relacionados a Covid-19 associada a pacientes acometidos por anemia falciforme, por isso são necessários mais estudos acerca do tema</w:t>
      </w:r>
      <w:r w:rsidR="00B35F7B">
        <w:rPr>
          <w:rFonts w:ascii="Times New Roman" w:hAnsi="Times New Roman" w:cs="Times New Roman"/>
        </w:rPr>
        <w:t>,</w:t>
      </w:r>
      <w:r w:rsidR="00D82AA1" w:rsidRPr="00D82AA1">
        <w:rPr>
          <w:rFonts w:ascii="Times New Roman" w:hAnsi="Times New Roman" w:cs="Times New Roman"/>
        </w:rPr>
        <w:t xml:space="preserve"> devido à alta prevalência dessa patologia</w:t>
      </w:r>
      <w:r w:rsidR="00B35F7B">
        <w:rPr>
          <w:rFonts w:ascii="Times New Roman" w:hAnsi="Times New Roman" w:cs="Times New Roman"/>
        </w:rPr>
        <w:t>,</w:t>
      </w:r>
      <w:r w:rsidR="00D82AA1" w:rsidRPr="00D82AA1">
        <w:rPr>
          <w:rFonts w:ascii="Times New Roman" w:hAnsi="Times New Roman" w:cs="Times New Roman"/>
        </w:rPr>
        <w:t xml:space="preserve"> sobretudo no Brasil.</w:t>
      </w:r>
    </w:p>
    <w:p w:rsidR="00F519B5" w:rsidRDefault="00324CA4" w:rsidP="00B169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D82AA1">
        <w:rPr>
          <w:rFonts w:ascii="Times New Roman" w:hAnsi="Times New Roman" w:cs="Times New Roman"/>
          <w:color w:val="000000"/>
        </w:rPr>
        <w:t xml:space="preserve"> </w:t>
      </w:r>
      <w:r w:rsidR="00283FB6">
        <w:rPr>
          <w:rFonts w:ascii="Times New Roman" w:hAnsi="Times New Roman" w:cs="Times New Roman"/>
          <w:color w:val="000000"/>
        </w:rPr>
        <w:t xml:space="preserve">Hematologia. </w:t>
      </w:r>
      <w:r w:rsidR="00D82AA1">
        <w:rPr>
          <w:rFonts w:ascii="Times New Roman" w:hAnsi="Times New Roman" w:cs="Times New Roman"/>
          <w:color w:val="000000"/>
        </w:rPr>
        <w:t>Anemia falciforme</w:t>
      </w:r>
      <w:r w:rsidR="001C422C" w:rsidRPr="00BD6489">
        <w:rPr>
          <w:rFonts w:ascii="Times New Roman" w:hAnsi="Times New Roman" w:cs="Times New Roman"/>
          <w:color w:val="000000"/>
        </w:rPr>
        <w:t xml:space="preserve">. </w:t>
      </w:r>
      <w:r w:rsidR="00D82AA1">
        <w:rPr>
          <w:rFonts w:ascii="Times New Roman" w:hAnsi="Times New Roman" w:cs="Times New Roman"/>
          <w:color w:val="000000"/>
        </w:rPr>
        <w:t>Infecções por coronavírus.</w:t>
      </w:r>
      <w:r w:rsidR="00ED59D3">
        <w:rPr>
          <w:rFonts w:ascii="Times New Roman" w:hAnsi="Times New Roman" w:cs="Times New Roman"/>
          <w:color w:val="000000"/>
        </w:rPr>
        <w:t xml:space="preserve"> </w:t>
      </w:r>
    </w:p>
    <w:p w:rsidR="001C422C" w:rsidRPr="00324CA4" w:rsidRDefault="001C422C" w:rsidP="00C132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D82AA1">
        <w:rPr>
          <w:rFonts w:ascii="Times New Roman" w:hAnsi="Times New Roman" w:cs="Times New Roman"/>
          <w:color w:val="000000"/>
        </w:rPr>
        <w:t>Temas livres.</w:t>
      </w:r>
    </w:p>
    <w:p w:rsidR="001C422C" w:rsidRPr="00BD6489" w:rsidRDefault="00B466BF" w:rsidP="00934EBF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:rsidR="00ED59D3" w:rsidRDefault="00ED59D3" w:rsidP="00BA21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D59D3">
        <w:rPr>
          <w:rFonts w:ascii="Times New Roman" w:hAnsi="Times New Roman" w:cs="Times New Roman"/>
          <w:color w:val="000000"/>
        </w:rPr>
        <w:t xml:space="preserve">A </w:t>
      </w:r>
      <w:r w:rsidRPr="00C1320B">
        <w:rPr>
          <w:rFonts w:ascii="Times New Roman" w:hAnsi="Times New Roman" w:cs="Times New Roman"/>
          <w:i/>
          <w:color w:val="000000"/>
        </w:rPr>
        <w:t>Coronavirus disease</w:t>
      </w:r>
      <w:r w:rsidRPr="00ED59D3">
        <w:rPr>
          <w:rFonts w:ascii="Times New Roman" w:hAnsi="Times New Roman" w:cs="Times New Roman"/>
          <w:color w:val="000000"/>
        </w:rPr>
        <w:t xml:space="preserve"> (Covid-19) é uma doença causada pel</w:t>
      </w:r>
      <w:r w:rsidR="00B35F7B">
        <w:rPr>
          <w:rFonts w:ascii="Times New Roman" w:hAnsi="Times New Roman" w:cs="Times New Roman"/>
          <w:color w:val="000000"/>
        </w:rPr>
        <w:t>o Novo Coronavírus (SARS-CoV-2) e</w:t>
      </w:r>
      <w:r w:rsidRPr="00ED59D3">
        <w:rPr>
          <w:rFonts w:ascii="Times New Roman" w:hAnsi="Times New Roman" w:cs="Times New Roman"/>
          <w:color w:val="000000"/>
        </w:rPr>
        <w:t xml:space="preserve"> trata-se de uma síndrome respiratória aguda grave. Os sintomas clínicos desta doença são principalmente de natureza respiratória, como tosse, coriza e dificuldade para respirar. Além disso, as infecções respiratórias podem ser de três tipos: brandas, moderadas de curta duração e graves, sendo este o quadro mais comum em pessoas que estão presentes no grupo de alto risco. Além de diabéticos e hipertensos, um grupo de risco acometido gravement</w:t>
      </w:r>
      <w:r w:rsidR="00B35F7B">
        <w:rPr>
          <w:rFonts w:ascii="Times New Roman" w:hAnsi="Times New Roman" w:cs="Times New Roman"/>
          <w:color w:val="000000"/>
        </w:rPr>
        <w:t>e são os pacientes que possuem Anemia F</w:t>
      </w:r>
      <w:r w:rsidRPr="00ED59D3">
        <w:rPr>
          <w:rFonts w:ascii="Times New Roman" w:hAnsi="Times New Roman" w:cs="Times New Roman"/>
          <w:color w:val="000000"/>
        </w:rPr>
        <w:t>alciforme (AF), não só por se tratar de uma deformação das hemácias provocando um déficit no transporte de oxigênio, mas também por ser uma condição imunocomprometida e sujeita facilmente a infecções respiratórias, podendo evoluir para complicações pulmonares</w:t>
      </w:r>
      <w:r w:rsidR="00B35F7B">
        <w:rPr>
          <w:rFonts w:ascii="Times New Roman" w:hAnsi="Times New Roman" w:cs="Times New Roman"/>
          <w:color w:val="000000"/>
        </w:rPr>
        <w:t>,</w:t>
      </w:r>
      <w:r w:rsidRPr="00ED59D3">
        <w:rPr>
          <w:rFonts w:ascii="Times New Roman" w:hAnsi="Times New Roman" w:cs="Times New Roman"/>
          <w:color w:val="000000"/>
        </w:rPr>
        <w:t xml:space="preserve"> como a síndrome torácica aguda. O objetivo deste trabalho foi procurar indícios sobre a relação entre Covid-19 e a anemia falciforme a partir de uma revisão bibliográfica.</w:t>
      </w:r>
    </w:p>
    <w:p w:rsidR="00BA216C" w:rsidRPr="00BD6489" w:rsidRDefault="00BA216C" w:rsidP="003D2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1C422C" w:rsidRPr="00BD6489" w:rsidRDefault="00B466BF" w:rsidP="00934EBF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METODOLOGIA</w:t>
      </w:r>
    </w:p>
    <w:p w:rsidR="00D82AA1" w:rsidRDefault="00D82AA1" w:rsidP="00C1320B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</w:rPr>
        <w:t>Tratou-se de uma revisão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bibliográfica, mas sem se propor ao esgotamento do tema, na qual se utilizou as bases de dados Biblioteca Virtual em Saúde (BVS), PubMed</w:t>
      </w:r>
      <w:r w:rsidR="00625D67">
        <w:rPr>
          <w:color w:val="000000"/>
        </w:rPr>
        <w:t xml:space="preserve"> e</w:t>
      </w:r>
      <w:r>
        <w:rPr>
          <w:color w:val="000000"/>
        </w:rPr>
        <w:t xml:space="preserve"> Scielo</w:t>
      </w:r>
      <w:r w:rsidR="00625D67">
        <w:rPr>
          <w:color w:val="000000"/>
        </w:rPr>
        <w:t>, além</w:t>
      </w:r>
      <w:r>
        <w:rPr>
          <w:color w:val="000000"/>
        </w:rPr>
        <w:t xml:space="preserve"> </w:t>
      </w:r>
      <w:r w:rsidR="00625D67">
        <w:rPr>
          <w:color w:val="000000"/>
        </w:rPr>
        <w:t>d</w:t>
      </w:r>
      <w:r>
        <w:rPr>
          <w:color w:val="000000"/>
        </w:rPr>
        <w:t>os descritores "</w:t>
      </w:r>
      <w:r>
        <w:rPr>
          <w:i/>
          <w:iCs/>
          <w:color w:val="000000"/>
        </w:rPr>
        <w:t>Sickle Cell Anemia</w:t>
      </w:r>
      <w:r>
        <w:rPr>
          <w:color w:val="000000"/>
        </w:rPr>
        <w:t>” e “</w:t>
      </w:r>
      <w:r>
        <w:rPr>
          <w:i/>
          <w:iCs/>
          <w:color w:val="000000"/>
        </w:rPr>
        <w:t>Coronavirus Infections</w:t>
      </w:r>
      <w:r>
        <w:rPr>
          <w:color w:val="000000"/>
        </w:rPr>
        <w:t>”</w:t>
      </w:r>
      <w:r w:rsidR="00625D67">
        <w:rPr>
          <w:color w:val="000000"/>
          <w:shd w:val="clear" w:color="auto" w:fill="FFFFFF"/>
        </w:rPr>
        <w:t>, ligado</w:t>
      </w:r>
      <w:r>
        <w:rPr>
          <w:color w:val="000000"/>
          <w:shd w:val="clear" w:color="auto" w:fill="FFFFFF"/>
        </w:rPr>
        <w:t xml:space="preserve">s pelo operador booleano </w:t>
      </w:r>
      <w:r w:rsidR="00B35F7B">
        <w:rPr>
          <w:color w:val="000000"/>
          <w:shd w:val="clear" w:color="auto" w:fill="FFFFFF"/>
        </w:rPr>
        <w:t>“</w:t>
      </w:r>
      <w:r>
        <w:rPr>
          <w:color w:val="000000"/>
          <w:shd w:val="clear" w:color="auto" w:fill="FFFFFF"/>
        </w:rPr>
        <w:t>AND</w:t>
      </w:r>
      <w:r w:rsidR="00B35F7B">
        <w:rPr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. Foram incluídos na pesquisa artigos disponíveis gratuitamente, publicados no período de 2010 a 2020, e excluídos os artigos </w:t>
      </w:r>
      <w:r w:rsidR="009A0412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não abordam a anemia falciforme no contexto da pandemia mundial causada pelo Covid-19. </w:t>
      </w:r>
    </w:p>
    <w:p w:rsidR="00BA216C" w:rsidRDefault="00BA216C" w:rsidP="003D20CF">
      <w:pPr>
        <w:pStyle w:val="NormalWeb"/>
        <w:spacing w:before="0" w:beforeAutospacing="0" w:after="0" w:afterAutospacing="0" w:line="360" w:lineRule="auto"/>
        <w:jc w:val="both"/>
      </w:pPr>
    </w:p>
    <w:p w:rsidR="001C422C" w:rsidRPr="00BD6489" w:rsidRDefault="00B466BF" w:rsidP="00934EBF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RESULTADOS E DISCUSSÃO</w:t>
      </w:r>
    </w:p>
    <w:p w:rsidR="00B35F7B" w:rsidRPr="00B35F7B" w:rsidRDefault="00B35F7B" w:rsidP="00B35F7B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Com os descritores e os critérios de inclusão e exclusão utilizados, foram encontrados 30 resultados, dos quais 11 artigos foram utilizados como base para o estudo.</w:t>
      </w:r>
    </w:p>
    <w:p w:rsidR="00D82AA1" w:rsidRPr="00D82AA1" w:rsidRDefault="00B35F7B" w:rsidP="00F7665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partir deles, v</w:t>
      </w:r>
      <w:r w:rsidR="00D82AA1" w:rsidRPr="00D82AA1">
        <w:rPr>
          <w:rFonts w:ascii="Times New Roman" w:hAnsi="Times New Roman" w:cs="Times New Roman"/>
          <w:color w:val="000000"/>
        </w:rPr>
        <w:t>iu-se que o SARS-CoV-2 ataca os receptores do sistema respiratório do corpo humano, mas as evidências não são acuradas quanto ao ataque às células sanguíneas. Os pacientes com anemia falciforme são propensos a infecções virais e bacterianas, em parte devido à asplenia funcional, promovendo</w:t>
      </w:r>
      <w:r w:rsidR="000652FD">
        <w:rPr>
          <w:rFonts w:ascii="Times New Roman" w:hAnsi="Times New Roman" w:cs="Times New Roman"/>
          <w:color w:val="000000"/>
        </w:rPr>
        <w:t>,</w:t>
      </w:r>
      <w:r w:rsidR="00D82AA1" w:rsidRPr="00D82AA1">
        <w:rPr>
          <w:rFonts w:ascii="Times New Roman" w:hAnsi="Times New Roman" w:cs="Times New Roman"/>
          <w:color w:val="000000"/>
        </w:rPr>
        <w:t xml:space="preserve"> assim</w:t>
      </w:r>
      <w:r w:rsidR="000652FD">
        <w:rPr>
          <w:rFonts w:ascii="Times New Roman" w:hAnsi="Times New Roman" w:cs="Times New Roman"/>
          <w:color w:val="000000"/>
        </w:rPr>
        <w:t>,</w:t>
      </w:r>
      <w:r w:rsidR="00D82AA1" w:rsidRPr="00D82AA1">
        <w:rPr>
          <w:rFonts w:ascii="Times New Roman" w:hAnsi="Times New Roman" w:cs="Times New Roman"/>
          <w:color w:val="000000"/>
        </w:rPr>
        <w:t xml:space="preserve"> um risco aumentado de pneumonia viral e hipóxia, possibilitando crise vaso-oclusiva ou síndrome aguda do tórax</w:t>
      </w:r>
      <w:r w:rsidR="000652FD">
        <w:rPr>
          <w:rFonts w:ascii="Times New Roman" w:hAnsi="Times New Roman" w:cs="Times New Roman"/>
          <w:color w:val="000000"/>
        </w:rPr>
        <w:t>,</w:t>
      </w:r>
      <w:r w:rsidR="00D82AA1" w:rsidRPr="00D82AA1">
        <w:rPr>
          <w:rFonts w:ascii="Times New Roman" w:hAnsi="Times New Roman" w:cs="Times New Roman"/>
          <w:color w:val="000000"/>
        </w:rPr>
        <w:t xml:space="preserve"> que requer transfusão de sangue, o que os tornam mais vulneráveis no tocante ao trato respiratório</w:t>
      </w:r>
      <w:r w:rsidR="00DD7D86">
        <w:rPr>
          <w:rFonts w:ascii="Times New Roman" w:hAnsi="Times New Roman" w:cs="Times New Roman"/>
          <w:color w:val="000000"/>
        </w:rPr>
        <w:t xml:space="preserve"> (</w:t>
      </w:r>
      <w:r w:rsidR="009557ED">
        <w:rPr>
          <w:rFonts w:ascii="Times New Roman" w:hAnsi="Times New Roman" w:cs="Times New Roman"/>
          <w:color w:val="000000"/>
        </w:rPr>
        <w:t>R</w:t>
      </w:r>
      <w:r w:rsidR="00DD7D86">
        <w:rPr>
          <w:rFonts w:ascii="Times New Roman" w:hAnsi="Times New Roman" w:cs="Times New Roman"/>
          <w:color w:val="000000"/>
        </w:rPr>
        <w:t xml:space="preserve">OY </w:t>
      </w:r>
      <w:r w:rsidR="00DD7D86">
        <w:rPr>
          <w:rFonts w:ascii="Times New Roman" w:hAnsi="Times New Roman" w:cs="Times New Roman"/>
          <w:i/>
          <w:color w:val="000000"/>
        </w:rPr>
        <w:t>et al</w:t>
      </w:r>
      <w:r w:rsidR="00A517F9">
        <w:rPr>
          <w:rFonts w:ascii="Times New Roman" w:hAnsi="Times New Roman" w:cs="Times New Roman"/>
          <w:i/>
          <w:color w:val="000000"/>
        </w:rPr>
        <w:t>.</w:t>
      </w:r>
      <w:r w:rsidR="009557ED">
        <w:rPr>
          <w:rFonts w:ascii="Times New Roman" w:hAnsi="Times New Roman" w:cs="Times New Roman"/>
          <w:color w:val="000000"/>
        </w:rPr>
        <w:t>, 2020</w:t>
      </w:r>
      <w:r w:rsidR="009557ED" w:rsidRPr="00DD7D86">
        <w:rPr>
          <w:rFonts w:ascii="Times New Roman" w:hAnsi="Times New Roman" w:cs="Times New Roman"/>
        </w:rPr>
        <w:t>)</w:t>
      </w:r>
      <w:r w:rsidR="00D82AA1" w:rsidRPr="00DD7D86">
        <w:rPr>
          <w:rFonts w:ascii="Times New Roman" w:hAnsi="Times New Roman" w:cs="Times New Roman"/>
        </w:rPr>
        <w:t>.</w:t>
      </w:r>
      <w:r w:rsidR="00D82AA1" w:rsidRPr="00D82AA1">
        <w:rPr>
          <w:rFonts w:ascii="Times New Roman" w:hAnsi="Times New Roman" w:cs="Times New Roman"/>
          <w:color w:val="000000"/>
        </w:rPr>
        <w:t xml:space="preserve"> </w:t>
      </w:r>
      <w:r w:rsidR="00D82AA1" w:rsidRPr="00FF7A0D">
        <w:rPr>
          <w:rFonts w:ascii="Times New Roman" w:hAnsi="Times New Roman" w:cs="Times New Roman"/>
          <w:color w:val="000000"/>
        </w:rPr>
        <w:t xml:space="preserve">Estudos feitos em diferentes países elencaram detalhes da evolução de pacientes nessa </w:t>
      </w:r>
      <w:r w:rsidR="00D82AA1" w:rsidRPr="00FF7A0D">
        <w:rPr>
          <w:rFonts w:ascii="Times New Roman" w:hAnsi="Times New Roman" w:cs="Times New Roman"/>
          <w:color w:val="000000"/>
        </w:rPr>
        <w:lastRenderedPageBreak/>
        <w:t xml:space="preserve">situação, trazendo como destaque a piora no quadro de infectados que, por conta da </w:t>
      </w:r>
      <w:r w:rsidR="000652FD">
        <w:rPr>
          <w:rFonts w:ascii="Times New Roman" w:hAnsi="Times New Roman" w:cs="Times New Roman"/>
          <w:color w:val="000000"/>
        </w:rPr>
        <w:t>anemia</w:t>
      </w:r>
      <w:r w:rsidR="00D82AA1" w:rsidRPr="00FF7A0D">
        <w:rPr>
          <w:rFonts w:ascii="Times New Roman" w:hAnsi="Times New Roman" w:cs="Times New Roman"/>
          <w:color w:val="000000"/>
        </w:rPr>
        <w:t xml:space="preserve"> falciforme, desenvolveram crises vaso-oclusivas, além de outras comorbidades, como doença pulmonar preexistente grave.</w:t>
      </w:r>
    </w:p>
    <w:p w:rsidR="000652FD" w:rsidRDefault="000652FD" w:rsidP="00F7665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Porém, a</w:t>
      </w:r>
      <w:r w:rsidR="00D82AA1" w:rsidRPr="00D82AA1">
        <w:rPr>
          <w:rFonts w:ascii="Times New Roman" w:hAnsi="Times New Roman" w:cs="Times New Roman"/>
          <w:color w:val="000000"/>
        </w:rPr>
        <w:t xml:space="preserve">inda há poucos dados sobre como a </w:t>
      </w:r>
      <w:r>
        <w:rPr>
          <w:rFonts w:ascii="Times New Roman" w:hAnsi="Times New Roman" w:cs="Times New Roman"/>
          <w:color w:val="000000"/>
        </w:rPr>
        <w:t>pandemia da</w:t>
      </w:r>
      <w:r w:rsidR="00D82AA1" w:rsidRPr="00D82AA1">
        <w:rPr>
          <w:rFonts w:ascii="Times New Roman" w:hAnsi="Times New Roman" w:cs="Times New Roman"/>
          <w:color w:val="000000"/>
        </w:rPr>
        <w:t xml:space="preserve"> Covid-19 pode complica</w:t>
      </w:r>
      <w:r>
        <w:rPr>
          <w:rFonts w:ascii="Times New Roman" w:hAnsi="Times New Roman" w:cs="Times New Roman"/>
          <w:color w:val="000000"/>
        </w:rPr>
        <w:t>r a vida dos pacientes com anemi</w:t>
      </w:r>
      <w:r w:rsidR="00D82AA1" w:rsidRPr="00D82AA1">
        <w:rPr>
          <w:rFonts w:ascii="Times New Roman" w:hAnsi="Times New Roman" w:cs="Times New Roman"/>
          <w:color w:val="000000"/>
        </w:rPr>
        <w:t>a falciforme. Sabe-se que a síndrome torácica aguda é uma das principais causas de morte em pacientes com anemia falciforme e essa complicação grave é mais frequentemente desencadeada por uma infecção respiratória. Assim, pacientes falciformes hospitalizados devem ser monitorados no que tange ao desenvolvimento de síndrome torácica aguda e, se isso ocorrer, a transfusão sanguínea deve ser iniciada</w:t>
      </w:r>
      <w:r w:rsidR="00EB6A82">
        <w:rPr>
          <w:rFonts w:ascii="Times New Roman" w:hAnsi="Times New Roman" w:cs="Times New Roman"/>
          <w:color w:val="000000"/>
        </w:rPr>
        <w:t xml:space="preserve"> </w:t>
      </w:r>
      <w:r w:rsidR="00EB6A82" w:rsidRPr="00DD7D86">
        <w:rPr>
          <w:rFonts w:ascii="Times New Roman" w:hAnsi="Times New Roman" w:cs="Times New Roman"/>
        </w:rPr>
        <w:t>(</w:t>
      </w:r>
      <w:r w:rsidR="000A450A" w:rsidRPr="000A450A">
        <w:rPr>
          <w:rFonts w:ascii="Times New Roman" w:hAnsi="Times New Roman" w:cs="Times New Roman"/>
        </w:rPr>
        <w:t xml:space="preserve">BEERKENS </w:t>
      </w:r>
      <w:r w:rsidR="007040EA" w:rsidRPr="00DD7D86">
        <w:rPr>
          <w:rFonts w:ascii="Times New Roman" w:hAnsi="Times New Roman" w:cs="Times New Roman"/>
          <w:i/>
        </w:rPr>
        <w:t>et al</w:t>
      </w:r>
      <w:r w:rsidR="00A517F9">
        <w:rPr>
          <w:rFonts w:ascii="Times New Roman" w:hAnsi="Times New Roman" w:cs="Times New Roman"/>
          <w:i/>
        </w:rPr>
        <w:t>.</w:t>
      </w:r>
      <w:r w:rsidR="00EB6A82" w:rsidRPr="00DD7D86">
        <w:rPr>
          <w:rFonts w:ascii="Times New Roman" w:hAnsi="Times New Roman" w:cs="Times New Roman"/>
        </w:rPr>
        <w:t>, 2020; HUSSAIN</w:t>
      </w:r>
      <w:r w:rsidR="007040EA" w:rsidRPr="00DD7D86">
        <w:rPr>
          <w:rFonts w:ascii="Times New Roman" w:hAnsi="Times New Roman" w:cs="Times New Roman"/>
        </w:rPr>
        <w:t xml:space="preserve"> </w:t>
      </w:r>
      <w:r w:rsidR="007040EA" w:rsidRPr="00DD7D86">
        <w:rPr>
          <w:rFonts w:ascii="Times New Roman" w:hAnsi="Times New Roman" w:cs="Times New Roman"/>
          <w:i/>
        </w:rPr>
        <w:t>et al</w:t>
      </w:r>
      <w:r w:rsidR="00A517F9">
        <w:rPr>
          <w:rFonts w:ascii="Times New Roman" w:hAnsi="Times New Roman" w:cs="Times New Roman"/>
          <w:i/>
        </w:rPr>
        <w:t>.</w:t>
      </w:r>
      <w:r w:rsidR="00EB6A82" w:rsidRPr="00DD7D86">
        <w:rPr>
          <w:rFonts w:ascii="Times New Roman" w:hAnsi="Times New Roman" w:cs="Times New Roman"/>
        </w:rPr>
        <w:t>, 2020)</w:t>
      </w:r>
      <w:r w:rsidR="00D82AA1" w:rsidRPr="00DD7D86">
        <w:rPr>
          <w:rFonts w:ascii="Times New Roman" w:hAnsi="Times New Roman" w:cs="Times New Roman"/>
        </w:rPr>
        <w:t xml:space="preserve">. </w:t>
      </w:r>
    </w:p>
    <w:p w:rsidR="00D82AA1" w:rsidRPr="00DD7D86" w:rsidRDefault="00D82AA1" w:rsidP="00F7665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7D86">
        <w:rPr>
          <w:rFonts w:ascii="Times New Roman" w:hAnsi="Times New Roman" w:cs="Times New Roman"/>
        </w:rPr>
        <w:t xml:space="preserve">Ademais, alguns estudos alertam para a redução de suprimento sanguíneo, em função da possível diminuição do número de doadores de sangue e de profissionais de saúde responsáveis </w:t>
      </w:r>
      <w:r w:rsidR="00283FB6" w:rsidRPr="00DD7D86">
        <w:rPr>
          <w:rFonts w:ascii="Times New Roman" w:hAnsi="Times New Roman" w:cs="Times New Roman"/>
        </w:rPr>
        <w:t>pela coleta, o que poderá afet</w:t>
      </w:r>
      <w:r w:rsidRPr="00DD7D86">
        <w:rPr>
          <w:rFonts w:ascii="Times New Roman" w:hAnsi="Times New Roman" w:cs="Times New Roman"/>
        </w:rPr>
        <w:t>ar pacientes com anemia falciforme e histórico</w:t>
      </w:r>
      <w:r w:rsidR="000652FD">
        <w:rPr>
          <w:rFonts w:ascii="Times New Roman" w:hAnsi="Times New Roman" w:cs="Times New Roman"/>
        </w:rPr>
        <w:t xml:space="preserve"> de Acidente Vascular C</w:t>
      </w:r>
      <w:r w:rsidRPr="00DD7D86">
        <w:rPr>
          <w:rFonts w:ascii="Times New Roman" w:hAnsi="Times New Roman" w:cs="Times New Roman"/>
        </w:rPr>
        <w:t>erebral (AVC), pois esses apresentam maior risco de AVC recorrente na ausência de terapia regular de transfusão sanguínea</w:t>
      </w:r>
      <w:r w:rsidR="00EB6A82" w:rsidRPr="00DD7D86">
        <w:rPr>
          <w:rFonts w:ascii="Times New Roman" w:hAnsi="Times New Roman" w:cs="Times New Roman"/>
        </w:rPr>
        <w:t xml:space="preserve"> (DEBAUN, 2020)</w:t>
      </w:r>
      <w:r w:rsidRPr="00DD7D86">
        <w:rPr>
          <w:rFonts w:ascii="Times New Roman" w:hAnsi="Times New Roman" w:cs="Times New Roman"/>
        </w:rPr>
        <w:t xml:space="preserve">. </w:t>
      </w:r>
    </w:p>
    <w:p w:rsidR="00C3362A" w:rsidRDefault="000652FD" w:rsidP="00F7665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Assim, m</w:t>
      </w:r>
      <w:r w:rsidR="00D82AA1" w:rsidRPr="00D82AA1">
        <w:rPr>
          <w:rFonts w:ascii="Times New Roman" w:hAnsi="Times New Roman" w:cs="Times New Roman"/>
          <w:color w:val="000000"/>
        </w:rPr>
        <w:t>uitos dos pacientes com anemia falciforme são imunocomprometidos, ou seja, possuem falhas nos mecanismos imunológicos e essa imunodeficiência pode gerar complicações</w:t>
      </w:r>
      <w:r>
        <w:rPr>
          <w:rFonts w:ascii="Times New Roman" w:hAnsi="Times New Roman" w:cs="Times New Roman"/>
          <w:color w:val="000000"/>
        </w:rPr>
        <w:t>,</w:t>
      </w:r>
      <w:r w:rsidR="00D82AA1" w:rsidRPr="00D82AA1">
        <w:rPr>
          <w:rFonts w:ascii="Times New Roman" w:hAnsi="Times New Roman" w:cs="Times New Roman"/>
          <w:color w:val="000000"/>
        </w:rPr>
        <w:t xml:space="preserve"> ao contraírem o vírus SARS-CoV-2. Depois de infectado, as problemáticas</w:t>
      </w:r>
      <w:r>
        <w:rPr>
          <w:rFonts w:ascii="Times New Roman" w:hAnsi="Times New Roman" w:cs="Times New Roman"/>
          <w:color w:val="000000"/>
        </w:rPr>
        <w:t>,</w:t>
      </w:r>
      <w:r w:rsidR="00D82AA1" w:rsidRPr="00D82AA1">
        <w:rPr>
          <w:rFonts w:ascii="Times New Roman" w:hAnsi="Times New Roman" w:cs="Times New Roman"/>
          <w:color w:val="000000"/>
        </w:rPr>
        <w:t xml:space="preserve"> no que dizem respeito ao vírus</w:t>
      </w:r>
      <w:r>
        <w:rPr>
          <w:rFonts w:ascii="Times New Roman" w:hAnsi="Times New Roman" w:cs="Times New Roman"/>
          <w:color w:val="000000"/>
        </w:rPr>
        <w:t>,</w:t>
      </w:r>
      <w:r w:rsidR="00D82AA1" w:rsidRPr="00D82AA1">
        <w:rPr>
          <w:rFonts w:ascii="Times New Roman" w:hAnsi="Times New Roman" w:cs="Times New Roman"/>
          <w:color w:val="000000"/>
        </w:rPr>
        <w:t xml:space="preserve"> só aumentam, pois ainda não está evidenciado </w:t>
      </w:r>
      <w:r>
        <w:rPr>
          <w:rFonts w:ascii="Times New Roman" w:hAnsi="Times New Roman" w:cs="Times New Roman"/>
          <w:color w:val="000000"/>
        </w:rPr>
        <w:t>como este age no corpo humano. C</w:t>
      </w:r>
      <w:r w:rsidR="00D82AA1" w:rsidRPr="00D82AA1">
        <w:rPr>
          <w:rFonts w:ascii="Times New Roman" w:hAnsi="Times New Roman" w:cs="Times New Roman"/>
          <w:color w:val="000000"/>
        </w:rPr>
        <w:t xml:space="preserve">onsequentemente, não há uma forma de tratamento com comprovada eficácia contra a doença ou o desenvolvimento de vacina, por isso os médicos se concentram apenas em aliviar os sintomas. Logo, </w:t>
      </w:r>
      <w:r w:rsidR="00D82AA1" w:rsidRPr="00EB737C">
        <w:rPr>
          <w:rFonts w:ascii="Times New Roman" w:hAnsi="Times New Roman" w:cs="Times New Roman"/>
        </w:rPr>
        <w:t>a</w:t>
      </w:r>
      <w:r w:rsidR="00EB737C" w:rsidRPr="00EB737C">
        <w:rPr>
          <w:rFonts w:ascii="Times New Roman" w:hAnsi="Times New Roman" w:cs="Times New Roman"/>
        </w:rPr>
        <w:t>s</w:t>
      </w:r>
      <w:r w:rsidR="00D82AA1" w:rsidRPr="00D82AA1">
        <w:rPr>
          <w:rFonts w:ascii="Times New Roman" w:hAnsi="Times New Roman" w:cs="Times New Roman"/>
          <w:color w:val="000000"/>
        </w:rPr>
        <w:t xml:space="preserve"> informações e detalhes precisos para o médi</w:t>
      </w:r>
      <w:r w:rsidR="00EB737C">
        <w:rPr>
          <w:rFonts w:ascii="Times New Roman" w:hAnsi="Times New Roman" w:cs="Times New Roman"/>
          <w:color w:val="000000"/>
        </w:rPr>
        <w:t>co são</w:t>
      </w:r>
      <w:r w:rsidR="00D82AA1" w:rsidRPr="00D82AA1">
        <w:rPr>
          <w:rFonts w:ascii="Times New Roman" w:hAnsi="Times New Roman" w:cs="Times New Roman"/>
          <w:color w:val="000000"/>
        </w:rPr>
        <w:t xml:space="preserve"> de extrema importância. </w:t>
      </w:r>
    </w:p>
    <w:p w:rsidR="00D82AA1" w:rsidRDefault="00D82AA1" w:rsidP="00F7665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82AA1">
        <w:rPr>
          <w:rFonts w:ascii="Times New Roman" w:hAnsi="Times New Roman" w:cs="Times New Roman"/>
          <w:color w:val="000000"/>
        </w:rPr>
        <w:t xml:space="preserve">No caso de pacientes com anemia falciforme que possuem o risco maior de infecção bacteriana fulminante, alguns dos sintomas como febre e mal-estar podem ser facilmente confundidos com os sintomas de Covid-19 dificultando, dessa forma, a antibioticoterapia. Devido à pandemia de Covid-19, em alguns países, pacientes com distúrbios na hemoglobina tiveram suas formas de tratamento modificadas. </w:t>
      </w:r>
      <w:r w:rsidRPr="00FF7A0D">
        <w:rPr>
          <w:rFonts w:ascii="Times New Roman" w:hAnsi="Times New Roman" w:cs="Times New Roman"/>
          <w:color w:val="000000"/>
        </w:rPr>
        <w:t>No Reino Unido, foram adota</w:t>
      </w:r>
      <w:r w:rsidR="0036262D" w:rsidRPr="00FF7A0D">
        <w:rPr>
          <w:rFonts w:ascii="Times New Roman" w:hAnsi="Times New Roman" w:cs="Times New Roman"/>
          <w:color w:val="000000"/>
        </w:rPr>
        <w:t>da</w:t>
      </w:r>
      <w:r w:rsidRPr="00FF7A0D">
        <w:rPr>
          <w:rFonts w:ascii="Times New Roman" w:hAnsi="Times New Roman" w:cs="Times New Roman"/>
          <w:color w:val="000000"/>
        </w:rPr>
        <w:t>s orientações com o objetivo de modificar os cuidados prestados aos pacientes portadores de AF.</w:t>
      </w:r>
      <w:r w:rsidRPr="00D82AA1">
        <w:rPr>
          <w:rFonts w:ascii="Times New Roman" w:hAnsi="Times New Roman" w:cs="Times New Roman"/>
          <w:color w:val="000000"/>
        </w:rPr>
        <w:t xml:space="preserve"> Sabendo-se da redução dos estoques sanguíneos durante a pandemia, houve uma mudança na triagem da transfusão e aqueles pacientes que possuíam um regime de transfusão crônica iriam cont</w:t>
      </w:r>
      <w:r w:rsidR="00207C4F">
        <w:rPr>
          <w:rFonts w:ascii="Times New Roman" w:hAnsi="Times New Roman" w:cs="Times New Roman"/>
          <w:color w:val="000000"/>
        </w:rPr>
        <w:t xml:space="preserve">inuar com o tratamento normal, </w:t>
      </w:r>
      <w:r w:rsidRPr="00FF7A0D">
        <w:rPr>
          <w:rFonts w:ascii="Times New Roman" w:hAnsi="Times New Roman" w:cs="Times New Roman"/>
          <w:color w:val="000000"/>
        </w:rPr>
        <w:t>enquanto que os pacientes que utilizam desse tratamento para reduzir a frequência de crises vaso-oclusivas tiveram que adotar novas medidas</w:t>
      </w:r>
      <w:r w:rsidR="00C3362A">
        <w:rPr>
          <w:rFonts w:ascii="Times New Roman" w:hAnsi="Times New Roman" w:cs="Times New Roman"/>
          <w:color w:val="000000"/>
        </w:rPr>
        <w:t>,</w:t>
      </w:r>
      <w:r w:rsidRPr="00FF7A0D">
        <w:rPr>
          <w:rFonts w:ascii="Times New Roman" w:hAnsi="Times New Roman" w:cs="Times New Roman"/>
          <w:color w:val="000000"/>
        </w:rPr>
        <w:t xml:space="preserve"> como o alongamento do intervalo transfusional e alteração dos parâmetros transfusionais</w:t>
      </w:r>
      <w:r w:rsidR="000A3D5D" w:rsidRPr="00FF7A0D">
        <w:rPr>
          <w:rFonts w:ascii="Times New Roman" w:hAnsi="Times New Roman" w:cs="Times New Roman"/>
          <w:color w:val="000000"/>
        </w:rPr>
        <w:t xml:space="preserve"> </w:t>
      </w:r>
      <w:r w:rsidR="000A3D5D" w:rsidRPr="00DD7D86">
        <w:rPr>
          <w:rFonts w:ascii="Times New Roman" w:hAnsi="Times New Roman" w:cs="Times New Roman"/>
        </w:rPr>
        <w:t>(ROY</w:t>
      </w:r>
      <w:r w:rsidR="007040EA" w:rsidRPr="00DD7D86">
        <w:rPr>
          <w:rFonts w:ascii="Times New Roman" w:hAnsi="Times New Roman" w:cs="Times New Roman"/>
        </w:rPr>
        <w:t xml:space="preserve"> </w:t>
      </w:r>
      <w:r w:rsidR="007040EA" w:rsidRPr="00DD7D86">
        <w:rPr>
          <w:rFonts w:ascii="Times New Roman" w:hAnsi="Times New Roman" w:cs="Times New Roman"/>
          <w:i/>
        </w:rPr>
        <w:t>et al</w:t>
      </w:r>
      <w:r w:rsidR="00A517F9">
        <w:rPr>
          <w:rFonts w:ascii="Times New Roman" w:hAnsi="Times New Roman" w:cs="Times New Roman"/>
          <w:i/>
        </w:rPr>
        <w:t>.</w:t>
      </w:r>
      <w:r w:rsidR="000A3D5D" w:rsidRPr="00DD7D86">
        <w:rPr>
          <w:rFonts w:ascii="Times New Roman" w:hAnsi="Times New Roman" w:cs="Times New Roman"/>
        </w:rPr>
        <w:t xml:space="preserve">, </w:t>
      </w:r>
      <w:r w:rsidR="000A3D5D" w:rsidRPr="00DD7D86">
        <w:rPr>
          <w:rFonts w:ascii="Times New Roman" w:hAnsi="Times New Roman" w:cs="Times New Roman"/>
        </w:rPr>
        <w:lastRenderedPageBreak/>
        <w:t>2020)</w:t>
      </w:r>
      <w:r w:rsidRPr="00DD7D86">
        <w:rPr>
          <w:rFonts w:ascii="Times New Roman" w:hAnsi="Times New Roman" w:cs="Times New Roman"/>
        </w:rPr>
        <w:t>.</w:t>
      </w:r>
      <w:r w:rsidRPr="00D04D25">
        <w:rPr>
          <w:rFonts w:ascii="Times New Roman" w:hAnsi="Times New Roman" w:cs="Times New Roman"/>
          <w:b/>
          <w:color w:val="000000"/>
        </w:rPr>
        <w:t xml:space="preserve"> </w:t>
      </w:r>
      <w:r w:rsidRPr="00D82AA1">
        <w:rPr>
          <w:rFonts w:ascii="Times New Roman" w:hAnsi="Times New Roman" w:cs="Times New Roman"/>
          <w:color w:val="000000"/>
        </w:rPr>
        <w:t xml:space="preserve">Foi visto que </w:t>
      </w:r>
      <w:r w:rsidR="00C3362A">
        <w:rPr>
          <w:rFonts w:ascii="Times New Roman" w:hAnsi="Times New Roman" w:cs="Times New Roman"/>
          <w:color w:val="000000"/>
        </w:rPr>
        <w:t>n</w:t>
      </w:r>
      <w:r w:rsidRPr="00D82AA1">
        <w:rPr>
          <w:rFonts w:ascii="Times New Roman" w:hAnsi="Times New Roman" w:cs="Times New Roman"/>
          <w:color w:val="000000"/>
        </w:rPr>
        <w:t>a África Subsaariana</w:t>
      </w:r>
      <w:r w:rsidR="00081609">
        <w:rPr>
          <w:rFonts w:ascii="Times New Roman" w:hAnsi="Times New Roman" w:cs="Times New Roman"/>
          <w:color w:val="000000"/>
        </w:rPr>
        <w:t>,</w:t>
      </w:r>
      <w:r w:rsidRPr="00D82AA1">
        <w:rPr>
          <w:rFonts w:ascii="Times New Roman" w:hAnsi="Times New Roman" w:cs="Times New Roman"/>
          <w:color w:val="000000"/>
        </w:rPr>
        <w:t xml:space="preserve"> que possui alto índice global de anemia falciforme, atualmente tem pouco suprimento de sangue, pois</w:t>
      </w:r>
      <w:r w:rsidR="00081609">
        <w:rPr>
          <w:rFonts w:ascii="Times New Roman" w:hAnsi="Times New Roman" w:cs="Times New Roman"/>
          <w:color w:val="000000"/>
        </w:rPr>
        <w:t>,</w:t>
      </w:r>
      <w:r w:rsidRPr="00D82AA1">
        <w:rPr>
          <w:rFonts w:ascii="Times New Roman" w:hAnsi="Times New Roman" w:cs="Times New Roman"/>
          <w:color w:val="000000"/>
        </w:rPr>
        <w:t xml:space="preserve"> nesse período de pandemia</w:t>
      </w:r>
      <w:r w:rsidR="00081609">
        <w:rPr>
          <w:rFonts w:ascii="Times New Roman" w:hAnsi="Times New Roman" w:cs="Times New Roman"/>
          <w:color w:val="000000"/>
        </w:rPr>
        <w:t>,</w:t>
      </w:r>
      <w:r w:rsidRPr="00D82AA1">
        <w:rPr>
          <w:rFonts w:ascii="Times New Roman" w:hAnsi="Times New Roman" w:cs="Times New Roman"/>
          <w:color w:val="000000"/>
        </w:rPr>
        <w:t xml:space="preserve"> as doações foram reduzidas devido </w:t>
      </w:r>
      <w:r w:rsidR="00081609">
        <w:rPr>
          <w:rFonts w:ascii="Times New Roman" w:hAnsi="Times New Roman" w:cs="Times New Roman"/>
          <w:color w:val="000000"/>
        </w:rPr>
        <w:t>à</w:t>
      </w:r>
      <w:r w:rsidRPr="00D82AA1">
        <w:rPr>
          <w:rFonts w:ascii="Times New Roman" w:hAnsi="Times New Roman" w:cs="Times New Roman"/>
          <w:color w:val="000000"/>
        </w:rPr>
        <w:t xml:space="preserve"> doença dos doadores, </w:t>
      </w:r>
      <w:r w:rsidR="00081609">
        <w:rPr>
          <w:rFonts w:ascii="Times New Roman" w:hAnsi="Times New Roman" w:cs="Times New Roman"/>
          <w:color w:val="000000"/>
        </w:rPr>
        <w:t xml:space="preserve">ao </w:t>
      </w:r>
      <w:r w:rsidRPr="00D82AA1">
        <w:rPr>
          <w:rFonts w:ascii="Times New Roman" w:hAnsi="Times New Roman" w:cs="Times New Roman"/>
          <w:color w:val="000000"/>
        </w:rPr>
        <w:t>medo d</w:t>
      </w:r>
      <w:r w:rsidR="00C3362A">
        <w:rPr>
          <w:rFonts w:ascii="Times New Roman" w:hAnsi="Times New Roman" w:cs="Times New Roman"/>
          <w:color w:val="000000"/>
        </w:rPr>
        <w:t>estes</w:t>
      </w:r>
      <w:r w:rsidRPr="00D82AA1">
        <w:rPr>
          <w:rFonts w:ascii="Times New Roman" w:hAnsi="Times New Roman" w:cs="Times New Roman"/>
          <w:color w:val="000000"/>
        </w:rPr>
        <w:t xml:space="preserve"> de contrair o vírus visitando os centros de doação ou até mesmo </w:t>
      </w:r>
      <w:r w:rsidR="00081609">
        <w:rPr>
          <w:rFonts w:ascii="Times New Roman" w:hAnsi="Times New Roman" w:cs="Times New Roman"/>
          <w:color w:val="000000"/>
        </w:rPr>
        <w:t>às</w:t>
      </w:r>
      <w:r w:rsidRPr="00D82AA1">
        <w:rPr>
          <w:rFonts w:ascii="Times New Roman" w:hAnsi="Times New Roman" w:cs="Times New Roman"/>
          <w:color w:val="000000"/>
        </w:rPr>
        <w:t xml:space="preserve"> restrições de entrada e saída dos </w:t>
      </w:r>
      <w:r w:rsidRPr="00DD7D86">
        <w:rPr>
          <w:rFonts w:ascii="Times New Roman" w:hAnsi="Times New Roman" w:cs="Times New Roman"/>
        </w:rPr>
        <w:t>países</w:t>
      </w:r>
      <w:r w:rsidR="00EB6A82" w:rsidRPr="00DD7D86">
        <w:rPr>
          <w:rFonts w:ascii="Times New Roman" w:hAnsi="Times New Roman" w:cs="Times New Roman"/>
        </w:rPr>
        <w:t xml:space="preserve"> (BARRET</w:t>
      </w:r>
      <w:r w:rsidR="000A450A">
        <w:rPr>
          <w:rFonts w:ascii="Times New Roman" w:hAnsi="Times New Roman" w:cs="Times New Roman"/>
        </w:rPr>
        <w:t>T</w:t>
      </w:r>
      <w:r w:rsidR="00EB6A82" w:rsidRPr="00DD7D86">
        <w:rPr>
          <w:rFonts w:ascii="Times New Roman" w:hAnsi="Times New Roman" w:cs="Times New Roman"/>
        </w:rPr>
        <w:t>, 2020)</w:t>
      </w:r>
      <w:r w:rsidRPr="00DD7D86">
        <w:rPr>
          <w:rFonts w:ascii="Times New Roman" w:hAnsi="Times New Roman" w:cs="Times New Roman"/>
        </w:rPr>
        <w:t>. Portanto</w:t>
      </w:r>
      <w:r w:rsidR="00081609">
        <w:rPr>
          <w:rFonts w:ascii="Times New Roman" w:hAnsi="Times New Roman" w:cs="Times New Roman"/>
          <w:color w:val="000000"/>
        </w:rPr>
        <w:t>,</w:t>
      </w:r>
      <w:r w:rsidRPr="00D82AA1">
        <w:rPr>
          <w:rFonts w:ascii="Times New Roman" w:hAnsi="Times New Roman" w:cs="Times New Roman"/>
          <w:color w:val="000000"/>
        </w:rPr>
        <w:t xml:space="preserve"> essas medidas de gerenciamento de sangue acabaram se tornando mais relevantes </w:t>
      </w:r>
      <w:r w:rsidR="00081609">
        <w:rPr>
          <w:rFonts w:ascii="Times New Roman" w:hAnsi="Times New Roman" w:cs="Times New Roman"/>
          <w:color w:val="000000"/>
        </w:rPr>
        <w:t>a</w:t>
      </w:r>
      <w:r w:rsidRPr="00D82AA1">
        <w:rPr>
          <w:rFonts w:ascii="Times New Roman" w:hAnsi="Times New Roman" w:cs="Times New Roman"/>
          <w:color w:val="000000"/>
        </w:rPr>
        <w:t xml:space="preserve">o país para que houvesse um resguardo do suprimento sanguíneo </w:t>
      </w:r>
      <w:r w:rsidR="00081609">
        <w:rPr>
          <w:rFonts w:ascii="Times New Roman" w:hAnsi="Times New Roman" w:cs="Times New Roman"/>
          <w:color w:val="000000"/>
        </w:rPr>
        <w:t>à</w:t>
      </w:r>
      <w:r w:rsidRPr="00D82AA1">
        <w:rPr>
          <w:rFonts w:ascii="Times New Roman" w:hAnsi="Times New Roman" w:cs="Times New Roman"/>
          <w:color w:val="000000"/>
        </w:rPr>
        <w:t>queles que mais precisavam.</w:t>
      </w:r>
    </w:p>
    <w:p w:rsidR="00BA216C" w:rsidRPr="009F0F9E" w:rsidRDefault="00BA216C" w:rsidP="007040E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</w:p>
    <w:p w:rsidR="001C422C" w:rsidRPr="009F0F9E" w:rsidRDefault="00B466BF" w:rsidP="00934EBF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  <w:r w:rsidRPr="009F0F9E">
        <w:rPr>
          <w:rFonts w:ascii="Times New Roman" w:hAnsi="Times New Roman" w:cs="Times New Roman"/>
          <w:b/>
        </w:rPr>
        <w:t>CONCLUSÃO</w:t>
      </w:r>
    </w:p>
    <w:p w:rsidR="001C422C" w:rsidRPr="009F0F9E" w:rsidRDefault="00C3362A" w:rsidP="00F7665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do exposto, pode-se c</w:t>
      </w:r>
      <w:r w:rsidR="00D82AA1" w:rsidRPr="009F0F9E">
        <w:rPr>
          <w:rFonts w:ascii="Times New Roman" w:hAnsi="Times New Roman" w:cs="Times New Roman"/>
        </w:rPr>
        <w:t>onclui</w:t>
      </w:r>
      <w:r>
        <w:rPr>
          <w:rFonts w:ascii="Times New Roman" w:hAnsi="Times New Roman" w:cs="Times New Roman"/>
        </w:rPr>
        <w:t>r</w:t>
      </w:r>
      <w:r w:rsidR="00D82AA1" w:rsidRPr="009F0F9E">
        <w:rPr>
          <w:rFonts w:ascii="Times New Roman" w:hAnsi="Times New Roman" w:cs="Times New Roman"/>
        </w:rPr>
        <w:t xml:space="preserve"> que há poucos dados </w:t>
      </w:r>
      <w:r>
        <w:rPr>
          <w:rFonts w:ascii="Times New Roman" w:hAnsi="Times New Roman" w:cs="Times New Roman"/>
        </w:rPr>
        <w:t>d</w:t>
      </w:r>
      <w:r w:rsidR="00D82AA1" w:rsidRPr="009F0F9E">
        <w:rPr>
          <w:rFonts w:ascii="Times New Roman" w:hAnsi="Times New Roman" w:cs="Times New Roman"/>
        </w:rPr>
        <w:t>a Covid-19 associada a pacientes pregressos a</w:t>
      </w:r>
      <w:r>
        <w:rPr>
          <w:rFonts w:ascii="Times New Roman" w:hAnsi="Times New Roman" w:cs="Times New Roman"/>
        </w:rPr>
        <w:t>cometidos por anemia falciforme. P</w:t>
      </w:r>
      <w:r w:rsidR="00D82AA1" w:rsidRPr="009F0F9E">
        <w:rPr>
          <w:rFonts w:ascii="Times New Roman" w:hAnsi="Times New Roman" w:cs="Times New Roman"/>
        </w:rPr>
        <w:t>or isso</w:t>
      </w:r>
      <w:r>
        <w:rPr>
          <w:rFonts w:ascii="Times New Roman" w:hAnsi="Times New Roman" w:cs="Times New Roman"/>
        </w:rPr>
        <w:t>,</w:t>
      </w:r>
      <w:r w:rsidR="00D82AA1" w:rsidRPr="009F0F9E">
        <w:rPr>
          <w:rFonts w:ascii="Times New Roman" w:hAnsi="Times New Roman" w:cs="Times New Roman"/>
        </w:rPr>
        <w:t xml:space="preserve"> são necessários mais estudos acerca do tema devido à a</w:t>
      </w:r>
      <w:r>
        <w:rPr>
          <w:rFonts w:ascii="Times New Roman" w:hAnsi="Times New Roman" w:cs="Times New Roman"/>
        </w:rPr>
        <w:t xml:space="preserve">lta prevalência dessa patologia </w:t>
      </w:r>
      <w:r w:rsidR="00D82AA1" w:rsidRPr="009F0F9E">
        <w:rPr>
          <w:rFonts w:ascii="Times New Roman" w:hAnsi="Times New Roman" w:cs="Times New Roman"/>
        </w:rPr>
        <w:t>sobretudo no Brasil. Corroborando com isso, tem-se o fato de que o Novo Coronavírus é altamente contagioso, o que reitera a possibilidade de contaminação por grande parte da população mundial</w:t>
      </w:r>
      <w:r>
        <w:rPr>
          <w:rFonts w:ascii="Times New Roman" w:hAnsi="Times New Roman" w:cs="Times New Roman"/>
        </w:rPr>
        <w:t>.</w:t>
      </w:r>
      <w:r w:rsidR="00D82AA1" w:rsidRPr="009F0F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D82AA1" w:rsidRPr="009F0F9E">
        <w:rPr>
          <w:rFonts w:ascii="Times New Roman" w:hAnsi="Times New Roman" w:cs="Times New Roman"/>
        </w:rPr>
        <w:t>ortanto,</w:t>
      </w:r>
      <w:r>
        <w:rPr>
          <w:rFonts w:ascii="Times New Roman" w:hAnsi="Times New Roman" w:cs="Times New Roman"/>
        </w:rPr>
        <w:t xml:space="preserve"> necessita-se</w:t>
      </w:r>
      <w:r w:rsidR="00D82AA1" w:rsidRPr="009F0F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</w:t>
      </w:r>
      <w:r w:rsidR="00D82AA1" w:rsidRPr="009F0F9E">
        <w:rPr>
          <w:rFonts w:ascii="Times New Roman" w:hAnsi="Times New Roman" w:cs="Times New Roman"/>
        </w:rPr>
        <w:t xml:space="preserve"> estudos</w:t>
      </w:r>
      <w:r>
        <w:rPr>
          <w:rFonts w:ascii="Times New Roman" w:hAnsi="Times New Roman" w:cs="Times New Roman"/>
        </w:rPr>
        <w:t xml:space="preserve"> relacionados às duas doenças,</w:t>
      </w:r>
      <w:r w:rsidR="00D82AA1" w:rsidRPr="009F0F9E">
        <w:rPr>
          <w:rFonts w:ascii="Times New Roman" w:hAnsi="Times New Roman" w:cs="Times New Roman"/>
        </w:rPr>
        <w:t xml:space="preserve"> sob todos os aspectos</w:t>
      </w:r>
      <w:r>
        <w:rPr>
          <w:rFonts w:ascii="Times New Roman" w:hAnsi="Times New Roman" w:cs="Times New Roman"/>
        </w:rPr>
        <w:t>,</w:t>
      </w:r>
      <w:r w:rsidR="00D82AA1" w:rsidRPr="009F0F9E">
        <w:rPr>
          <w:rFonts w:ascii="Times New Roman" w:hAnsi="Times New Roman" w:cs="Times New Roman"/>
        </w:rPr>
        <w:t xml:space="preserve"> a fim de aumentar a capacidade de tratamento em indivíduos acometidos por </w:t>
      </w:r>
      <w:r>
        <w:rPr>
          <w:rFonts w:ascii="Times New Roman" w:hAnsi="Times New Roman" w:cs="Times New Roman"/>
        </w:rPr>
        <w:t>el</w:t>
      </w:r>
      <w:r w:rsidR="00D82AA1" w:rsidRPr="009F0F9E">
        <w:rPr>
          <w:rFonts w:ascii="Times New Roman" w:hAnsi="Times New Roman" w:cs="Times New Roman"/>
        </w:rPr>
        <w:t>as simultaneamente.</w:t>
      </w:r>
    </w:p>
    <w:p w:rsidR="00BA216C" w:rsidRPr="00D82AA1" w:rsidRDefault="00BA216C" w:rsidP="007040E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1C422C" w:rsidRPr="009F0F9E" w:rsidRDefault="001C422C" w:rsidP="00DC6EE7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jc w:val="center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b/>
          <w:color w:val="000000"/>
        </w:rPr>
        <w:t>R</w:t>
      </w:r>
      <w:r w:rsidR="00B466BF" w:rsidRPr="00BD6489">
        <w:rPr>
          <w:rFonts w:ascii="Times New Roman" w:hAnsi="Times New Roman" w:cs="Times New Roman"/>
          <w:b/>
          <w:color w:val="000000"/>
        </w:rPr>
        <w:t>EFERÊNCIAS</w:t>
      </w:r>
    </w:p>
    <w:p w:rsidR="009F0F9E" w:rsidRPr="009F0F9E" w:rsidRDefault="009F0F9E" w:rsidP="009F0F9E">
      <w:pPr>
        <w:pStyle w:val="NormalWeb"/>
        <w:shd w:val="clear" w:color="auto" w:fill="FFFFFF"/>
        <w:spacing w:before="0" w:beforeAutospacing="0" w:after="0" w:afterAutospacing="0"/>
      </w:pPr>
      <w:r w:rsidRPr="00B16955">
        <w:t xml:space="preserve">BARRETT, C. L. </w:t>
      </w:r>
      <w:r w:rsidRPr="006F11A9">
        <w:rPr>
          <w:b/>
        </w:rPr>
        <w:t>Primary healthcare practitioners and patient blood management in Africa in the time of coronavirus disease 2019: safeguarding the blood supply</w:t>
      </w:r>
      <w:r w:rsidRPr="00B16955">
        <w:t xml:space="preserve">. </w:t>
      </w:r>
      <w:r w:rsidRPr="00B16955">
        <w:rPr>
          <w:bCs/>
        </w:rPr>
        <w:t>African Journal Of Primary Health Care &amp; Family Medicine</w:t>
      </w:r>
      <w:r w:rsidRPr="00B16955">
        <w:t>, [s.l.], v. 12, n. 1, p. 2457, 21 mai</w:t>
      </w:r>
      <w:r w:rsidR="00AF63D5">
        <w:t>o</w:t>
      </w:r>
      <w:r w:rsidRPr="00B16955">
        <w:t xml:space="preserve"> 2020. Disponível em:</w:t>
      </w:r>
      <w:hyperlink r:id="rId8" w:history="1">
        <w:r w:rsidR="00934EBF" w:rsidRPr="004434D0">
          <w:rPr>
            <w:rStyle w:val="Hyperlink"/>
          </w:rPr>
          <w:t xml:space="preserve"> https://www.ncbi.nlm.nih.gov/pmc/articles/PMC7284161/</w:t>
        </w:r>
      </w:hyperlink>
      <w:r w:rsidRPr="009F0F9E">
        <w:rPr>
          <w:color w:val="000000"/>
        </w:rPr>
        <w:t xml:space="preserve">. </w:t>
      </w:r>
      <w:r w:rsidRPr="00B16955">
        <w:rPr>
          <w:color w:val="000000" w:themeColor="text1"/>
        </w:rPr>
        <w:t>Acesso em: 11 jul. 2020.</w:t>
      </w:r>
    </w:p>
    <w:p w:rsidR="009F0F9E" w:rsidRDefault="009F0F9E" w:rsidP="009F0F9E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:rsidR="009F0F9E" w:rsidRPr="009F0F9E" w:rsidRDefault="009F0F9E" w:rsidP="009F0F9E">
      <w:pPr>
        <w:pStyle w:val="NormalWeb"/>
        <w:shd w:val="clear" w:color="auto" w:fill="FFFFFF"/>
        <w:spacing w:before="0" w:beforeAutospacing="0" w:after="0" w:afterAutospacing="0"/>
      </w:pPr>
      <w:r w:rsidRPr="00B16955">
        <w:rPr>
          <w:color w:val="000000" w:themeColor="text1"/>
        </w:rPr>
        <w:t>BEERKENS, F.</w:t>
      </w:r>
      <w:r w:rsidRPr="00B16955">
        <w:rPr>
          <w:i/>
          <w:color w:val="000000" w:themeColor="text1"/>
        </w:rPr>
        <w:t xml:space="preserve"> et al</w:t>
      </w:r>
      <w:r w:rsidRPr="00B16955">
        <w:rPr>
          <w:color w:val="000000" w:themeColor="text1"/>
        </w:rPr>
        <w:t xml:space="preserve">. </w:t>
      </w:r>
      <w:r w:rsidRPr="006F11A9">
        <w:rPr>
          <w:b/>
          <w:color w:val="000000" w:themeColor="text1"/>
        </w:rPr>
        <w:t xml:space="preserve">COVID ‐19 pneumonia as a cause of acute chest syndrome in an adult sickle cell patient. </w:t>
      </w:r>
      <w:r w:rsidRPr="00B16955">
        <w:rPr>
          <w:bCs/>
          <w:color w:val="000000" w:themeColor="text1"/>
        </w:rPr>
        <w:t>American Journal Of Hematology</w:t>
      </w:r>
      <w:r w:rsidRPr="00B16955">
        <w:rPr>
          <w:color w:val="000000" w:themeColor="text1"/>
        </w:rPr>
        <w:t>, [s.l.], v. 95, n. 7, p. E154-E156, 21 abr. 2020. Wiley. Disponível em</w:t>
      </w:r>
      <w:r w:rsidRPr="009F0F9E">
        <w:rPr>
          <w:color w:val="000000"/>
        </w:rPr>
        <w:t>:</w:t>
      </w:r>
      <w:hyperlink r:id="rId9" w:history="1">
        <w:r w:rsidRPr="009F0F9E">
          <w:rPr>
            <w:rStyle w:val="Hyperlink"/>
            <w:color w:val="000000"/>
          </w:rPr>
          <w:t xml:space="preserve"> </w:t>
        </w:r>
        <w:r w:rsidRPr="009F0F9E">
          <w:rPr>
            <w:rStyle w:val="Hyperlink"/>
            <w:color w:val="1155CC"/>
          </w:rPr>
          <w:t>https://onlinelibrary.wiley.com/doi/full/10.1002/ajh.25809</w:t>
        </w:r>
      </w:hyperlink>
      <w:r w:rsidRPr="009F0F9E">
        <w:rPr>
          <w:color w:val="000000"/>
        </w:rPr>
        <w:t xml:space="preserve">. </w:t>
      </w:r>
      <w:r w:rsidRPr="00B16955">
        <w:rPr>
          <w:color w:val="000000" w:themeColor="text1"/>
        </w:rPr>
        <w:t>Acesso em: 11 jul. 2020.</w:t>
      </w:r>
    </w:p>
    <w:p w:rsidR="009F0F9E" w:rsidRDefault="009F0F9E" w:rsidP="009F0F9E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:rsidR="009F0F9E" w:rsidRPr="009F0F9E" w:rsidRDefault="009F0F9E" w:rsidP="009F0F9E">
      <w:pPr>
        <w:pStyle w:val="NormalWeb"/>
        <w:shd w:val="clear" w:color="auto" w:fill="FFFFFF"/>
        <w:spacing w:before="0" w:beforeAutospacing="0" w:after="0" w:afterAutospacing="0"/>
      </w:pPr>
      <w:r w:rsidRPr="00B16955">
        <w:rPr>
          <w:color w:val="000000" w:themeColor="text1"/>
        </w:rPr>
        <w:t xml:space="preserve">CHOWDHURY, S. F.; ANWAR, S. </w:t>
      </w:r>
      <w:r w:rsidRPr="006F11A9">
        <w:rPr>
          <w:b/>
          <w:color w:val="000000" w:themeColor="text1"/>
        </w:rPr>
        <w:t>Management of Hemoglobin Disorders During the COVID-19 Pandemic</w:t>
      </w:r>
      <w:r w:rsidRPr="00B16955">
        <w:rPr>
          <w:color w:val="000000" w:themeColor="text1"/>
        </w:rPr>
        <w:t xml:space="preserve">. </w:t>
      </w:r>
      <w:r w:rsidRPr="00B16955">
        <w:rPr>
          <w:bCs/>
          <w:color w:val="000000" w:themeColor="text1"/>
        </w:rPr>
        <w:t>Frontiers In Medicine</w:t>
      </w:r>
      <w:r w:rsidRPr="00B16955">
        <w:rPr>
          <w:color w:val="000000" w:themeColor="text1"/>
        </w:rPr>
        <w:t>, [s.l.], v. 7, p. 306, 9 jun. 2020. Frontiers Media SA. Disponível em:</w:t>
      </w:r>
      <w:hyperlink r:id="rId10" w:history="1">
        <w:r w:rsidRPr="009F0F9E">
          <w:rPr>
            <w:rStyle w:val="Hyperlink"/>
            <w:color w:val="000000"/>
          </w:rPr>
          <w:t xml:space="preserve"> </w:t>
        </w:r>
        <w:r w:rsidRPr="009F0F9E">
          <w:rPr>
            <w:rStyle w:val="Hyperlink"/>
            <w:color w:val="1155CC"/>
          </w:rPr>
          <w:t>https://www.ncbi.nlm.nih.gov/pmc/articles/PMC7295899/</w:t>
        </w:r>
      </w:hyperlink>
      <w:r w:rsidRPr="00B16955">
        <w:rPr>
          <w:color w:val="000000" w:themeColor="text1"/>
        </w:rPr>
        <w:t>. Acesso em: 11 jul. 2020.</w:t>
      </w:r>
    </w:p>
    <w:p w:rsidR="009F0F9E" w:rsidRDefault="009F0F9E" w:rsidP="009F0F9E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:rsidR="009F0F9E" w:rsidRPr="00B16955" w:rsidRDefault="009F0F9E" w:rsidP="009F0F9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16955">
        <w:rPr>
          <w:color w:val="000000" w:themeColor="text1"/>
        </w:rPr>
        <w:t xml:space="preserve">DEBAUN, M. R. </w:t>
      </w:r>
      <w:r w:rsidRPr="006F11A9">
        <w:rPr>
          <w:b/>
          <w:color w:val="000000" w:themeColor="text1"/>
        </w:rPr>
        <w:t>Initiating adjunct low-dose hydroxyurea therapy for stroke prevention in children with SCA during the COVID-19 pandemic</w:t>
      </w:r>
      <w:r w:rsidRPr="00B16955">
        <w:rPr>
          <w:color w:val="000000" w:themeColor="text1"/>
        </w:rPr>
        <w:t xml:space="preserve">. </w:t>
      </w:r>
      <w:r w:rsidRPr="00B16955">
        <w:rPr>
          <w:bCs/>
          <w:color w:val="000000" w:themeColor="text1"/>
        </w:rPr>
        <w:t>Blood</w:t>
      </w:r>
      <w:r w:rsidRPr="00B16955">
        <w:rPr>
          <w:color w:val="000000" w:themeColor="text1"/>
        </w:rPr>
        <w:t>, [s.l.], v. 135, n. 22, p. 1997-1999, 28 mai</w:t>
      </w:r>
      <w:r w:rsidR="00AF63D5">
        <w:rPr>
          <w:color w:val="000000" w:themeColor="text1"/>
        </w:rPr>
        <w:t>o</w:t>
      </w:r>
      <w:r w:rsidRPr="00B16955">
        <w:rPr>
          <w:color w:val="000000" w:themeColor="text1"/>
        </w:rPr>
        <w:t xml:space="preserve"> 2020. American Society of Hematology. Disponível em</w:t>
      </w:r>
      <w:r w:rsidRPr="009F0F9E">
        <w:rPr>
          <w:color w:val="000000"/>
        </w:rPr>
        <w:t>:</w:t>
      </w:r>
      <w:hyperlink r:id="rId11" w:history="1">
        <w:r w:rsidRPr="009F0F9E">
          <w:rPr>
            <w:rStyle w:val="Hyperlink"/>
            <w:color w:val="000000"/>
          </w:rPr>
          <w:t xml:space="preserve"> </w:t>
        </w:r>
        <w:r w:rsidRPr="009F0F9E">
          <w:rPr>
            <w:rStyle w:val="Hyperlink"/>
            <w:color w:val="1155CC"/>
          </w:rPr>
          <w:t>https://ashpublications.org/blood/article/135/22/1997/454378/Initiating-adjunct-low-dose-hydroxyurea-therapy</w:t>
        </w:r>
      </w:hyperlink>
      <w:r w:rsidRPr="00B16955">
        <w:rPr>
          <w:color w:val="000000" w:themeColor="text1"/>
        </w:rPr>
        <w:t>. Acesso em: 11 jul. 2020.</w:t>
      </w:r>
    </w:p>
    <w:p w:rsidR="00934EBF" w:rsidRDefault="00934EBF" w:rsidP="009F0F9E">
      <w:pPr>
        <w:pStyle w:val="NormalWeb"/>
        <w:shd w:val="clear" w:color="auto" w:fill="FFFFFF"/>
        <w:spacing w:before="0" w:beforeAutospacing="0" w:after="0" w:afterAutospacing="0"/>
      </w:pPr>
    </w:p>
    <w:p w:rsidR="009F0F9E" w:rsidRPr="009F0F9E" w:rsidRDefault="009F0F9E" w:rsidP="009F0F9E">
      <w:pPr>
        <w:pStyle w:val="NormalWeb"/>
        <w:shd w:val="clear" w:color="auto" w:fill="FFFFFF"/>
        <w:spacing w:before="0" w:beforeAutospacing="0" w:after="0" w:afterAutospacing="0"/>
      </w:pPr>
      <w:r w:rsidRPr="00B16955">
        <w:rPr>
          <w:color w:val="000000" w:themeColor="text1"/>
        </w:rPr>
        <w:lastRenderedPageBreak/>
        <w:t xml:space="preserve">DEXTER, D. </w:t>
      </w:r>
      <w:r w:rsidRPr="00B16955">
        <w:rPr>
          <w:i/>
          <w:color w:val="000000" w:themeColor="text1"/>
        </w:rPr>
        <w:t>et al</w:t>
      </w:r>
      <w:r w:rsidRPr="00B16955">
        <w:rPr>
          <w:color w:val="000000" w:themeColor="text1"/>
        </w:rPr>
        <w:t xml:space="preserve">. </w:t>
      </w:r>
      <w:r w:rsidRPr="006F11A9">
        <w:rPr>
          <w:b/>
          <w:color w:val="000000" w:themeColor="text1"/>
        </w:rPr>
        <w:t>Mitigating the effect of the COVID-19 pandemic on sickle cell disease services in African countries</w:t>
      </w:r>
      <w:r w:rsidRPr="00B16955">
        <w:rPr>
          <w:color w:val="000000" w:themeColor="text1"/>
        </w:rPr>
        <w:t xml:space="preserve">. </w:t>
      </w:r>
      <w:r w:rsidRPr="00B16955">
        <w:rPr>
          <w:bCs/>
          <w:color w:val="000000" w:themeColor="text1"/>
        </w:rPr>
        <w:t>The Lancet Haematology</w:t>
      </w:r>
      <w:r w:rsidRPr="00B16955">
        <w:rPr>
          <w:color w:val="000000" w:themeColor="text1"/>
        </w:rPr>
        <w:t>, [s.l.], v. 7, n. 6, p. e430-e432, jun. 2020. Elsevier BV. Disponível em</w:t>
      </w:r>
      <w:r w:rsidRPr="009F0F9E">
        <w:rPr>
          <w:color w:val="000000"/>
        </w:rPr>
        <w:t>:</w:t>
      </w:r>
      <w:hyperlink r:id="rId12" w:history="1">
        <w:r w:rsidRPr="009F0F9E">
          <w:rPr>
            <w:rStyle w:val="Hyperlink"/>
            <w:color w:val="000000"/>
          </w:rPr>
          <w:t xml:space="preserve"> </w:t>
        </w:r>
        <w:r w:rsidRPr="009F0F9E">
          <w:rPr>
            <w:rStyle w:val="Hyperlink"/>
            <w:color w:val="1155CC"/>
          </w:rPr>
          <w:t>https://www.ncbi.nlm.nih.gov/pmc/articles/PMC7180020/</w:t>
        </w:r>
      </w:hyperlink>
      <w:r w:rsidRPr="009F0F9E">
        <w:rPr>
          <w:color w:val="000000"/>
        </w:rPr>
        <w:t xml:space="preserve">. </w:t>
      </w:r>
      <w:r w:rsidRPr="00B16955">
        <w:rPr>
          <w:color w:val="000000" w:themeColor="text1"/>
        </w:rPr>
        <w:t>Acesso em: 11 jul. 2020.</w:t>
      </w:r>
    </w:p>
    <w:p w:rsidR="009F0F9E" w:rsidRDefault="009F0F9E" w:rsidP="009F0F9E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:rsidR="009F0F9E" w:rsidRPr="00B16955" w:rsidRDefault="009F0F9E" w:rsidP="009F0F9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u w:val="single"/>
        </w:rPr>
      </w:pPr>
      <w:r w:rsidRPr="00B16955">
        <w:rPr>
          <w:color w:val="000000" w:themeColor="text1"/>
        </w:rPr>
        <w:t xml:space="preserve">HUSSAIN, F. A. </w:t>
      </w:r>
      <w:r w:rsidRPr="00B16955">
        <w:rPr>
          <w:i/>
          <w:color w:val="000000" w:themeColor="text1"/>
        </w:rPr>
        <w:t>et al</w:t>
      </w:r>
      <w:r w:rsidRPr="00B16955">
        <w:rPr>
          <w:color w:val="000000" w:themeColor="text1"/>
        </w:rPr>
        <w:t xml:space="preserve">. </w:t>
      </w:r>
      <w:r w:rsidRPr="006F11A9">
        <w:rPr>
          <w:b/>
          <w:color w:val="000000" w:themeColor="text1"/>
        </w:rPr>
        <w:t>COVID‐19 infection in patients with sickle cell disease</w:t>
      </w:r>
      <w:r w:rsidRPr="00B16955">
        <w:rPr>
          <w:color w:val="000000" w:themeColor="text1"/>
        </w:rPr>
        <w:t xml:space="preserve">. </w:t>
      </w:r>
      <w:r w:rsidRPr="00B16955">
        <w:rPr>
          <w:bCs/>
          <w:color w:val="000000" w:themeColor="text1"/>
        </w:rPr>
        <w:t>British</w:t>
      </w:r>
      <w:r w:rsidRPr="00B16955">
        <w:rPr>
          <w:b/>
          <w:bCs/>
          <w:color w:val="000000" w:themeColor="text1"/>
        </w:rPr>
        <w:t xml:space="preserve"> </w:t>
      </w:r>
      <w:r w:rsidRPr="00B16955">
        <w:rPr>
          <w:bCs/>
          <w:color w:val="000000" w:themeColor="text1"/>
        </w:rPr>
        <w:t>Journal Of Haematology</w:t>
      </w:r>
      <w:r w:rsidRPr="00B16955">
        <w:rPr>
          <w:color w:val="000000" w:themeColor="text1"/>
        </w:rPr>
        <w:t>, [s.l.], v. 189, n. 5, p. 851-852, 8 maio 2020. Wiley. Disponível em:</w:t>
      </w:r>
      <w:hyperlink r:id="rId13" w:history="1">
        <w:r w:rsidRPr="004434D0">
          <w:rPr>
            <w:rStyle w:val="Hyperlink"/>
          </w:rPr>
          <w:t>https://onlinelibrary.wiley.com/doi/full/10.1111/bjh.16734</w:t>
        </w:r>
      </w:hyperlink>
      <w:r w:rsidR="00AF592C">
        <w:rPr>
          <w:color w:val="000000"/>
        </w:rPr>
        <w:t xml:space="preserve">. </w:t>
      </w:r>
      <w:r w:rsidRPr="00B16955">
        <w:rPr>
          <w:color w:val="000000" w:themeColor="text1"/>
        </w:rPr>
        <w:t>Acesso em: 11 jul. 2020.</w:t>
      </w:r>
    </w:p>
    <w:p w:rsidR="009F0F9E" w:rsidRDefault="009F0F9E" w:rsidP="009F0F9E">
      <w:pPr>
        <w:pStyle w:val="NormalWeb"/>
        <w:shd w:val="clear" w:color="auto" w:fill="FFFFFF"/>
        <w:spacing w:before="0" w:beforeAutospacing="0" w:after="0" w:afterAutospacing="0"/>
      </w:pPr>
    </w:p>
    <w:p w:rsidR="009F0F9E" w:rsidRPr="00B16955" w:rsidRDefault="009F0F9E" w:rsidP="009F0F9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16955">
        <w:rPr>
          <w:color w:val="000000" w:themeColor="text1"/>
        </w:rPr>
        <w:t xml:space="preserve">NICKEL, R. S. </w:t>
      </w:r>
      <w:r w:rsidRPr="00B16955">
        <w:rPr>
          <w:i/>
          <w:color w:val="000000" w:themeColor="text1"/>
        </w:rPr>
        <w:t>et al</w:t>
      </w:r>
      <w:r w:rsidRPr="00B16955">
        <w:rPr>
          <w:color w:val="000000" w:themeColor="text1"/>
        </w:rPr>
        <w:t xml:space="preserve">. </w:t>
      </w:r>
      <w:r w:rsidRPr="006F11A9">
        <w:rPr>
          <w:b/>
          <w:color w:val="000000" w:themeColor="text1"/>
        </w:rPr>
        <w:t>Combination dose-escalated hydroxyurea and transfusion: an approach to conserve blood during the covid-19 pandemic</w:t>
      </w:r>
      <w:r w:rsidRPr="00B16955">
        <w:rPr>
          <w:color w:val="000000" w:themeColor="text1"/>
        </w:rPr>
        <w:t xml:space="preserve">. </w:t>
      </w:r>
      <w:r w:rsidRPr="00B16955">
        <w:rPr>
          <w:bCs/>
          <w:color w:val="000000" w:themeColor="text1"/>
        </w:rPr>
        <w:t>Blood</w:t>
      </w:r>
      <w:r w:rsidRPr="00B16955">
        <w:rPr>
          <w:color w:val="000000" w:themeColor="text1"/>
        </w:rPr>
        <w:t>, [s.l.], v. 135, n. 25, p. 2320-2322, 18 jun. 2020. American Society of Hematology. Disponível em:</w:t>
      </w:r>
      <w:hyperlink r:id="rId14" w:history="1">
        <w:r w:rsidRPr="009F0F9E">
          <w:rPr>
            <w:rStyle w:val="Hyperlink"/>
            <w:color w:val="000000"/>
          </w:rPr>
          <w:t xml:space="preserve"> </w:t>
        </w:r>
        <w:r w:rsidRPr="009F0F9E">
          <w:rPr>
            <w:rStyle w:val="Hyperlink"/>
            <w:color w:val="1155CC"/>
          </w:rPr>
          <w:t>https://ashpublications.org/blood/article/135/25/2320/455315/Combination-dose-escalated-hydroxyurea-and</w:t>
        </w:r>
      </w:hyperlink>
      <w:r w:rsidRPr="009F0F9E">
        <w:rPr>
          <w:color w:val="000000"/>
        </w:rPr>
        <w:t xml:space="preserve">. </w:t>
      </w:r>
      <w:r w:rsidRPr="00B16955">
        <w:rPr>
          <w:color w:val="000000" w:themeColor="text1"/>
        </w:rPr>
        <w:t>Acesso em: 11 jul. 2020.</w:t>
      </w:r>
    </w:p>
    <w:p w:rsidR="009F0F9E" w:rsidRDefault="009F0F9E" w:rsidP="009F0F9E">
      <w:pPr>
        <w:pStyle w:val="NormalWeb"/>
        <w:shd w:val="clear" w:color="auto" w:fill="FFFFFF"/>
        <w:spacing w:before="0" w:beforeAutospacing="0" w:after="0" w:afterAutospacing="0"/>
      </w:pPr>
    </w:p>
    <w:p w:rsidR="009F0F9E" w:rsidRPr="009F0F9E" w:rsidRDefault="009F0F9E" w:rsidP="009F0F9E">
      <w:pPr>
        <w:pStyle w:val="NormalWeb"/>
        <w:shd w:val="clear" w:color="auto" w:fill="FFFFFF"/>
        <w:spacing w:before="0" w:beforeAutospacing="0" w:after="0" w:afterAutospacing="0"/>
      </w:pPr>
      <w:r w:rsidRPr="00B16955">
        <w:rPr>
          <w:color w:val="000000" w:themeColor="text1"/>
        </w:rPr>
        <w:t xml:space="preserve">NUR, E. </w:t>
      </w:r>
      <w:r w:rsidRPr="00B16955">
        <w:rPr>
          <w:i/>
          <w:color w:val="000000" w:themeColor="text1"/>
        </w:rPr>
        <w:t>et al</w:t>
      </w:r>
      <w:r w:rsidRPr="00B16955">
        <w:rPr>
          <w:color w:val="000000" w:themeColor="text1"/>
        </w:rPr>
        <w:t xml:space="preserve">. </w:t>
      </w:r>
      <w:r w:rsidRPr="006F11A9">
        <w:rPr>
          <w:b/>
          <w:color w:val="000000" w:themeColor="text1"/>
        </w:rPr>
        <w:t>Vaso‐occlusive crisis and acute chest syndrome in sickle cell disease due to 2019 novel coronavirus disease ( COVID ‐19).</w:t>
      </w:r>
      <w:r w:rsidRPr="00B16955">
        <w:rPr>
          <w:color w:val="000000" w:themeColor="text1"/>
        </w:rPr>
        <w:t xml:space="preserve"> </w:t>
      </w:r>
      <w:r w:rsidRPr="00B16955">
        <w:rPr>
          <w:bCs/>
          <w:color w:val="000000" w:themeColor="text1"/>
        </w:rPr>
        <w:t>American Journal Of Hematology</w:t>
      </w:r>
      <w:r w:rsidRPr="00B16955">
        <w:rPr>
          <w:color w:val="000000" w:themeColor="text1"/>
        </w:rPr>
        <w:t>, [s.l.], v. 95, n. 6, p. 725-726, 21 abr. 2020. Wiley. Disponível em</w:t>
      </w:r>
      <w:r w:rsidRPr="009F0F9E">
        <w:rPr>
          <w:color w:val="000000"/>
        </w:rPr>
        <w:t>:</w:t>
      </w:r>
      <w:hyperlink r:id="rId15" w:history="1">
        <w:r w:rsidRPr="009F0F9E">
          <w:rPr>
            <w:rStyle w:val="Hyperlink"/>
            <w:color w:val="000000"/>
          </w:rPr>
          <w:t xml:space="preserve"> </w:t>
        </w:r>
        <w:r w:rsidRPr="009F0F9E">
          <w:rPr>
            <w:rStyle w:val="Hyperlink"/>
            <w:color w:val="1155CC"/>
          </w:rPr>
          <w:t>https://www.ncbi.nlm.nih.gov/pmc/articles/PMC7262303/</w:t>
        </w:r>
      </w:hyperlink>
      <w:r w:rsidRPr="009F0F9E">
        <w:rPr>
          <w:color w:val="000000"/>
        </w:rPr>
        <w:t xml:space="preserve">. </w:t>
      </w:r>
      <w:r w:rsidRPr="00B16955">
        <w:rPr>
          <w:color w:val="000000" w:themeColor="text1"/>
        </w:rPr>
        <w:t>Acesso em: 11 jul. 2020.</w:t>
      </w:r>
    </w:p>
    <w:p w:rsidR="009F0F9E" w:rsidRDefault="009F0F9E" w:rsidP="009F0F9E">
      <w:pPr>
        <w:pStyle w:val="NormalWeb"/>
        <w:shd w:val="clear" w:color="auto" w:fill="FFFFFF"/>
        <w:spacing w:before="0" w:beforeAutospacing="0" w:after="0" w:afterAutospacing="0"/>
      </w:pPr>
    </w:p>
    <w:p w:rsidR="009F0F9E" w:rsidRPr="00B16955" w:rsidRDefault="00406194" w:rsidP="009F0F9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ROY, N.</w:t>
      </w:r>
      <w:r w:rsidR="009F0F9E" w:rsidRPr="00B16955">
        <w:rPr>
          <w:color w:val="000000" w:themeColor="text1"/>
        </w:rPr>
        <w:t xml:space="preserve"> B. A. </w:t>
      </w:r>
      <w:r w:rsidR="009F0F9E" w:rsidRPr="00B16955">
        <w:rPr>
          <w:i/>
          <w:color w:val="000000" w:themeColor="text1"/>
        </w:rPr>
        <w:t>et al</w:t>
      </w:r>
      <w:r w:rsidR="009F0F9E" w:rsidRPr="00B16955">
        <w:rPr>
          <w:color w:val="000000" w:themeColor="text1"/>
        </w:rPr>
        <w:t xml:space="preserve">. </w:t>
      </w:r>
      <w:r w:rsidR="009F0F9E" w:rsidRPr="006F11A9">
        <w:rPr>
          <w:b/>
          <w:color w:val="000000" w:themeColor="text1"/>
        </w:rPr>
        <w:t>Protecting vulnerable patients with inherited anaemias from unnecessary death during the COVID‐19 pandemic</w:t>
      </w:r>
      <w:r w:rsidR="009F0F9E" w:rsidRPr="00B16955">
        <w:rPr>
          <w:b/>
          <w:color w:val="000000" w:themeColor="text1"/>
        </w:rPr>
        <w:t xml:space="preserve">. </w:t>
      </w:r>
      <w:r w:rsidR="009F0F9E" w:rsidRPr="00B16955">
        <w:rPr>
          <w:bCs/>
          <w:color w:val="000000" w:themeColor="text1"/>
        </w:rPr>
        <w:t>British Journal Of Haematology</w:t>
      </w:r>
      <w:r w:rsidR="009F0F9E" w:rsidRPr="00B16955">
        <w:rPr>
          <w:color w:val="000000" w:themeColor="text1"/>
        </w:rPr>
        <w:t>, [s.l.], v. 189, n. 4, p. 635-639, maio 2020. Wiley. Disponível em</w:t>
      </w:r>
      <w:r w:rsidR="009F0F9E" w:rsidRPr="009F0F9E">
        <w:t>:</w:t>
      </w:r>
      <w:r w:rsidR="009F0F9E" w:rsidRPr="009F0F9E">
        <w:rPr>
          <w:color w:val="222222"/>
        </w:rPr>
        <w:t xml:space="preserve"> </w:t>
      </w:r>
      <w:hyperlink r:id="rId16" w:history="1">
        <w:r w:rsidR="009F0F9E" w:rsidRPr="009F0F9E">
          <w:rPr>
            <w:rStyle w:val="Hyperlink"/>
            <w:color w:val="1155CC"/>
          </w:rPr>
          <w:t>https://www.ncbi.nlm.nih.gov/pmc/articles/PMC7264776/</w:t>
        </w:r>
      </w:hyperlink>
      <w:r w:rsidR="009F0F9E" w:rsidRPr="009F0F9E">
        <w:rPr>
          <w:color w:val="222222"/>
        </w:rPr>
        <w:t xml:space="preserve">. </w:t>
      </w:r>
      <w:r w:rsidR="009F0F9E" w:rsidRPr="00B16955">
        <w:rPr>
          <w:color w:val="000000" w:themeColor="text1"/>
        </w:rPr>
        <w:t>Acesso em: 11 jul. 2020.</w:t>
      </w:r>
    </w:p>
    <w:p w:rsidR="009F0F9E" w:rsidRDefault="009F0F9E" w:rsidP="009F0F9E">
      <w:pPr>
        <w:pStyle w:val="NormalWeb"/>
        <w:shd w:val="clear" w:color="auto" w:fill="FFFFFF"/>
        <w:spacing w:before="0" w:beforeAutospacing="0" w:after="0" w:afterAutospacing="0"/>
      </w:pPr>
    </w:p>
    <w:p w:rsidR="009F0F9E" w:rsidRPr="00B16955" w:rsidRDefault="009F0F9E" w:rsidP="009F0F9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16955">
        <w:rPr>
          <w:color w:val="000000" w:themeColor="text1"/>
        </w:rPr>
        <w:t xml:space="preserve">SRINIVASAN, A. </w:t>
      </w:r>
      <w:r w:rsidRPr="00B16955">
        <w:rPr>
          <w:i/>
          <w:color w:val="000000" w:themeColor="text1"/>
        </w:rPr>
        <w:t>et al</w:t>
      </w:r>
      <w:r w:rsidRPr="00B16955">
        <w:rPr>
          <w:color w:val="000000" w:themeColor="text1"/>
        </w:rPr>
        <w:t xml:space="preserve">. </w:t>
      </w:r>
      <w:r w:rsidRPr="006F11A9">
        <w:rPr>
          <w:b/>
          <w:color w:val="000000" w:themeColor="text1"/>
        </w:rPr>
        <w:t>Prospective evaluation for respiratory pathogens in children with sickle cell disease and acute respiratory illness</w:t>
      </w:r>
      <w:r w:rsidRPr="00B16955">
        <w:rPr>
          <w:color w:val="000000" w:themeColor="text1"/>
        </w:rPr>
        <w:t xml:space="preserve">. </w:t>
      </w:r>
      <w:r w:rsidRPr="00B16955">
        <w:rPr>
          <w:bCs/>
          <w:color w:val="000000" w:themeColor="text1"/>
        </w:rPr>
        <w:t>Pediatric Blood &amp; Cancer</w:t>
      </w:r>
      <w:r w:rsidRPr="00B16955">
        <w:rPr>
          <w:color w:val="000000" w:themeColor="text1"/>
        </w:rPr>
        <w:t>, [s.l.], v. 61, n. 3, p. 507-511, 4 out. 2013. Wiley. Disponível em:</w:t>
      </w:r>
      <w:r w:rsidRPr="009F0F9E">
        <w:t xml:space="preserve"> </w:t>
      </w:r>
      <w:hyperlink r:id="rId17" w:history="1">
        <w:r w:rsidRPr="009F0F9E">
          <w:rPr>
            <w:rStyle w:val="Hyperlink"/>
            <w:color w:val="1155CC"/>
          </w:rPr>
          <w:t>https://onlinelibrary.wiley.com/doi/full/10.1002/pbc.24798</w:t>
        </w:r>
      </w:hyperlink>
      <w:r w:rsidRPr="009F0F9E">
        <w:rPr>
          <w:color w:val="000000"/>
        </w:rPr>
        <w:t xml:space="preserve">. </w:t>
      </w:r>
      <w:r w:rsidRPr="00B16955">
        <w:rPr>
          <w:color w:val="000000" w:themeColor="text1"/>
        </w:rPr>
        <w:t>Acesso em: 11 jul. 2020.</w:t>
      </w:r>
    </w:p>
    <w:p w:rsidR="009F0F9E" w:rsidRPr="00B16955" w:rsidRDefault="009F0F9E" w:rsidP="009F0F9E">
      <w:pPr>
        <w:pStyle w:val="NormalWeb"/>
        <w:shd w:val="clear" w:color="auto" w:fill="FFFFFF"/>
        <w:spacing w:before="0" w:beforeAutospacing="0" w:after="0" w:afterAutospacing="0"/>
        <w:ind w:right="580"/>
        <w:rPr>
          <w:color w:val="000000" w:themeColor="text1"/>
        </w:rPr>
      </w:pPr>
    </w:p>
    <w:p w:rsidR="00EC4C72" w:rsidRDefault="009F0F9E" w:rsidP="00DE579B">
      <w:pPr>
        <w:pStyle w:val="NormalWeb"/>
        <w:shd w:val="clear" w:color="auto" w:fill="FFFFFF"/>
        <w:spacing w:before="0" w:beforeAutospacing="0" w:after="0" w:afterAutospacing="0"/>
        <w:ind w:right="580"/>
      </w:pPr>
      <w:r w:rsidRPr="00B16955">
        <w:rPr>
          <w:color w:val="000000" w:themeColor="text1"/>
        </w:rPr>
        <w:t xml:space="preserve">VIVES CORRONS, J.-L.; DE SANCTIS, V. </w:t>
      </w:r>
      <w:r w:rsidRPr="006F11A9">
        <w:rPr>
          <w:b/>
          <w:color w:val="000000" w:themeColor="text1"/>
        </w:rPr>
        <w:t>Rare Anaemias, Sickle-Cell Disease and COVID-19.</w:t>
      </w:r>
      <w:r w:rsidRPr="00B16955">
        <w:rPr>
          <w:color w:val="000000" w:themeColor="text1"/>
        </w:rPr>
        <w:t xml:space="preserve"> Acta Bio Medica Atenei Parmensis, v. 91, n. 2, p. 216-217, 11 </w:t>
      </w:r>
      <w:r w:rsidR="00406194">
        <w:rPr>
          <w:color w:val="000000" w:themeColor="text1"/>
        </w:rPr>
        <w:t>maio</w:t>
      </w:r>
      <w:r w:rsidRPr="00B16955">
        <w:rPr>
          <w:color w:val="000000" w:themeColor="text1"/>
        </w:rPr>
        <w:t xml:space="preserve"> 2020. Disponível em</w:t>
      </w:r>
      <w:r w:rsidRPr="009F0F9E">
        <w:rPr>
          <w:color w:val="222222"/>
        </w:rPr>
        <w:t>:</w:t>
      </w:r>
      <w:hyperlink r:id="rId18" w:history="1">
        <w:r w:rsidRPr="009F0F9E">
          <w:rPr>
            <w:rStyle w:val="Hyperlink"/>
            <w:color w:val="222222"/>
          </w:rPr>
          <w:t xml:space="preserve"> </w:t>
        </w:r>
        <w:r w:rsidRPr="009F0F9E">
          <w:rPr>
            <w:rStyle w:val="Hyperlink"/>
            <w:color w:val="1155CC"/>
          </w:rPr>
          <w:t>https://www.mattioli1885journals.com/index.php/actabiomedica/article/view/9532</w:t>
        </w:r>
      </w:hyperlink>
      <w:r w:rsidRPr="009F0F9E">
        <w:rPr>
          <w:color w:val="222222"/>
        </w:rPr>
        <w:t xml:space="preserve">. </w:t>
      </w:r>
      <w:r w:rsidRPr="00B16955">
        <w:rPr>
          <w:color w:val="000000" w:themeColor="text1"/>
        </w:rPr>
        <w:t>Acesso em: 11 jul. 2020.</w:t>
      </w:r>
    </w:p>
    <w:p w:rsidR="00EC4C72" w:rsidRDefault="00EC4C72" w:rsidP="009F0F9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:rsidR="00EC4C72" w:rsidRDefault="00EC4C72" w:rsidP="009F0F9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:rsidR="00EC4C72" w:rsidRDefault="00EC4C72" w:rsidP="009F0F9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:rsidR="00EC4C72" w:rsidRDefault="00EC4C72" w:rsidP="009F0F9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:rsidR="00EC4C72" w:rsidRDefault="00EC4C72" w:rsidP="009F0F9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:rsidR="00EC4C72" w:rsidRDefault="00EC4C72" w:rsidP="009F0F9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:rsidR="00EC4C72" w:rsidRDefault="00EC4C72" w:rsidP="009F0F9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:rsidR="00EC4C72" w:rsidRPr="009F0F9E" w:rsidRDefault="00EC4C72" w:rsidP="009F0F9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</w:rPr>
      </w:pPr>
    </w:p>
    <w:sectPr w:rsidR="00EC4C72" w:rsidRPr="009F0F9E" w:rsidSect="00042DED"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90F" w:rsidRDefault="0020390F" w:rsidP="00324CA4">
      <w:r>
        <w:separator/>
      </w:r>
    </w:p>
  </w:endnote>
  <w:endnote w:type="continuationSeparator" w:id="1">
    <w:p w:rsidR="0020390F" w:rsidRDefault="0020390F" w:rsidP="00324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226A5A">
    <w:pPr>
      <w:pStyle w:val="Rodap"/>
    </w:pPr>
    <w:r>
      <w:rPr>
        <w:noProof/>
      </w:rPr>
      <w:pict>
        <v:group id="Grupo 22" o:spid="_x0000_s4108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<v:shape id="Freeform 21" o:spid="_x0000_s4110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22" o:spid="_x0000_s4109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226A5A">
    <w:pPr>
      <w:pStyle w:val="Rodap"/>
    </w:pPr>
    <w:r>
      <w:rPr>
        <w:noProof/>
      </w:rPr>
      <w:pict>
        <v:group id="Grupo 19" o:spid="_x0000_s4097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<v:shape id="Freeform 18" o:spid="_x0000_s4099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19" o:spid="_x0000_s409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90F" w:rsidRDefault="0020390F" w:rsidP="00324CA4">
      <w:r>
        <w:separator/>
      </w:r>
    </w:p>
  </w:footnote>
  <w:footnote w:type="continuationSeparator" w:id="1">
    <w:p w:rsidR="0020390F" w:rsidRDefault="0020390F" w:rsidP="00324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226A5A">
    <w:pPr>
      <w:pStyle w:val="Cabealho"/>
    </w:pPr>
    <w:r>
      <w:rPr>
        <w:noProof/>
      </w:rPr>
      <w:pict>
        <v:group id="Grupo 10" o:spid="_x0000_s4100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<v:shape id="Freeform 10" o:spid="_x0000_s410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<v:path arrowok="t" o:connecttype="custom" o:connectlocs="465,0;9889,0;9424,349;0,349;465,0" o:connectangles="0,0,0,0,0"/>
          </v:shape>
          <v:shape id="Freeform 11" o:spid="_x0000_s4106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<v:path arrowok="t" o:connecttype="custom" o:connectlocs="0,0;2056,0;1591,349;0,349;0,0" o:connectangles="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4105" type="#_x0000_t75" style="position:absolute;left:305;width:5580;height:26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<v:imagedata r:id="rId1" o:title=""/>
          </v:shape>
          <v:shape id="Picture 13" o:spid="_x0000_s4104" type="#_x0000_t75" style="position:absolute;left:3115;top:2413;width:323;height:3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<v:imagedata r:id="rId2" o:title=""/>
          </v:shape>
          <v:shape id="Picture 14" o:spid="_x0000_s4103" type="#_x0000_t75" style="position:absolute;left:5413;width:687;height:1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<v:imagedata r:id="rId3" o:title=""/>
          </v:shape>
          <v:shape id="Freeform 15" o:spid="_x0000_s410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<v:path arrowok="t" o:connecttype="custom" o:connectlocs="11480,0;2056,0;0,0;0,349;1591,349;11015,349;11480,0" o:connectangles="0,0,0,0,0,0,0"/>
          </v:shape>
          <v:shape id="Picture 16" o:spid="_x0000_s4101" type="#_x0000_t75" style="position:absolute;left:873;width:4414;height:20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<v:imagedata r:id="rId4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1238A"/>
    <w:rsid w:val="00036066"/>
    <w:rsid w:val="00042DED"/>
    <w:rsid w:val="00055263"/>
    <w:rsid w:val="000652FD"/>
    <w:rsid w:val="00077A29"/>
    <w:rsid w:val="0008008C"/>
    <w:rsid w:val="00081609"/>
    <w:rsid w:val="000A3D5D"/>
    <w:rsid w:val="000A450A"/>
    <w:rsid w:val="00110591"/>
    <w:rsid w:val="00165FE9"/>
    <w:rsid w:val="00182F2D"/>
    <w:rsid w:val="001C422C"/>
    <w:rsid w:val="0020390F"/>
    <w:rsid w:val="00207C4F"/>
    <w:rsid w:val="00213A0C"/>
    <w:rsid w:val="00217C78"/>
    <w:rsid w:val="00226A5A"/>
    <w:rsid w:val="002270C9"/>
    <w:rsid w:val="0027619A"/>
    <w:rsid w:val="00283FB6"/>
    <w:rsid w:val="00324CA4"/>
    <w:rsid w:val="0036262D"/>
    <w:rsid w:val="00382D5F"/>
    <w:rsid w:val="003C5FFD"/>
    <w:rsid w:val="003D20CF"/>
    <w:rsid w:val="004004BE"/>
    <w:rsid w:val="00406194"/>
    <w:rsid w:val="00424057"/>
    <w:rsid w:val="004735F2"/>
    <w:rsid w:val="00544C43"/>
    <w:rsid w:val="00551697"/>
    <w:rsid w:val="00590C4C"/>
    <w:rsid w:val="00592F75"/>
    <w:rsid w:val="00625897"/>
    <w:rsid w:val="00625D67"/>
    <w:rsid w:val="006310A0"/>
    <w:rsid w:val="006429A9"/>
    <w:rsid w:val="006900DC"/>
    <w:rsid w:val="006A1F97"/>
    <w:rsid w:val="006D3EA1"/>
    <w:rsid w:val="006D493D"/>
    <w:rsid w:val="006F0F69"/>
    <w:rsid w:val="006F11A9"/>
    <w:rsid w:val="00702EEC"/>
    <w:rsid w:val="007040EA"/>
    <w:rsid w:val="007107C5"/>
    <w:rsid w:val="00782735"/>
    <w:rsid w:val="007D1400"/>
    <w:rsid w:val="0081238A"/>
    <w:rsid w:val="00827C34"/>
    <w:rsid w:val="0084366F"/>
    <w:rsid w:val="008B70D1"/>
    <w:rsid w:val="008E1C0B"/>
    <w:rsid w:val="008F16DA"/>
    <w:rsid w:val="009109F0"/>
    <w:rsid w:val="00934EBF"/>
    <w:rsid w:val="0093793B"/>
    <w:rsid w:val="009557ED"/>
    <w:rsid w:val="009A0412"/>
    <w:rsid w:val="009F0F9E"/>
    <w:rsid w:val="00A517F9"/>
    <w:rsid w:val="00A61910"/>
    <w:rsid w:val="00AA49F8"/>
    <w:rsid w:val="00AB67D9"/>
    <w:rsid w:val="00AF592C"/>
    <w:rsid w:val="00AF63D5"/>
    <w:rsid w:val="00B01A04"/>
    <w:rsid w:val="00B02DAF"/>
    <w:rsid w:val="00B16955"/>
    <w:rsid w:val="00B3182F"/>
    <w:rsid w:val="00B35F7B"/>
    <w:rsid w:val="00B466BF"/>
    <w:rsid w:val="00B60F1E"/>
    <w:rsid w:val="00B7345D"/>
    <w:rsid w:val="00BA1842"/>
    <w:rsid w:val="00BA216C"/>
    <w:rsid w:val="00BD6489"/>
    <w:rsid w:val="00C1320B"/>
    <w:rsid w:val="00C3362A"/>
    <w:rsid w:val="00C867F2"/>
    <w:rsid w:val="00CB01EA"/>
    <w:rsid w:val="00CC35C1"/>
    <w:rsid w:val="00CC5289"/>
    <w:rsid w:val="00CD230C"/>
    <w:rsid w:val="00CE322E"/>
    <w:rsid w:val="00CF3813"/>
    <w:rsid w:val="00D04D25"/>
    <w:rsid w:val="00D46200"/>
    <w:rsid w:val="00D51BF1"/>
    <w:rsid w:val="00D82AA1"/>
    <w:rsid w:val="00D84EE5"/>
    <w:rsid w:val="00DC0463"/>
    <w:rsid w:val="00DC6EE7"/>
    <w:rsid w:val="00DD128A"/>
    <w:rsid w:val="00DD7D86"/>
    <w:rsid w:val="00DE53ED"/>
    <w:rsid w:val="00DE579B"/>
    <w:rsid w:val="00E0596C"/>
    <w:rsid w:val="00E8650C"/>
    <w:rsid w:val="00EB0F7B"/>
    <w:rsid w:val="00EB6A82"/>
    <w:rsid w:val="00EB737C"/>
    <w:rsid w:val="00EC4C72"/>
    <w:rsid w:val="00ED59D3"/>
    <w:rsid w:val="00EE568E"/>
    <w:rsid w:val="00EF3CF3"/>
    <w:rsid w:val="00F06DC7"/>
    <w:rsid w:val="00F1103E"/>
    <w:rsid w:val="00F14006"/>
    <w:rsid w:val="00F519B5"/>
    <w:rsid w:val="00F73279"/>
    <w:rsid w:val="00F76107"/>
    <w:rsid w:val="00F76657"/>
    <w:rsid w:val="00F7707C"/>
    <w:rsid w:val="00FC2840"/>
    <w:rsid w:val="00FF1EE5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82AA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D82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850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ncbi.nlm.nih.gov/pmc/articles/PMC7284161/" TargetMode="External"/><Relationship Id="rId13" Type="http://schemas.openxmlformats.org/officeDocument/2006/relationships/hyperlink" Target="https://onlinelibrary.wiley.com/doi/full/10.1111/bjh.16734" TargetMode="External"/><Relationship Id="rId18" Type="http://schemas.openxmlformats.org/officeDocument/2006/relationships/hyperlink" Target="https://www.mattioli1885journals.com/index.php/actabiomedica/article/view/9532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socepis1@gmail.com" TargetMode="External"/><Relationship Id="rId12" Type="http://schemas.openxmlformats.org/officeDocument/2006/relationships/hyperlink" Target="https://www.ncbi.nlm.nih.gov/pmc/articles/PMC7180020/" TargetMode="External"/><Relationship Id="rId17" Type="http://schemas.openxmlformats.org/officeDocument/2006/relationships/hyperlink" Target="https://onlinelibrary.wiley.com/doi/full/10.1002/pbc.247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7264776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hpublications.org/blood/article/135/22/1997/454378/Initiating-adjunct-low-dose-hydroxyurea-therap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mc/articles/PMC7262303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cbi.nlm.nih.gov/pmc/articles/PMC7295899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full/10.1002/ajh.25809" TargetMode="External"/><Relationship Id="rId14" Type="http://schemas.openxmlformats.org/officeDocument/2006/relationships/hyperlink" Target="https://ashpublications.org/blood/article/135/25/2320/455315/Combination-dose-escalated-hydroxyurea-and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1960</Words>
  <Characters>10590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user</cp:lastModifiedBy>
  <cp:revision>2</cp:revision>
  <cp:lastPrinted>2020-07-04T16:53:00Z</cp:lastPrinted>
  <dcterms:created xsi:type="dcterms:W3CDTF">2020-08-03T01:11:00Z</dcterms:created>
  <dcterms:modified xsi:type="dcterms:W3CDTF">2020-08-03T01:11:00Z</dcterms:modified>
</cp:coreProperties>
</file>