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1" w:right="0" w:hanging="3"/>
        <w:jc w:val="center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360"/>
        <w:ind w:left="1" w:right="0" w:hanging="3"/>
        <w:jc w:val="center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360"/>
        <w:ind w:left="1" w:right="0" w:hanging="3"/>
        <w:jc w:val="center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</w:r>
    </w:p>
    <w:p>
      <w:pPr>
        <w:pStyle w:val="Corpodetexto"/>
        <w:spacing w:lineRule="auto" w:line="360"/>
        <w:ind w:left="1" w:right="0" w:hanging="3"/>
        <w:jc w:val="center"/>
        <w:rPr>
          <w:b/>
          <w:b/>
          <w:bCs/>
          <w:sz w:val="28"/>
          <w:szCs w:val="28"/>
        </w:rPr>
      </w:pPr>
      <w:bookmarkStart w:id="0" w:name="docs-internal-guid-a70bf10f-7fff-a231-e4"/>
      <w:bookmarkEnd w:id="0"/>
      <w:r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80690" cy="336550"/>
                <wp:effectExtent l="0" t="0" r="0" b="0"/>
                <wp:wrapNone/>
                <wp:docPr id="1" name="Caixa de text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80" cy="33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64"/>
                              <w:ind w:left="20" w:right="0" w:firstLine="2881"/>
                              <w:rPr/>
                            </w:pPr>
                            <w:hyperlink r:id="rId2">
                              <w:r>
                                <w:rPr>
                                  <w:rStyle w:val="ListLabel55"/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8" stroked="f" style="position:absolute;margin-left:324.65pt;margin-top:59.4pt;width:234.6pt;height:26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64"/>
                        <w:ind w:left="20" w:right="0" w:firstLine="2881"/>
                        <w:rPr/>
                      </w:pPr>
                      <w:hyperlink r:id="rId3">
                        <w:r>
                          <w:rPr>
                            <w:rStyle w:val="ListLabel55"/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SISTEMATIZAÇÃO DA ASSISTÊNCIA DE ENFERMAGEM A UMA PACIENTE COM DIABETES MELLITUS GESTACIONAL COM RECÉM-NASCIDO MACROSSÔMICO: ESTUDO DE CASO </w:t>
      </w:r>
    </w:p>
    <w:p>
      <w:pPr>
        <w:pStyle w:val="Normal"/>
        <w:spacing w:lineRule="auto" w:line="360"/>
        <w:ind w:left="1" w:right="0" w:hanging="3"/>
        <w:jc w:val="center"/>
        <w:rPr/>
      </w:pPr>
      <w:r>
        <w:rPr>
          <w:rFonts w:cs="Times New Roman" w:ascii="Times New Roman" w:hAnsi="Times New Roman"/>
          <w:b/>
          <w:sz w:val="20"/>
          <w:szCs w:val="20"/>
          <w:u w:val="none"/>
        </w:rPr>
        <w:t xml:space="preserve">Maria Luana Mota Sousa </w:t>
      </w:r>
      <w:r>
        <w:rPr>
          <w:rFonts w:cs="Times New Roman" w:ascii="Times New Roman" w:hAnsi="Times New Roman"/>
          <w:b/>
          <w:sz w:val="20"/>
          <w:szCs w:val="20"/>
          <w:u w:val="none"/>
          <w:vertAlign w:val="superscript"/>
        </w:rPr>
        <w:t>1</w:t>
      </w:r>
      <w:r>
        <w:rPr>
          <w:rFonts w:cs="Times New Roman" w:ascii="Times New Roman" w:hAnsi="Times New Roman"/>
          <w:b/>
          <w:sz w:val="20"/>
          <w:szCs w:val="20"/>
          <w:u w:val="none"/>
        </w:rPr>
        <w:t>, O</w:t>
      </w:r>
      <w:r>
        <w:rPr>
          <w:rFonts w:cs="Times New Roman" w:ascii="Times New Roman" w:hAnsi="Times New Roman"/>
          <w:b/>
          <w:sz w:val="20"/>
          <w:szCs w:val="20"/>
        </w:rPr>
        <w:t>smar Rodrigues Paixão</w:t>
      </w:r>
      <w:bookmarkStart w:id="1" w:name="docs-internal-guid-f3dd0352-7fff-63b9-c0"/>
      <w:bookmarkEnd w:id="1"/>
      <w:r>
        <w:rPr>
          <w:rFonts w:cs="Times New Roman" w:ascii="Times New Roman" w:hAnsi="Times New Roman"/>
          <w:b/>
          <w:sz w:val="20"/>
          <w:szCs w:val="20"/>
          <w:vertAlign w:val="superscript"/>
        </w:rPr>
        <w:t>2,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Camila Chaves da Costa³</w:t>
      </w:r>
    </w:p>
    <w:p>
      <w:pPr>
        <w:pStyle w:val="Normal"/>
        <w:spacing w:lineRule="auto" w:line="360"/>
        <w:ind w:left="0" w:right="0" w:hanging="2"/>
        <w:jc w:val="center"/>
        <w:rPr/>
      </w:pPr>
      <w:r>
        <w:rPr>
          <w:rFonts w:cs="Times New Roman" w:ascii="Times New Roman" w:hAnsi="Times New Roman"/>
          <w:sz w:val="20"/>
          <w:szCs w:val="20"/>
          <w:vertAlign w:val="superscript"/>
        </w:rPr>
        <w:t>1</w:t>
      </w:r>
      <w:bookmarkStart w:id="2" w:name="docs-internal-guid-f0e4ddd4-7fff-2f54-f0"/>
      <w:bookmarkEnd w:id="2"/>
      <w:r>
        <w:rPr>
          <w:rFonts w:cs="Times New Roman" w:ascii="Times New Roman" w:hAnsi="Times New Roman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vertAlign w:val="superscript"/>
        </w:rPr>
        <w:t> 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</w:rPr>
        <w:t xml:space="preserve"> </w:t>
      </w:r>
      <w:bookmarkStart w:id="3" w:name="docs-internal-guid-f0e4ddd4-7fff-2f54-f0"/>
      <w:bookmarkEnd w:id="3"/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effect w:val="none"/>
          <w:vertAlign w:val="baseline"/>
        </w:rPr>
        <w:t xml:space="preserve"> Universidade da Integração Internacional da Lusofonia Afro-Brasileira </w:t>
      </w:r>
      <w:r>
        <w:rPr>
          <w:rFonts w:cs="Times New Roman" w:ascii="Times New Roman" w:hAnsi="Times New Roman"/>
          <w:sz w:val="20"/>
          <w:szCs w:val="20"/>
        </w:rPr>
        <w:t>(luanamota344@gmail.com)</w:t>
      </w:r>
    </w:p>
    <w:p>
      <w:pPr>
        <w:pStyle w:val="Normal"/>
        <w:spacing w:lineRule="auto" w:line="360"/>
        <w:ind w:left="0" w:right="0" w:hanging="2"/>
        <w:jc w:val="center"/>
        <w:rPr/>
      </w:pPr>
      <w:r>
        <w:rPr>
          <w:rFonts w:cs="Times New Roman" w:ascii="Times New Roman" w:hAnsi="Times New Roman"/>
          <w:sz w:val="20"/>
          <w:szCs w:val="20"/>
          <w:vertAlign w:val="superscript"/>
        </w:rPr>
        <w:t>2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  <w:bookmarkStart w:id="4" w:name="docs-internal-guid-f0e4ddd4-7fff-2f54-f0"/>
      <w:bookmarkEnd w:id="4"/>
      <w:r>
        <w:rPr>
          <w:rFonts w:cs="Times New Roman" w:ascii="Times New Roman" w:hAnsi="Times New Roman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 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Universidade da Integração Internacional da Lusofonia Afro-Brasileira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color w:val="000000"/>
          <w:sz w:val="20"/>
          <w:szCs w:val="20"/>
        </w:rPr>
        <w:t>(</w:t>
      </w:r>
      <w:hyperlink r:id="rId4">
        <w:r>
          <w:rPr>
            <w:rStyle w:val="LinkdaInternet"/>
            <w:rFonts w:cs="Times New Roman" w:ascii="Times New Roman" w:hAnsi="Times New Roman"/>
            <w:color w:val="000000"/>
            <w:sz w:val="20"/>
            <w:szCs w:val="20"/>
          </w:rPr>
          <w:t>o</w:t>
        </w:r>
      </w:hyperlink>
      <w:hyperlink r:id="rId5">
        <w:r>
          <w:rPr>
            <w:rStyle w:val="LinkdaInternet"/>
            <w:rFonts w:cs="Times New Roman" w:ascii="Times New Roman" w:hAnsi="Times New Roman"/>
            <w:color w:val="000000"/>
            <w:sz w:val="20"/>
            <w:szCs w:val="20"/>
          </w:rPr>
          <w:t>smar_paixao15@hotmail.com</w:t>
        </w:r>
      </w:hyperlink>
      <w:r>
        <w:rPr>
          <w:rFonts w:cs="Times New Roman" w:ascii="Times New Roman" w:hAnsi="Times New Roman"/>
          <w:color w:val="000000"/>
          <w:sz w:val="20"/>
          <w:szCs w:val="20"/>
        </w:rPr>
        <w:t>)</w:t>
      </w:r>
    </w:p>
    <w:p>
      <w:pPr>
        <w:pStyle w:val="Normal"/>
        <w:spacing w:lineRule="auto" w:line="360"/>
        <w:ind w:left="0" w:right="0" w:hanging="2"/>
        <w:jc w:val="center"/>
        <w:rPr/>
      </w:pPr>
      <w:r>
        <w:rPr>
          <w:rFonts w:cs="Times New Roman" w:ascii="Times New Roman" w:hAnsi="Times New Roman"/>
          <w:color w:val="000000"/>
          <w:sz w:val="20"/>
          <w:szCs w:val="20"/>
          <w:vertAlign w:val="superscript"/>
        </w:rPr>
        <w:t xml:space="preserve">3 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Universidade da Integração Internacional da Lusofonia Afro-Brasileira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 (</w:t>
      </w:r>
      <w:hyperlink r:id="rId6">
        <w:r>
          <w:rPr>
            <w:rStyle w:val="LinkdaInternet"/>
            <w:rFonts w:cs="Times New Roman" w:ascii="Times New Roman" w:hAnsi="Times New Roman"/>
            <w:color w:val="000000"/>
            <w:sz w:val="20"/>
            <w:szCs w:val="20"/>
          </w:rPr>
          <w:t>c</w:t>
        </w:r>
      </w:hyperlink>
      <w:hyperlink r:id="rId7">
        <w:r>
          <w:rPr>
            <w:rStyle w:val="LinkdaInternet"/>
            <w:rFonts w:cs="Times New Roman" w:ascii="Times New Roman" w:hAnsi="Times New Roman"/>
            <w:color w:val="000000"/>
            <w:sz w:val="20"/>
            <w:szCs w:val="20"/>
          </w:rPr>
          <w:t>amilachaves@unilab.edu.br</w:t>
        </w:r>
      </w:hyperlink>
      <w:r>
        <w:rPr>
          <w:rFonts w:cs="Times New Roman" w:ascii="Times New Roman" w:hAnsi="Times New Roman"/>
          <w:color w:val="000000"/>
          <w:sz w:val="20"/>
          <w:szCs w:val="20"/>
        </w:rPr>
        <w:t>)</w:t>
      </w:r>
    </w:p>
    <w:p>
      <w:pPr>
        <w:pStyle w:val="Normal"/>
        <w:spacing w:lineRule="auto" w:line="360"/>
        <w:ind w:left="0" w:right="0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Resumo: </w:t>
      </w:r>
    </w:p>
    <w:p>
      <w:pPr>
        <w:pStyle w:val="Corpodetexto"/>
        <w:widowControl/>
        <w:bidi w:val="0"/>
        <w:spacing w:lineRule="auto" w:line="360" w:before="0" w:after="120"/>
        <w:ind w:left="57" w:right="0" w:firstLine="794"/>
        <w:jc w:val="both"/>
        <w:rPr>
          <w:b w:val="false"/>
          <w:b w:val="false"/>
          <w:bCs w:val="false"/>
          <w:sz w:val="24"/>
          <w:szCs w:val="24"/>
        </w:rPr>
      </w:pPr>
      <w:bookmarkStart w:id="5" w:name="docs-internal-guid-c30100cb-7fff-ad11-68"/>
      <w:bookmarkEnd w:id="5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Diabetes mellitus gestacional (DMG) é a intolerância aos carboidratos diagnosticada pela primeira vez durante a gestação e que pode ou não persistir após o parto. Logo, o estudo foi realizado com uma puérpera que desenvolveu o DMG com recém-nascido macrossômico. Ademais, o estudo objetivou elaborar um plano de cuidados com base na Sistematização da Assistência de Enfermagem a paciente com esta patologia. Este estudo trata-se de um relato de experiência, realizado com uma puérpera internada em uma maternidade de referência no Ceará. Nesta perspectiva, a paciente foi acompanhada em um pré-natal de alto risco, após diagnóstico do DMG e que evoluiu para uma cesariana, ao retornar para a enfermaria progrediu com diagnósticos de enfermagem que requerem intervenções para uma melhor recuperação e cuidados com RN. Os cuidados de enfermagem desenvolvidos com esta paciente foram: monitorar lóquios e fundo uterino, além de orientar quanto a troca de absorvente, entre outros que estão diretamente relacionados com os diagnósticos encontrados. Logo, este estudo permitiu compreender a fisiopatologia do diabetes mellitus gestacional e vivenciar a implementação e formulação da sistematização da assistência de enfermagem direcionada a esta paciente.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Descritores: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bookmarkStart w:id="6" w:name="docs-internal-guid-fea77d59-7fff-36cc-d1"/>
      <w:bookmarkEnd w:id="6"/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Enfermagem. Diabetes mellitus gestacional. Diagnósticos de enfermagem.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Área Temática: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Temas livres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enter" w:pos="4419" w:leader="none"/>
          <w:tab w:val="right" w:pos="8838" w:leader="none"/>
        </w:tabs>
        <w:spacing w:lineRule="auto" w:line="360"/>
        <w:ind w:left="-2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true"/>
        <w:spacing w:before="120" w:after="120"/>
        <w:ind w:left="0" w:right="0" w:hanging="2"/>
        <w:textAlignment w:val="top"/>
        <w:outlineLvl w:val="0"/>
        <w:rPr/>
      </w:pPr>
      <w:r>
        <w:rPr>
          <w:rFonts w:cs="Times New Roman" w:ascii="Times New Roman" w:hAnsi="Times New Roman"/>
          <w:b/>
          <w:color w:val="000000"/>
        </w:rPr>
        <w:t>INTRODUÇÃO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 Diabetes Mellitus (DM) é a condição crônica que mais cresce, principalmente nos     países em desenvolvimento (CORTEZ et al., 2015). Ele integram grupo de doenças            metabólicas caracterizadas por hiperglicemia e distúrbios no metabolismo de carboidratos,          proteínas e gorduras, resultantes de defeitos da secreção ou da ação da insulina             envolvendo a destruição das células beta do pâncreas, que são produtoras desse hormônio,             a resistência à ação dele e distúrbios de sua secreção (SOCIEDADE BRASILEIRA DE             DIABETES, 2017).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 DM está associado a complicações, disfunções e insuficiência de vários órgãos,            principalmente olhos, rins, nervos, cérebro, coração e vasos sanguíneos. Ele pode ser            classificado em três tipos, o diabetes tipo 1, o diabetes tipo 2 e o diabetes gestacional                (FERREIRA; PÉRICO e DIAS, 2018).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Como o estudo presente trata de uma gestante que teve o Diabetes Mellitus             Gestacional (DMG), este será o foco. O DMG está ligado à alta produção de hormônios na                placenta. O diagnóstico é feito através do pré-natal e dos exames laboratoriais realizados a              partir do segundo trimestre da gestação. Em 2011, no Brasil, estimou-se que em cerca de               7% das gestações podem ocorrer complicações por conta do diabetes gestacional           (WEINERT et al., 2011).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Durante a segunda metade da gestação, o desenvolvimento da resistência          insulínica é resultado de uma adaptação fisiológica pelos hormônios placentários anti-insulínicos, os quais possibilitam o fornecimento adequado de glicose para o feto, como             o lactogênio placentário, o cortisol e a prolactina (JACOB et al., 2014).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As causas podem estar ligadas ao sobrepeso, maus hábitos alimentares e a falta             de atividade física. O tratamento é realizado por meio de uma dieta individual e por prática                de atividade física leve e moderada. As mulheres com essa doença precisam verificar a              glicemia antes da alta hospitalar, após o parto. Na maioria dos casos, ela se resolve no                período pós-parto, não havendo necessidade de utilizar antidiabéticos orais ou insulina           (WEINERT et al., 2011).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 feto na gestação diabética desenvolve-se em um ambiente intrauterino          inadequado, estando sujeito a várias alterações metabólicas (JACOB et al., 2014). O            rastreamento da DMG deve ser iniciado na primeira consulta de pré-natal, por meio da              pesquisa de fatores de risco e da avaliação glicêmica inicial (MARUICHI; AMADEI e ABEL, 2012).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 enfermeiro tem um papel de grande relevância na identificação do DMG.            Cabendo a ele identificar na consulta de enfermagem no pré-natal quais as problemáticas a              gestante está vivenciando, levantar riscos, realizar ações de conscientização e encaminhar           ao profissional médico para o diagnóstico preciso de DMG e o início do tratamento e               acompanhamento especializado dessa gestante, encaminhando para um pré-natal de alto risco. O enfermeiro precisa ter uma interação com a cliente para poder dar orientações de hábitos saudáveis de acordo com a realidade socioeconômica da paciente (WEINERT, 2011).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 detecção da DMG é altamente recomendada, devido à incidência de desfechos            adversos materno-fetais, pois quando o diagnóstico é tardio ou a terapêutica não é seguida              corretamente, aumentam os riscos de partos cesarianos, pré-eclâmpsia, prematuridade,         macrossomia, distorcia de ombro, hipoglicemia neonatal, e morbimortalidade perinatal         (WEINERT et al., 2011).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Enfatizando a macrossomia como uma das principais complicações, Opara, Jaja e           Onubogu (2010), observaram a incidência de 61% de macrossomia em um estudo que             envolveu gestantes que apresentaram diabetes durante a gestação. A macrossomia é um            conhecido indicador de DMG no feto, que está fortemente associado com prematuridade, síndrome da angústia respiratória, trauma do nascimento, morte fetal e materna           (LEGARDEUR et al., 2014).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 termo “macrossomia fetal” é utilizado para designar recém-nascidos com peso           igual ou superior a 4.000 gramas, independentemente da idade gestacional ao nascimento.            Durante o pré-natal deve-se suspeitar desse diagnóstico para os fetos cujo peso estimado             seja igual ou maior que o percentil 90. Esses conceptos têm morbidade perinatal elevada              em função do aumento da ocorrência de tocotraumatismos e distúrbios metabólicos           neonatais (BRASIL, 2012).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Segundo Olmos (2013), esta condição é bastante grave, podendo levar a morte            neonatal em casos onde a mãe não deu atenção suficiente para a doença diagnosticada. A               macrossomia fetal, caracterizada pelo maior desenvolvimento da massa muscular e da           adiposidade, tem como fator primário a hiperinsulinemia fetal que é resultante da            hiperglicemia materna, por isso, é necessário o monitoramento rigoroso da glicose pós-prandial.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Essa complicação acarreta em um aumento dos partos cesarianos, que são           indicados para evitar principalmente o tocotraumatismo. No entanto, podem levar a           complicações como hemorragias e infecções puerperais (OLMOS et al., 2013). A realização            desse estudo de caso se dá pela importância do conhecimento das patologias e da              assistência de enfermagem para essas complicações.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/>
          <w:b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360" w:before="120" w:after="120"/>
        <w:ind w:left="227" w:right="0" w:hanging="0"/>
        <w:jc w:val="both"/>
        <w:textAlignment w:val="top"/>
        <w:outlineLvl w:val="0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2.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METODOLOGIA</w:t>
      </w:r>
    </w:p>
    <w:p>
      <w:pPr>
        <w:pStyle w:val="Normal"/>
        <w:keepNext w:val="true"/>
        <w:widowControl/>
        <w:bidi w:val="0"/>
        <w:spacing w:lineRule="auto" w:line="360" w:before="120" w:after="12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Este estudo trata-se de um estudo de caso de abordagem qualitativa. Logo a             experiência relatada tem como foco realizar um plano de cuidado com base na sistematização da assistência de enfermagem a uma paciente com diabetes mellitus gestacional que evoluiu para um bebê macrossômico. A data do período de prática foi 12/12/2019 até 19/12/2019, no período da manhã nos dias de terça a sexta, a coleta de dados e implantação das intervenções de enfermagem foram realizadas no dia 20/12/2019. </w:t>
      </w:r>
    </w:p>
    <w:p>
      <w:pPr>
        <w:pStyle w:val="Normal"/>
        <w:widowControl/>
        <w:bidi w:val="0"/>
        <w:spacing w:lineRule="auto" w:line="360" w:before="120" w:after="12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 cenário de experiência foi em uma maternidade de referência no estado do Ceará, situado na região Nordeste do país. Logo, a maternidade é totalmente pública, contratualizada com o Sistema Único de Saúde e dessa forma, não realiza nenhum atendimento particular ou a convênios. </w:t>
      </w:r>
    </w:p>
    <w:p>
      <w:pPr>
        <w:pStyle w:val="Normal"/>
        <w:widowControl/>
        <w:bidi w:val="0"/>
        <w:spacing w:lineRule="auto" w:line="360" w:before="120" w:after="120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Assim, a atividade foi desenvolvida com uma puérpera que se encontrava no dia             sob cuidados da equipe multidisciplinar da unidade. Nesta perspectiva, os materiais           utilizados durante todo o processo de coleta dos dados foram o prontuário da paciente em               questão, também, pelo bloco de anotações que foram coletadas as informações durante            toda a entrevista com a paciente e por meio dos instrumentos para o exame físico realizado.          A análise dos dados se deram por meio de artigos científicos que relatam sobre a                 patologia em questão, e pelos instrumentos que são utilizados na enfermagem para            construção dos diagnósticos, resultados e intervenções. </w:t>
      </w:r>
    </w:p>
    <w:p>
      <w:pPr>
        <w:pStyle w:val="Normal"/>
        <w:widowControl/>
        <w:bidi w:val="0"/>
        <w:spacing w:lineRule="auto" w:line="360" w:before="120" w:after="120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Além disso, a paciente estar ciente do estudo realizado e de acordo com a              elaboração do mesmo. Ressalta-se a confidencialidade e anonimato da participante e           respeito à resolução 466/2012 que trata da pesquisa com seres humanos.  </w:t>
      </w:r>
    </w:p>
    <w:p>
      <w:pPr>
        <w:pStyle w:val="Normal"/>
        <w:widowControl/>
        <w:bidi w:val="0"/>
        <w:spacing w:lineRule="auto" w:line="360" w:before="120" w:after="120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3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RESULTADOS E DISCUSSÃO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Paciente A. L. S, 34 anos, G2P1A0, peso 136,2 kg (IMC 50,8); branca, casada, evangélica, possui o ensino médio completo e não tem um emprego fixo. Natural e procedente de Fortaleza onde mora em casa própria com o esposo e o filho de 5 anos. Evolui com diagnóstico clínico de Diabetes Mellitus Gestacional (DMG). Foi admitida na emergência da maternidade no dia 10/12/2019 com idade gestacional de 37s6d (US 11s1d em 06/06/2019) e encaminhada à observação pela obesidade e DMG. Logo, procurou atendimento médico por relatar cólica de forte intensidade na noite anterior. Encontrava-se com a glicemia alterada (DX 239 mg/dl). Negava perda do líquido amniótico ou corrimento.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Ademais, nega tabagismo, etilismo e uso de drogas ilícitas e doenças como            hipertensão arterial e diabetes. Entretanto, em uma das consultas de pré-natal na Estratégia             Saúde da Família (ESF) mais próxima de sua residência foi diagnosticada a DMG através              do, teste oral de tolerância à glicose realizado no dia 07/10/2019 com valores de 110/ 174 mmHg e os valores da curva glicêmica após este diagnóstico estava constantemente acima dos valores de referência. Desta forma, a paciente em questão é encaminhada a maternidade de referência para as consultas de pré-natal de alto risco, somando ao total 11 consultas até sua admissão na emergência. Não apresenta antecedentes familiares de cardiopatias e doenças vasculares cerebral.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Outrossim, já realizou uma cirurgia anterior de cesariana há 5 anos, sem            complicações obstétricas e que o bebê nasceu macrossômico, mas que não diagnosticado            a DMG. Desconhece alergias medicamentosas e que não fazia uso de nenhum             medicamento antes da patologia em questão e que logo passou a utilizar o ácido acetilsalicílico e a insulina regular somado ao sulfato ferroso profilático de rotina durante a gravidez. Informou ingesta calórica satisfatória, não realiza atividade física e que sempre esteve acima do peso. Também, está com a vacinação de influenza e tétano em dias e apenas 2 doses da hepatite B.; seu grupo sanguíneo é A com fator RH positivo e os resultados dos outros testes realizados foram de não reagentes.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Efetivamente, ao ser admitida na emergência evoluiu com PA 110 X 70 mmHg,             batimentos cárdicos fetais 142-152 e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cardiotocografia fetal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reativa. Contudo, a cesária foi marcada para o dia 11/12/2019 às 09h. Assim, sucedeu a cirurgia com a paciente em decúbito dorsal sob a raquianestesia e com classificação de robson 5; o RN nasceu macrossômico com 4, 300 kg e foi realizado ao final da cesariana a inserção do DIU de cobre. Ao retornar para a enfermaria pós-cirúrgica, evoluiu com boa recuperação pós anestésica, referindo dor e sendo medicada conforme prescrição médica. Nesta perspectiva, ao ser avaliada pela escala de risco de lesão por pressão e risco de quedas, obteve resultado sem riscos. Encontra-se com os valores glicêmicos dentro das medidas de referência.</w:t>
      </w:r>
    </w:p>
    <w:p>
      <w:pPr>
        <w:pStyle w:val="Normal"/>
        <w:widowControl w:val="false"/>
        <w:spacing w:lineRule="auto" w:line="360"/>
        <w:ind w:left="0" w:righ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No dia 13 de dezembro, às 11 horas, a paciente estava no 2° pós-operatório de cesárea. Cuja evolução era alerta, em ar ambiente. Aceitando dieta via oral, verbalizando. Higienizada. Conciliando bem sono vigília. Pele íntegra, normocorada, hidratada. Deambulando. Sinais vitais: hemodinamicamente estável (PA: 112 X 84 mmHg, FC: 96 bpm, FR: 17 irpm) e normotérmica (T: 37,0 °C). </w:t>
      </w:r>
    </w:p>
    <w:p>
      <w:pPr>
        <w:pStyle w:val="Normal"/>
        <w:widowControl w:val="false"/>
        <w:spacing w:lineRule="auto" w:line="360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Ao exame físico, a avaliação pulmonar: tórax simétrico, padrão respiratório apical, ausculta pulmonar sem ruídos adventícios e com murmúrio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vesicular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em toda extensão pulmonar; avaliação cardíaca: ritmo regular, b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ulhas normofonéticas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, sem sopros; avaliação abdominal: globoso e doloroso à palpação, ruídos hidroáreos presentes. </w:t>
      </w:r>
    </w:p>
    <w:p>
      <w:pPr>
        <w:pStyle w:val="Normal"/>
        <w:widowControl w:val="false"/>
        <w:spacing w:lineRule="auto" w:line="360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Mamas simétricas, levemente túrgidas, sem sinais de ingurgitação e mamilos protusos. Fundo uterino palpável, centralizado, acima da cicatriz umbilical. Ferida operatória limpa, seca, sem sinais flogísticos. Apresenta absorvente íntimo com pouca loquiação rubra.  Extremidades perfundidas (tempo de enchimento capilar &lt; 2 segundos, saturando 98%) e edema em membros inferiores presente no sinal de cacifo. Cateter venoso periférico pérvio  em membro superior com hidratação venosa em curso. E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liminações fisiológicas presentes ao dia.</w:t>
      </w:r>
    </w:p>
    <w:p>
      <w:pPr>
        <w:pStyle w:val="Normal"/>
        <w:widowControl w:val="false"/>
        <w:spacing w:lineRule="auto" w:line="360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Os diagnósticos prioritários de enfermagem encontrados foram risco de sangramento relacionado à complicações pós-parto, cujas intervenções eram monitorar lóquios quanto as características, quantidade, cor e presença de coágulos, além de monitorar fundo uterino e orientar quanto a troca do absorvente pelo menos 6 vezes ao dia para verificação dos lóquios. O segundo, foi o risco de infecção relacionado a procedimentos cirúrgicos que reforçaram a equipe de enfermagem a orientar sobre cuidados com a ferida operatória, monitorar a incisão  para detecção de sinais e sintomas de infecção e estimular a deambulação da paciente. </w:t>
      </w:r>
    </w:p>
    <w:p>
      <w:pPr>
        <w:pStyle w:val="Normal"/>
        <w:widowControl w:val="false"/>
        <w:spacing w:lineRule="auto" w:line="360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 terceiro diagnóstico encontrado, foi a disposição para amamentação melhorada relacionado à interesse em amamentar, as intervenções foram orientar quanto a pega correta da mama, monitorar mãe e bebê durante amamentação, salientar quanto a importância e benefícios da amamentação exclusiva e estimular a mãe a pedir ajuda quando necessário. Em suma, ela estava em uso de sulfato ferroso, ácido ascórbico e medicações sintomáticas se necessário. </w:t>
      </w:r>
    </w:p>
    <w:p>
      <w:pPr>
        <w:pStyle w:val="Normal"/>
        <w:widowControl w:val="false"/>
        <w:spacing w:lineRule="auto" w:line="360"/>
        <w:ind w:left="0" w:righ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4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CONCLUSÃO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Este estudo de caso permitiu compreender a fisiopatologia do diabetes mellitus           gestacional; vivenciar a implementação e formulação da sistematização da assistência de           enfermagem direcionada uma pessoa com diabetes mellitus gestacional; reconhecer a          importância da elaboração de um plano de cuidados direcionado e específico a esse caso              clínico. É oportuno destacar que compete ao enfermeiro elaborar meios de diminuir danos            e sequelas ao binômio mãe e filho, e em especial, na prevenção do desenvolvimento de               diabetes mellitus tipo 2 na mãe no decorrer de sua vida.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120" w:after="120"/>
        <w:ind w:left="0" w:right="0" w:firstLine="737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360" w:before="120" w:after="120"/>
        <w:ind w:left="227" w:right="0" w:hanging="0"/>
        <w:jc w:val="both"/>
        <w:textAlignment w:val="top"/>
        <w:outlineLvl w:val="0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5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REFERÊNCIAS </w:t>
      </w:r>
    </w:p>
    <w:p>
      <w:pPr>
        <w:pStyle w:val="Normal"/>
        <w:numPr>
          <w:ilvl w:val="1"/>
          <w:numId w:val="1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BRASIL. Ministério da Saúde. Gestação de Alto Risco: Manual Técnico. 5 ed. Brasília, 2012. </w:t>
      </w:r>
    </w:p>
    <w:p>
      <w:pPr>
        <w:pStyle w:val="Normal"/>
        <w:numPr>
          <w:ilvl w:val="1"/>
          <w:numId w:val="1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1"/>
          <w:numId w:val="1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CORTEZ, D. N.; REIS, I. A.; SOUZA, D. A. S. MACEDO, M. M. L.; TORRES, H. C. Complicações e o Tempo de Diagnóstico do Diabetes Mellitus na Atenção Primária. Rev. Acta Paulista de Enfermagem, v. 28, n. 3, p. 250-255, </w:t>
      </w:r>
      <w:r>
        <w:rPr>
          <w:rFonts w:ascii="Times New Roman" w:hAnsi="Times New Roman"/>
        </w:rPr>
        <w:t xml:space="preserve">2015.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jc w:val="both"/>
        <w:textAlignment w:val="top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FERREIRA, S. R. S.; PÉRICO, L. A. D.; DIAS, V. R. F. G. Atuação do Enfermeiro na Atenção Primária à Saúde. </w:t>
      </w:r>
      <w:r>
        <w:rPr>
          <w:rFonts w:ascii="Times New Roman" w:hAnsi="Times New Roman"/>
        </w:rPr>
        <w:t xml:space="preserve">Rev. Brasileira de Enfermagem, v. 71, p. 752-757, 2018.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JACOB, T. A.; SOARES, L. S.; SANTOS, M. R.; SANTOS, L. R.; SANTOS, E. R.; TORRES, G. C.; SILVA, V. Y. N. E.; KASHIWABARA, T. G. B. Diabetes Mellitus         Gestacional: uma Revisão de Literatura. Rev. Brazilian Journal Of Surgery And Clinical          Research, v. 6, n. 2, p.33-37, 2014. </w:t>
      </w:r>
    </w:p>
    <w:p>
      <w:pPr>
        <w:pStyle w:val="Normal"/>
        <w:numPr>
          <w:ilvl w:val="1"/>
          <w:numId w:val="1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LEGARDEUR, H.; GIRARD, G.; JOURNY, N.; RESSENCOURT, V.; Factors Predictive of Macrosomia in Pregnancies with a Positive Oral Glucose Challenge Test: Importance of Fasting Plasma Glucose. Rev. Diabetes e Metabolismo [online], v. 40, p. 43–48, 2014. </w:t>
      </w:r>
    </w:p>
    <w:p>
      <w:pPr>
        <w:pStyle w:val="Normal"/>
        <w:numPr>
          <w:ilvl w:val="1"/>
          <w:numId w:val="1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MARUICHI, M. D.; AMADEI, G.; ABEL, M. N. C. .Diabetes mellitus gestacional. Rev. Arquivos Médicos dos Hospitais e da Faculdade de Ciências Médicas da Santa Casa de São Paulo, São Paulo, v. 57, n. 3, p.124-128, 2012.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OLMOS, P.; MARTELO, G.; REIMER, V.; RIGOTTI, A.; BUSSO, D. La Hipótesis de Pedersen no es Suficiente: Otros Nutrientes Además de la Glucosa Explicarían la Macrosomía Fetal en Pacientes Diabéticas Gestacionales com Sobrepeso y Buen Control Glicémico. Rev Med Chile [online], v.141, p. 1441-1448, 2013.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OPARA, P. I; JAJA, T.; ONUBOGU, U. C. Morbidity and Mortality Amongst Infants of Diabetic Mothers Admitted into a Special Care Baby unit in Port Harcourt, Nigeria. Italian Journal of Pediatrics [online], v. 36, n. 77, p. 1824-7288, 2010.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SOCIEDADE BRASILEIRA DE DIABETES. Diretrizes da Sociedade Brasileira de         Diabetes. Rio de Janeiro: 2017.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uppressAutoHyphens w:val="true"/>
        <w:spacing w:lineRule="auto" w:line="360"/>
        <w:ind w:left="0" w:right="0" w:hanging="2"/>
        <w:jc w:val="both"/>
        <w:textAlignment w:val="top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WEINERT, L.S. SILVEIRO, S. P.; OPPERMANN, M. L.; SALAZAR, C. C.; SIMIONATO, B. M.; SIEBENEICHLER, A.; REICHELT, A. J. Diabetes Gestacional: um Algoritmo de Tratamento Multidisciplinar. Rev. Arquivos Brasileiros de Endocrinologia e Metabologia. v. 57, n. 7, p 435-445, 2011. </w:t>
      </w:r>
    </w:p>
    <w:p>
      <w:pPr>
        <w:pStyle w:val="Normal"/>
        <w:spacing w:before="75" w:after="0"/>
        <w:ind w:left="0" w:right="585" w:hanging="0"/>
        <w:jc w:val="center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701" w:right="1134" w:header="708" w:top="1701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17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4120" cy="158750"/>
              <wp:effectExtent l="0" t="0" r="0" b="0"/>
              <wp:wrapNone/>
              <wp:docPr id="4" name="Grupo 1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58040"/>
                      </a:xfrm>
                    </wpg:grpSpPr>
                    <wps:wsp>
                      <wps:cNvSpPr/>
                      <wps:spPr>
                        <a:xfrm>
                          <a:off x="2502000" y="0"/>
                          <a:ext cx="5061600" cy="158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2711520" cy="158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o 19" style="position:absolute;margin-left:0pt;margin-top:829.4pt;width:595.55pt;height:12.45pt" coordorigin="0,16588" coordsize="11911,249"/>
          </w:pict>
        </mc:Fallback>
      </mc:AlternateContent>
    </w:r>
  </w:p>
</w:ftr>
</file>

<file path=word/header1.xml><?xml version="1.0" encoding="UTF-8" standalone="yes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p><w:pPr><w:pStyle w:val="Cabealho"/><w:rPr></w:rPr></w:pPr><w:r><w:rPr></w:rPr><mc:AlternateContent><mc:Choice Requires="wpg"><w:drawing><wp:anchor behindDoc="1" distT="0" distB="0" distL="114300" distR="114300" simplePos="0" locked="0" layoutInCell="1" allowOverlap="1" relativeHeight="9"><wp:simplePos x="0" y="0"/><wp:positionH relativeFrom="page"><wp:posOffset>0</wp:posOffset></wp:positionH><wp:positionV relativeFrom="page"><wp:posOffset>0</wp:posOffset></wp:positionV><wp:extent cx="7291070" cy="1738630"/><wp:effectExtent l="0" t="0" r="0" b="0"/><wp:wrapNone/><wp:docPr id="3" name="Grupo 10"/><a:graphic xmlns:a="http://schemas.openxmlformats.org/drawingml/2006/main"><a:graphicData uri="http://schemas.microsoft.com/office/word/2010/wordprocessingGroup"><wpg:wgp><wpg:cNvGrpSpPr/><wpg:grpSpPr><a:xfrm><a:off x="0" y="0"/><a:ext cx="7290360" cy="1738080"/></a:xfrm></wpg:grpSpPr><wps:wsp><wps:cNvSpPr/><wps:spPr><a:xfrm><a:off x="1010160" y="0"/><a:ext cx="6280200" cy="220320"/></a:xfrm><a:custGeom><a:avLst/><a:gdLst/><a:ahLst/><a:rect l="l" t="t" r="r" b="b"/><a:pathLst><a:path w="9889" h="349"><a:moveTo><a:pt x="465" y="0"/></a:moveTo><a:lnTo><a:pt x="9889" y="0"/></a:lnTo><a:lnTo><a:pt x="9424" y="349"/></a:lnTo><a:lnTo><a:pt x="0" y="349"/></a:lnTo><a:lnTo><a:pt x="465" y="0"/></a:lnTo><a:close/></a:path></a:pathLst></a:custGeom><a:solidFill><a:srgbClr val="3fa0ba"/></a:solidFill><a:ln><a:noFill/></a:ln></wps:spPr><wps:style><a:lnRef idx="0"></a:lnRef><a:fillRef idx="0"/><a:effectRef idx="0"></a:effectRef><a:fontRef idx="minor"/></wps:style><wps:bodyPr/></wps:wsp><wps:wsp><wps:cNvSpPr/><wps:spPr><a:xfrm><a:off x="0" y="0"/><a:ext cx="1305000" cy="220320"/></a:xfrm><a:custGeom><a:avLst/><a:gdLst/><a:ahLst/><a:rect l="l" t="t" r="r" b="b"/><a:pathLst><a:path w="2057" h="349"><a:moveTo><a:pt x="0" y="0"/></a:moveTo><a:lnTo><a:pt x="2056" y="0"/></a:lnTo><a:lnTo><a:pt x="1591" y="349"/></a:lnTo><a:lnTo><a:pt x="0" y="349"/></a:lnTo><a:lnTo><a:pt x="0" y="0"/></a:lnTo><a:close/></a:path></a:pathLst></a:custGeom><a:solidFill><a:srgbClr val="087ea6"/></a:solidFill><a:ln><a:noFill/></a:ln></wps:spPr><wps:style><a:lnRef idx="0"></a:lnRef><a:fillRef idx="0"/><a:effectRef idx="0"></a:effectRef><a:fontRef idx="minor"/></wps:style><wps:bodyPr/></wps:wsp><pic:wsp><pic:cNvSpPr txBox="1"/><pic:spPr><a:xfrm><a:off x="193680" y="0"/><a:ext cx="3543480" cy="1682640"/></a:xfrm><a:prstGeom prst="rect"><a:avLst/></a:prstGeom><a:blipFill rotWithShape="0"><a:blip r:embed="rId1"></a:blip><a:stretch><a:fillRect/></a:stretch></a:blipFill><a:ln><a:noFill/></a:ln></pic:spPr><pic:txbx><w:txbxContent><w:p><w:pPr><w:jc w:val="left"/><w:rPr></w:rPr></w:pPr><w:r><w:rPr><w:sz w:val="36"/><w:szCs w:val="22"/><w:rFonts w:ascii="Calibri" w:hAnsi="Calibri" w:eastAsia="Calibri" w:cs="Tahoma"/><w:color w:val="auto"/><w:lang w:eastAsia="en-US"/></w:rPr></w:r></w:p><w:p><w:pPr><w:jc w:val="left"/><w:rPr></w:rPr></w:pPr><w:r><w:rPr><w:sz w:val="36"/><w:szCs w:val="22"/><w:rFonts w:ascii="Calibri" w:hAnsi="Calibri" w:eastAsia="Calibri" w:cs="Tahoma"/><w:color w:val="auto"/><w:lang w:eastAsia="en-US"/></w:rPr></w:r></w:p><w:p><w:pPr><w:jc w:val="left"/><w:rPr></w:rPr></w:pPr><w:r><w:rPr><w:sz w:val="36"/><w:szCs w:val="22"/><w:rFonts w:ascii="Calibri" w:hAnsi="Calibri" w:eastAsia="Calibri" w:cs="Tahoma"/><w:color w:val="auto"/><w:lang w:eastAsia="en-US"/></w:rPr></w:r></w:p></w:txbxContent></pic:txbx><pic:bodyPr lIns="90000" rIns="90000" tIns="45000" bIns="45000" anchorCtr="1"><a:noAutofit/></pic:bodyPr></pic:wsp><pic:pic xmlns:pic="http://schemas.openxmlformats.org/drawingml/2006/picture"><pic:nvPicPr><pic:cNvPr id="0" name="Picture 13" descr=""></pic:cNvPr><pic:cNvPicPr/></pic:nvPicPr><pic:blipFill><a:blip r:embed="rId2"></a:blip><a:stretch/></pic:blipFill><pic:spPr><a:xfrm><a:off x="1978560" y="1534320"/><a:ext cx="203760" cy="203760"/></a:xfrm><a:prstGeom prst="rect"><a:avLst/></a:prstGeom><a:ln><a:noFill/></a:ln></pic:spPr></pic:pic><pic:pic xmlns:pic="http://schemas.openxmlformats.org/drawingml/2006/picture"><pic:nvPicPr><pic:cNvPr id="1" name="Picture 14" descr=""></pic:cNvPr><pic:cNvPicPr/></pic:nvPicPr><pic:blipFill><a:blip r:embed="rId3"></a:blip><a:stretch/></pic:blipFill><pic:spPr><a:xfrm><a:off x="3438000" y="0"/><a:ext cx="435600" cy="111240"/></a:xfrm><a:prstGeom prst="rect"><a:avLst/></a:prstGeom><a:ln><a:noFill/></a:ln></pic:spPr></pic:pic><wps:wsp><wps:cNvSpPr/><wps:spPr><a:xfrm><a:off x="0" y="0"/><a:ext cx="7290360" cy="220320"/></a:xfrm><a:custGeom><a:avLst/><a:gdLst/><a:ahLst/><a:rect l="l" t="t" r="r" b="b"/><a:pathLst><a:path w="11480" h="349"><a:moveTo><a:pt x="11480" y="0"/></a:moveTo><a:lnTo><a:pt x="2056" y="0"/></a:lnTo><a:lnTo><a:pt x="0" y="0"/></a:lnTo><a:lnTo><a:pt x="0" y="349"/></a:lnTo><a:lnTo><a:pt x="1591" y="349"/></a:lnTo><a:lnTo><a:pt x="11015" y="349"/></a:lnTo><a:lnTo><a:pt x="11480" y="0"/></a:lnTo></a:path></a:pathLst></a:custGeom><a:solidFill><a:srgbClr val="3fa0ba"/></a:solidFill><a:ln><a:noFill/></a:ln></wps:spPr><wps:style><a:lnRef idx="0"></a:lnRef><a:fillRef idx="0"/><a:effectRef idx="0"></a:effectRef><a:fontRef idx="minor"/></wps:style><wps:bodyPr/></wps:wsp><pic:pic xmlns:pic="http://schemas.openxmlformats.org/drawingml/2006/picture"><pic:nvPicPr><pic:cNvPr id="2" name="Picture 16" descr=""></pic:cNvPr><pic:cNvPicPr/></pic:nvPicPr><pic:blipFill><a:blip r:embed="rId4"></a:blip><a:stretch/></pic:blipFill><pic:spPr><a:xfrm><a:off x="555120" y="0"/><a:ext cx="2802240" cy="1329840"/></a:xfrm><a:prstGeom prst="rect"><a:avLst/></a:prstGeom><a:ln><a:noFill/></a:ln></pic:spPr></pic:pic></wpg:wgp></a:graphicData></a:graphic></wp:anchor></w:drawing></mc:Choice><mc:Fallback><w:pict><v:group id="shape_0" alt="Grupo 10" style="position:absolute;margin-left:0pt;margin-top:0pt;width:574.05pt;height:136.85pt" coordorigin="0,0" coordsize="11481,2737"><v:rect id="shape_0" ID="Picture 12" stroked="f" style="position:absolute;left:305;top:0;width:5579;height:2649;mso-position-horizontal-relative:page;mso-position-vertical-relative:page"><v:textbox><w:txbxContent><w:p><w:pPr><w:jc w:val="left"/><w:rPr></w:rPr></w:pPr><w:r><w:rPr><w:sz w:val="36"/><w:szCs w:val="22"/><w:rFonts w:ascii="Calibri" w:hAnsi="Calibri" w:eastAsia="Calibri" w:cs="Tahoma"/><w:color w:val="auto"/><w:lang w:eastAsia="en-US"/></w:rPr></w:r></w:p><w:p><w:pPr><w:jc w:val="left"/><w:rPr></w:rPr></w:pPr><w:r><w:rPr><w:sz w:val="36"/><w:szCs w:val="22"/><w:rFonts w:ascii="Calibri" w:hAnsi="Calibri" w:eastAsia="Calibri" w:cs="Tahoma"/><w:color w:val="auto"/><w:lang w:eastAsia="en-US"/></w:rPr></w:r></w:p><w:p><w:pPr><w:jc w:val="left"/><w:rPr></w:rPr></w:pPr><w:r><w:rPr><w:sz w:val="36"/><w:szCs w:val="22"/><w:rFonts w:ascii="Calibri" w:hAnsi="Calibri" w:eastAsia="Calibri" w:cs="Tahoma"/><w:color w:val="auto"/><w:lang w:eastAsia="en-US"/></w:rPr></w:r></w:p></w:txbxContent></v:textbox><v:imagedata r:id="rId1" o:detectmouseclick="t"/><w10:wrap type="square"/><v:stroke color="#3465a4" joinstyle="round" endcap="flat"/></v:rect><v:shapetype id="shapetype_75" coordsize="21600,21600" o:spt="75" o:preferrelative="t" path="m@4@5l@4@11@9@11@9@5xe" filled="f" stroked="f">
<v:stroke joinstyle="miter"/>
<v:formulas>
<v:f eqn="if lineDrawn pixelLineWidth 0"/>
<v:f eqn="sum @0 1 0"/>
<v:f eqn="sum 0 0 @1"/>
<v:f eqn="prod @2 1 2"/>
<v:f eqn="prod @3 21600 pixelWidth"/>
<v:f eqn="prod @3 21600 pixelHeight"/>
<v:f eqn="sum @0 0 1"/>
<v:f eqn="prod @6 1 2"/>
<v:f eqn="prod @7 21600 pixelWidth"/>
<v:f eqn="sum @8 21600 0"/>
<v:f eqn="prod @7 21600 pixelHeight"/>
<v:f eqn="sum @10 21600 0"/>
</v:formulas>
<v:path o:extrusionok="f" gradientshapeok="t" o:connecttype="rect"/>
<o:lock v:ext="edit" aspectratio="t"/>
</v:shapetype><v:shape id="shape_0" ID="Picture 13" stroked="f" style="position:absolute;left:3116;top:2416;width:320;height:320;mso-position-horizontal-relative:page;mso-position-vertical-relative:page" type="shapetype_75"><v:imagedata r:id="rId2" o:detectmouseclick="t"/><w10:wrap type="none"/><v:stroke color="#3465a4" joinstyle="round" endcap="flat"/></v:shape><v:shape id="shape_0" ID="Picture 14" stroked="f" style="position:absolute;left:5414;top:0;width:685;height:174;mso-position-horizontal-relative:page;mso-position-vertical-relative:page" type="shapetype_75"><v:imagedata r:id="rId3" o:detectmouseclick="t"/><w10:wrap type="none"/><v:stroke color="#3465a4" joinstyle="round" endcap="flat"/></v:shape><v:shape id="shape_0" ID="Picture 16" stroked="f" style="position:absolute;left:874;top:0;width:4412;height:2093;mso-position-horizontal-relative:page;mso-position-vertical-relative:page" type="shapetype_75"><v:imagedata r:id="rId4" o:detectmouseclick="t"/><w10:wrap type="none"/><v:stroke color="#3465a4" joinstyle="round" endcap="flat"/></v:shape></v:group></w:pict></mc:Fallback></mc:AlternateContent></w:r></w:p>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4"/>
        <w:sz w:val="24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  <w:b w:val="false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decimal"/>
      <w:lvlText w:val="%1"/>
      <w:lvlJc w:val="left"/>
      <w:pPr>
        <w:ind w:left="227" w:hanging="22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  <w:position w:val="0"/>
        <w:sz w:val="24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  <w:position w:val="0"/>
        <w:sz w:val="24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  <w:position w:val="0"/>
        <w:sz w:val="24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  <w:position w:val="0"/>
        <w:sz w:val="24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  <w:position w:val="0"/>
        <w:sz w:val="24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  <w:position w:val="0"/>
        <w:sz w:val="24"/>
        <w:sz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Cambria" w:hAnsi="Cambria" w:eastAsia="Cambria" w:cs="Cambria"/>
      <w:color w:val="00000A"/>
      <w:kern w:val="0"/>
      <w:sz w:val="24"/>
      <w:szCs w:val="24"/>
      <w:lang w:val="pt-BR" w:eastAsia="pt-BR" w:bidi="ar-SA"/>
    </w:rPr>
  </w:style>
  <w:style w:type="paragraph" w:styleId="Ttulo3">
    <w:name w:val="Heading 3"/>
    <w:basedOn w:val="Ttul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Cambria" w:hAnsi="Cambria" w:eastAsia="Cambria" w:cs="Cambria"/>
      <w:sz w:val="20"/>
      <w:szCs w:val="20"/>
      <w:lang w:eastAsia="pt-BR"/>
    </w:rPr>
  </w:style>
  <w:style w:type="character" w:styleId="AssuntodocomentrioChar">
    <w:name w:val="Assunto do comentário Char"/>
    <w:basedOn w:val="TextodecomentrioChar"/>
    <w:qFormat/>
    <w:rPr>
      <w:rFonts w:ascii="Cambria" w:hAnsi="Cambria" w:eastAsia="Cambria" w:cs="Cambria"/>
      <w:b/>
      <w:bCs/>
      <w:sz w:val="20"/>
      <w:szCs w:val="20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Cambria" w:cs="Tahoma"/>
      <w:sz w:val="16"/>
      <w:szCs w:val="16"/>
      <w:lang w:eastAsia="pt-BR"/>
    </w:rPr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CabealhoChar">
    <w:name w:val="Cabeçalho Char"/>
    <w:basedOn w:val="DefaultParagraphFont"/>
    <w:qFormat/>
    <w:rPr>
      <w:rFonts w:ascii="Cambria" w:hAnsi="Cambria" w:eastAsia="Cambria" w:cs="Cambria"/>
      <w:sz w:val="24"/>
      <w:szCs w:val="24"/>
      <w:lang w:eastAsia="pt-BR"/>
    </w:rPr>
  </w:style>
  <w:style w:type="character" w:styleId="RodapChar">
    <w:name w:val="Rodapé Char"/>
    <w:basedOn w:val="DefaultParagraphFont"/>
    <w:qFormat/>
    <w:rPr>
      <w:rFonts w:ascii="Cambria" w:hAnsi="Cambria" w:eastAsia="Cambria" w:cs="Cambria"/>
      <w:sz w:val="24"/>
      <w:szCs w:val="24"/>
      <w:lang w:eastAsia="pt-BR"/>
    </w:rPr>
  </w:style>
  <w:style w:type="character" w:styleId="ListLabel1">
    <w:name w:val="ListLabel 1"/>
    <w:qFormat/>
    <w:rPr>
      <w:b/>
      <w:position w:val="0"/>
      <w:sz w:val="24"/>
      <w:sz w:val="24"/>
      <w:vertAlign w:val="baseline"/>
    </w:rPr>
  </w:style>
  <w:style w:type="character" w:styleId="ListLabel2">
    <w:name w:val="ListLabel 2"/>
    <w:qFormat/>
    <w:rPr>
      <w:rFonts w:eastAsia="Arial" w:cs="Arial"/>
      <w:position w:val="0"/>
      <w:sz w:val="24"/>
      <w:sz w:val="24"/>
      <w:szCs w:val="24"/>
      <w:vertAlign w:val="baseline"/>
    </w:rPr>
  </w:style>
  <w:style w:type="character" w:styleId="ListLabel3">
    <w:name w:val="ListLabel 3"/>
    <w:qFormat/>
    <w:rPr>
      <w:position w:val="0"/>
      <w:sz w:val="24"/>
      <w:sz w:val="24"/>
      <w:vertAlign w:val="baseline"/>
    </w:rPr>
  </w:style>
  <w:style w:type="character" w:styleId="ListLabel4">
    <w:name w:val="ListLabel 4"/>
    <w:qFormat/>
    <w:rPr>
      <w:position w:val="0"/>
      <w:sz w:val="24"/>
      <w:sz w:val="24"/>
      <w:vertAlign w:val="baseline"/>
    </w:rPr>
  </w:style>
  <w:style w:type="character" w:styleId="ListLabel5">
    <w:name w:val="ListLabel 5"/>
    <w:qFormat/>
    <w:rPr>
      <w:position w:val="0"/>
      <w:sz w:val="24"/>
      <w:sz w:val="24"/>
      <w:vertAlign w:val="baseline"/>
    </w:rPr>
  </w:style>
  <w:style w:type="character" w:styleId="ListLabel6">
    <w:name w:val="ListLabel 6"/>
    <w:qFormat/>
    <w:rPr>
      <w:position w:val="0"/>
      <w:sz w:val="24"/>
      <w:sz w:val="24"/>
      <w:vertAlign w:val="baseline"/>
    </w:rPr>
  </w:style>
  <w:style w:type="character" w:styleId="ListLabel7">
    <w:name w:val="ListLabel 7"/>
    <w:qFormat/>
    <w:rPr>
      <w:position w:val="0"/>
      <w:sz w:val="24"/>
      <w:sz w:val="24"/>
      <w:vertAlign w:val="baseline"/>
    </w:rPr>
  </w:style>
  <w:style w:type="character" w:styleId="ListLabel8">
    <w:name w:val="ListLabel 8"/>
    <w:qFormat/>
    <w:rPr>
      <w:position w:val="0"/>
      <w:sz w:val="24"/>
      <w:sz w:val="24"/>
      <w:vertAlign w:val="baseline"/>
    </w:rPr>
  </w:style>
  <w:style w:type="character" w:styleId="ListLabel9">
    <w:name w:val="ListLabel 9"/>
    <w:qFormat/>
    <w:rPr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eastAsia="Arial" w:cs="Arial"/>
      <w:position w:val="0"/>
      <w:sz w:val="24"/>
      <w:sz w:val="24"/>
      <w:szCs w:val="24"/>
      <w:vertAlign w:val="baseline"/>
    </w:rPr>
  </w:style>
  <w:style w:type="character" w:styleId="ListLabel11">
    <w:name w:val="ListLabel 11"/>
    <w:qFormat/>
    <w:rPr>
      <w:position w:val="0"/>
      <w:sz w:val="24"/>
      <w:sz w:val="24"/>
      <w:vertAlign w:val="baseline"/>
    </w:rPr>
  </w:style>
  <w:style w:type="character" w:styleId="ListLabel12">
    <w:name w:val="ListLabel 12"/>
    <w:qFormat/>
    <w:rPr>
      <w:position w:val="0"/>
      <w:sz w:val="24"/>
      <w:sz w:val="24"/>
      <w:vertAlign w:val="baseline"/>
    </w:rPr>
  </w:style>
  <w:style w:type="character" w:styleId="ListLabel13">
    <w:name w:val="ListLabel 13"/>
    <w:qFormat/>
    <w:rPr>
      <w:position w:val="0"/>
      <w:sz w:val="24"/>
      <w:sz w:val="24"/>
      <w:vertAlign w:val="baseline"/>
    </w:rPr>
  </w:style>
  <w:style w:type="character" w:styleId="ListLabel14">
    <w:name w:val="ListLabel 14"/>
    <w:qFormat/>
    <w:rPr>
      <w:position w:val="0"/>
      <w:sz w:val="24"/>
      <w:sz w:val="24"/>
      <w:vertAlign w:val="baseline"/>
    </w:rPr>
  </w:style>
  <w:style w:type="character" w:styleId="ListLabel15">
    <w:name w:val="ListLabel 15"/>
    <w:qFormat/>
    <w:rPr>
      <w:position w:val="0"/>
      <w:sz w:val="24"/>
      <w:sz w:val="24"/>
      <w:vertAlign w:val="baseline"/>
    </w:rPr>
  </w:style>
  <w:style w:type="character" w:styleId="ListLabel16">
    <w:name w:val="ListLabel 16"/>
    <w:qFormat/>
    <w:rPr>
      <w:position w:val="0"/>
      <w:sz w:val="24"/>
      <w:sz w:val="24"/>
      <w:vertAlign w:val="baseline"/>
    </w:rPr>
  </w:style>
  <w:style w:type="character" w:styleId="ListLabel17">
    <w:name w:val="ListLabel 17"/>
    <w:qFormat/>
    <w:rPr>
      <w:position w:val="0"/>
      <w:sz w:val="24"/>
      <w:sz w:val="24"/>
      <w:vertAlign w:val="baseline"/>
    </w:rPr>
  </w:style>
  <w:style w:type="character" w:styleId="ListLabel18">
    <w:name w:val="ListLabel 18"/>
    <w:qFormat/>
    <w:rPr>
      <w:position w:val="0"/>
      <w:sz w:val="24"/>
      <w:sz w:val="24"/>
      <w:vertAlign w:val="baseline"/>
    </w:rPr>
  </w:style>
  <w:style w:type="character" w:styleId="ListLabel19">
    <w:name w:val="ListLabel 19"/>
    <w:qFormat/>
    <w:rPr>
      <w:rFonts w:eastAsia="Arial" w:cs="Arial"/>
      <w:b/>
      <w:position w:val="0"/>
      <w:sz w:val="24"/>
      <w:sz w:val="24"/>
      <w:szCs w:val="24"/>
      <w:vertAlign w:val="baseline"/>
    </w:rPr>
  </w:style>
  <w:style w:type="character" w:styleId="ListLabel20">
    <w:name w:val="ListLabel 20"/>
    <w:qFormat/>
    <w:rPr>
      <w:position w:val="0"/>
      <w:sz w:val="24"/>
      <w:sz w:val="24"/>
      <w:vertAlign w:val="baseline"/>
    </w:rPr>
  </w:style>
  <w:style w:type="character" w:styleId="ListLabel21">
    <w:name w:val="ListLabel 21"/>
    <w:qFormat/>
    <w:rPr>
      <w:position w:val="0"/>
      <w:sz w:val="24"/>
      <w:sz w:val="24"/>
      <w:vertAlign w:val="baseline"/>
    </w:rPr>
  </w:style>
  <w:style w:type="character" w:styleId="ListLabel22">
    <w:name w:val="ListLabel 22"/>
    <w:qFormat/>
    <w:rPr>
      <w:position w:val="0"/>
      <w:sz w:val="24"/>
      <w:sz w:val="24"/>
      <w:vertAlign w:val="baseline"/>
    </w:rPr>
  </w:style>
  <w:style w:type="character" w:styleId="ListLabel23">
    <w:name w:val="ListLabel 23"/>
    <w:qFormat/>
    <w:rPr>
      <w:position w:val="0"/>
      <w:sz w:val="24"/>
      <w:sz w:val="24"/>
      <w:vertAlign w:val="baseline"/>
    </w:rPr>
  </w:style>
  <w:style w:type="character" w:styleId="ListLabel24">
    <w:name w:val="ListLabel 24"/>
    <w:qFormat/>
    <w:rPr>
      <w:position w:val="0"/>
      <w:sz w:val="24"/>
      <w:sz w:val="24"/>
      <w:vertAlign w:val="baseline"/>
    </w:rPr>
  </w:style>
  <w:style w:type="character" w:styleId="ListLabel25">
    <w:name w:val="ListLabel 25"/>
    <w:qFormat/>
    <w:rPr>
      <w:position w:val="0"/>
      <w:sz w:val="24"/>
      <w:sz w:val="24"/>
      <w:vertAlign w:val="baseline"/>
    </w:rPr>
  </w:style>
  <w:style w:type="character" w:styleId="ListLabel26">
    <w:name w:val="ListLabel 26"/>
    <w:qFormat/>
    <w:rPr>
      <w:position w:val="0"/>
      <w:sz w:val="24"/>
      <w:sz w:val="24"/>
      <w:vertAlign w:val="baseline"/>
    </w:rPr>
  </w:style>
  <w:style w:type="character" w:styleId="ListLabel27">
    <w:name w:val="ListLabel 27"/>
    <w:qFormat/>
    <w:rPr>
      <w:position w:val="0"/>
      <w:sz w:val="24"/>
      <w:sz w:val="24"/>
      <w:vertAlign w:val="baseline"/>
    </w:rPr>
  </w:style>
  <w:style w:type="character" w:styleId="ListLabel28">
    <w:name w:val="ListLabel 28"/>
    <w:qFormat/>
    <w:rPr>
      <w:position w:val="0"/>
      <w:sz w:val="24"/>
      <w:sz w:val="24"/>
      <w:vertAlign w:val="baseline"/>
    </w:rPr>
  </w:style>
  <w:style w:type="character" w:styleId="ListLabel29">
    <w:name w:val="ListLabel 29"/>
    <w:qFormat/>
    <w:rPr>
      <w:rFonts w:eastAsia="Arial" w:cs="Arial"/>
      <w:b/>
      <w:position w:val="0"/>
      <w:sz w:val="24"/>
      <w:sz w:val="24"/>
      <w:szCs w:val="24"/>
      <w:vertAlign w:val="baseline"/>
    </w:rPr>
  </w:style>
  <w:style w:type="character" w:styleId="ListLabel30">
    <w:name w:val="ListLabel 30"/>
    <w:qFormat/>
    <w:rPr>
      <w:rFonts w:eastAsia="Arial" w:cs="Arial"/>
      <w:position w:val="0"/>
      <w:sz w:val="24"/>
      <w:sz w:val="24"/>
      <w:szCs w:val="24"/>
      <w:vertAlign w:val="baseline"/>
    </w:rPr>
  </w:style>
  <w:style w:type="character" w:styleId="ListLabel31">
    <w:name w:val="ListLabel 31"/>
    <w:qFormat/>
    <w:rPr>
      <w:position w:val="0"/>
      <w:sz w:val="24"/>
      <w:sz w:val="24"/>
      <w:vertAlign w:val="baseline"/>
    </w:rPr>
  </w:style>
  <w:style w:type="character" w:styleId="ListLabel32">
    <w:name w:val="ListLabel 32"/>
    <w:qFormat/>
    <w:rPr>
      <w:position w:val="0"/>
      <w:sz w:val="24"/>
      <w:sz w:val="24"/>
      <w:vertAlign w:val="baseline"/>
    </w:rPr>
  </w:style>
  <w:style w:type="character" w:styleId="ListLabel33">
    <w:name w:val="ListLabel 33"/>
    <w:qFormat/>
    <w:rPr>
      <w:position w:val="0"/>
      <w:sz w:val="24"/>
      <w:sz w:val="24"/>
      <w:vertAlign w:val="baseline"/>
    </w:rPr>
  </w:style>
  <w:style w:type="character" w:styleId="ListLabel34">
    <w:name w:val="ListLabel 34"/>
    <w:qFormat/>
    <w:rPr>
      <w:position w:val="0"/>
      <w:sz w:val="24"/>
      <w:sz w:val="24"/>
      <w:vertAlign w:val="baseline"/>
    </w:rPr>
  </w:style>
  <w:style w:type="character" w:styleId="ListLabel35">
    <w:name w:val="ListLabel 35"/>
    <w:qFormat/>
    <w:rPr>
      <w:position w:val="0"/>
      <w:sz w:val="24"/>
      <w:sz w:val="24"/>
      <w:vertAlign w:val="baseline"/>
    </w:rPr>
  </w:style>
  <w:style w:type="character" w:styleId="ListLabel36">
    <w:name w:val="ListLabel 36"/>
    <w:qFormat/>
    <w:rPr>
      <w:position w:val="0"/>
      <w:sz w:val="24"/>
      <w:sz w:val="24"/>
      <w:vertAlign w:val="baseline"/>
    </w:rPr>
  </w:style>
  <w:style w:type="character" w:styleId="ListLabel37">
    <w:name w:val="ListLabel 37"/>
    <w:qFormat/>
    <w:rPr>
      <w:position w:val="0"/>
      <w:sz w:val="24"/>
      <w:sz w:val="24"/>
      <w:vertAlign w:val="baseline"/>
    </w:rPr>
  </w:style>
  <w:style w:type="character" w:styleId="ListLabel38">
    <w:name w:val="ListLabel 38"/>
    <w:qFormat/>
    <w:rPr>
      <w:rFonts w:ascii="Times New Roman" w:hAnsi="Times New Roman"/>
      <w:position w:val="0"/>
      <w:sz w:val="24"/>
      <w:sz w:val="24"/>
      <w:vertAlign w:val="baseline"/>
    </w:rPr>
  </w:style>
  <w:style w:type="character" w:styleId="ListLabel39">
    <w:name w:val="ListLabel 39"/>
    <w:qFormat/>
    <w:rPr>
      <w:position w:val="0"/>
      <w:sz w:val="24"/>
      <w:sz w:val="24"/>
      <w:vertAlign w:val="baseline"/>
    </w:rPr>
  </w:style>
  <w:style w:type="character" w:styleId="ListLabel40">
    <w:name w:val="ListLabel 40"/>
    <w:qFormat/>
    <w:rPr>
      <w:position w:val="0"/>
      <w:sz w:val="24"/>
      <w:sz w:val="24"/>
      <w:vertAlign w:val="baseline"/>
    </w:rPr>
  </w:style>
  <w:style w:type="character" w:styleId="ListLabel41">
    <w:name w:val="ListLabel 41"/>
    <w:qFormat/>
    <w:rPr>
      <w:position w:val="0"/>
      <w:sz w:val="24"/>
      <w:sz w:val="24"/>
      <w:vertAlign w:val="baseline"/>
    </w:rPr>
  </w:style>
  <w:style w:type="character" w:styleId="ListLabel42">
    <w:name w:val="ListLabel 42"/>
    <w:qFormat/>
    <w:rPr>
      <w:position w:val="0"/>
      <w:sz w:val="24"/>
      <w:sz w:val="24"/>
      <w:vertAlign w:val="baseline"/>
    </w:rPr>
  </w:style>
  <w:style w:type="character" w:styleId="ListLabel43">
    <w:name w:val="ListLabel 43"/>
    <w:qFormat/>
    <w:rPr>
      <w:position w:val="0"/>
      <w:sz w:val="24"/>
      <w:sz w:val="24"/>
      <w:vertAlign w:val="baseline"/>
    </w:rPr>
  </w:style>
  <w:style w:type="character" w:styleId="ListLabel44">
    <w:name w:val="ListLabel 44"/>
    <w:qFormat/>
    <w:rPr>
      <w:position w:val="0"/>
      <w:sz w:val="24"/>
      <w:sz w:val="24"/>
      <w:vertAlign w:val="baseline"/>
    </w:rPr>
  </w:style>
  <w:style w:type="character" w:styleId="ListLabel45">
    <w:name w:val="ListLabel 45"/>
    <w:qFormat/>
    <w:rPr>
      <w:position w:val="0"/>
      <w:sz w:val="24"/>
      <w:sz w:val="24"/>
      <w:vertAlign w:val="baseline"/>
    </w:rPr>
  </w:style>
  <w:style w:type="character" w:styleId="ListLabel46">
    <w:name w:val="ListLabel 46"/>
    <w:qFormat/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vertAlign w:val="baseline"/>
    </w:rPr>
  </w:style>
  <w:style w:type="character" w:styleId="ListLabel47">
    <w:name w:val="ListLabel 47"/>
    <w:qFormat/>
    <w:rPr>
      <w:position w:val="0"/>
      <w:sz w:val="24"/>
      <w:sz w:val="24"/>
      <w:vertAlign w:val="baseline"/>
    </w:rPr>
  </w:style>
  <w:style w:type="character" w:styleId="ListLabel48">
    <w:name w:val="ListLabel 48"/>
    <w:qFormat/>
    <w:rPr>
      <w:position w:val="0"/>
      <w:sz w:val="24"/>
      <w:sz w:val="24"/>
      <w:vertAlign w:val="baseline"/>
    </w:rPr>
  </w:style>
  <w:style w:type="character" w:styleId="ListLabel49">
    <w:name w:val="ListLabel 49"/>
    <w:qFormat/>
    <w:rPr>
      <w:position w:val="0"/>
      <w:sz w:val="24"/>
      <w:sz w:val="24"/>
      <w:vertAlign w:val="baseline"/>
    </w:rPr>
  </w:style>
  <w:style w:type="character" w:styleId="ListLabel50">
    <w:name w:val="ListLabel 50"/>
    <w:qFormat/>
    <w:rPr>
      <w:position w:val="0"/>
      <w:sz w:val="24"/>
      <w:sz w:val="24"/>
      <w:vertAlign w:val="baseline"/>
    </w:rPr>
  </w:style>
  <w:style w:type="character" w:styleId="ListLabel51">
    <w:name w:val="ListLabel 51"/>
    <w:qFormat/>
    <w:rPr>
      <w:position w:val="0"/>
      <w:sz w:val="24"/>
      <w:sz w:val="24"/>
      <w:vertAlign w:val="baseline"/>
    </w:rPr>
  </w:style>
  <w:style w:type="character" w:styleId="ListLabel52">
    <w:name w:val="ListLabel 52"/>
    <w:qFormat/>
    <w:rPr>
      <w:position w:val="0"/>
      <w:sz w:val="24"/>
      <w:sz w:val="24"/>
      <w:vertAlign w:val="baseline"/>
    </w:rPr>
  </w:style>
  <w:style w:type="character" w:styleId="ListLabel53">
    <w:name w:val="ListLabel 53"/>
    <w:qFormat/>
    <w:rPr>
      <w:position w:val="0"/>
      <w:sz w:val="24"/>
      <w:sz w:val="24"/>
      <w:vertAlign w:val="baseline"/>
    </w:rPr>
  </w:style>
  <w:style w:type="character" w:styleId="ListLabel54">
    <w:name w:val="ListLabel 54"/>
    <w:qFormat/>
    <w:rPr>
      <w:position w:val="0"/>
      <w:sz w:val="24"/>
      <w:sz w:val="24"/>
      <w:vertAlign w:val="baseline"/>
    </w:rPr>
  </w:style>
  <w:style w:type="character" w:styleId="ListLabel55">
    <w:name w:val="ListLabel 55"/>
    <w:qFormat/>
    <w:rPr>
      <w:rFonts w:ascii="Arial" w:hAnsi="Arial"/>
      <w:color w:val="087EA6"/>
      <w:spacing w:val="-3"/>
      <w:w w:val="90"/>
      <w:sz w:val="21"/>
    </w:rPr>
  </w:style>
  <w:style w:type="character" w:styleId="ListLabel56">
    <w:name w:val="ListLabel 56"/>
    <w:qFormat/>
    <w:rPr>
      <w:position w:val="0"/>
      <w:sz w:val="24"/>
      <w:sz w:val="24"/>
      <w:vertAlign w:val="baseline"/>
    </w:rPr>
  </w:style>
  <w:style w:type="character" w:styleId="ListLabel57">
    <w:name w:val="ListLabel 57"/>
    <w:qFormat/>
    <w:rPr>
      <w:rFonts w:ascii="Times New Roman" w:hAnsi="Times New Roman"/>
      <w:b w:val="false"/>
      <w:position w:val="0"/>
      <w:sz w:val="24"/>
      <w:sz w:val="24"/>
      <w:vertAlign w:val="baseline"/>
    </w:rPr>
  </w:style>
  <w:style w:type="character" w:styleId="ListLabel58">
    <w:name w:val="ListLabel 58"/>
    <w:qFormat/>
    <w:rPr>
      <w:position w:val="0"/>
      <w:sz w:val="24"/>
      <w:sz w:val="24"/>
      <w:vertAlign w:val="baseline"/>
    </w:rPr>
  </w:style>
  <w:style w:type="character" w:styleId="ListLabel59">
    <w:name w:val="ListLabel 59"/>
    <w:qFormat/>
    <w:rPr>
      <w:position w:val="0"/>
      <w:sz w:val="24"/>
      <w:sz w:val="24"/>
      <w:vertAlign w:val="baseline"/>
    </w:rPr>
  </w:style>
  <w:style w:type="character" w:styleId="ListLabel60">
    <w:name w:val="ListLabel 60"/>
    <w:qFormat/>
    <w:rPr>
      <w:position w:val="0"/>
      <w:sz w:val="24"/>
      <w:sz w:val="24"/>
      <w:vertAlign w:val="baseline"/>
    </w:rPr>
  </w:style>
  <w:style w:type="character" w:styleId="ListLabel61">
    <w:name w:val="ListLabel 61"/>
    <w:qFormat/>
    <w:rPr>
      <w:position w:val="0"/>
      <w:sz w:val="24"/>
      <w:sz w:val="24"/>
      <w:vertAlign w:val="baseline"/>
    </w:rPr>
  </w:style>
  <w:style w:type="character" w:styleId="ListLabel62">
    <w:name w:val="ListLabel 62"/>
    <w:qFormat/>
    <w:rPr>
      <w:position w:val="0"/>
      <w:sz w:val="24"/>
      <w:sz w:val="24"/>
      <w:vertAlign w:val="baseline"/>
    </w:rPr>
  </w:style>
  <w:style w:type="character" w:styleId="ListLabel63">
    <w:name w:val="ListLabel 63"/>
    <w:qFormat/>
    <w:rPr>
      <w:position w:val="0"/>
      <w:sz w:val="24"/>
      <w:sz w:val="24"/>
      <w:vertAlign w:val="baseline"/>
    </w:rPr>
  </w:style>
  <w:style w:type="character" w:styleId="ListLabel64">
    <w:name w:val="ListLabel 64"/>
    <w:qFormat/>
    <w:rPr>
      <w:position w:val="0"/>
      <w:sz w:val="24"/>
      <w:sz w:val="24"/>
      <w:vertAlign w:val="baseline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vertAlign w:val="baseline"/>
    </w:rPr>
  </w:style>
  <w:style w:type="character" w:styleId="ListLabel66">
    <w:name w:val="ListLabel 66"/>
    <w:qFormat/>
    <w:rPr>
      <w:position w:val="0"/>
      <w:sz w:val="24"/>
      <w:sz w:val="24"/>
      <w:vertAlign w:val="baseline"/>
    </w:rPr>
  </w:style>
  <w:style w:type="character" w:styleId="ListLabel67">
    <w:name w:val="ListLabel 67"/>
    <w:qFormat/>
    <w:rPr>
      <w:position w:val="0"/>
      <w:sz w:val="24"/>
      <w:sz w:val="24"/>
      <w:vertAlign w:val="baseline"/>
    </w:rPr>
  </w:style>
  <w:style w:type="character" w:styleId="ListLabel68">
    <w:name w:val="ListLabel 68"/>
    <w:qFormat/>
    <w:rPr>
      <w:position w:val="0"/>
      <w:sz w:val="24"/>
      <w:sz w:val="24"/>
      <w:vertAlign w:val="baseline"/>
    </w:rPr>
  </w:style>
  <w:style w:type="character" w:styleId="ListLabel69">
    <w:name w:val="ListLabel 69"/>
    <w:qFormat/>
    <w:rPr>
      <w:position w:val="0"/>
      <w:sz w:val="24"/>
      <w:sz w:val="24"/>
      <w:vertAlign w:val="baseline"/>
    </w:rPr>
  </w:style>
  <w:style w:type="character" w:styleId="ListLabel70">
    <w:name w:val="ListLabel 70"/>
    <w:qFormat/>
    <w:rPr>
      <w:position w:val="0"/>
      <w:sz w:val="24"/>
      <w:sz w:val="24"/>
      <w:vertAlign w:val="baseline"/>
    </w:rPr>
  </w:style>
  <w:style w:type="character" w:styleId="ListLabel71">
    <w:name w:val="ListLabel 71"/>
    <w:qFormat/>
    <w:rPr>
      <w:position w:val="0"/>
      <w:sz w:val="24"/>
      <w:sz w:val="24"/>
      <w:vertAlign w:val="baseline"/>
    </w:rPr>
  </w:style>
  <w:style w:type="character" w:styleId="ListLabel72">
    <w:name w:val="ListLabel 72"/>
    <w:qFormat/>
    <w:rPr>
      <w:position w:val="0"/>
      <w:sz w:val="24"/>
      <w:sz w:val="24"/>
      <w:vertAlign w:val="baseline"/>
    </w:rPr>
  </w:style>
  <w:style w:type="character" w:styleId="ListLabel73">
    <w:name w:val="ListLabel 73"/>
    <w:qFormat/>
    <w:rPr>
      <w:position w:val="0"/>
      <w:sz w:val="24"/>
      <w:sz w:val="24"/>
      <w:vertAlign w:val="baseline"/>
    </w:rPr>
  </w:style>
  <w:style w:type="character" w:styleId="ListLabel74">
    <w:name w:val="ListLabel 74"/>
    <w:qFormat/>
    <w:rPr>
      <w:rFonts w:ascii="Arial" w:hAnsi="Arial"/>
      <w:color w:val="087EA6"/>
      <w:spacing w:val="-3"/>
      <w:w w:val="90"/>
      <w:sz w:val="21"/>
    </w:rPr>
  </w:style>
  <w:style w:type="character" w:styleId="ListLabel75">
    <w:name w:val="ListLabel 75"/>
    <w:qFormat/>
    <w:rPr>
      <w:rFonts w:ascii="Times New Roman" w:hAnsi="Times New Roman" w:cs="Times New Roman"/>
      <w:color w:val="000000"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kern w:val="0"/>
      <w:sz w:val="24"/>
      <w:szCs w:val="22"/>
      <w:lang w:val="pt-BR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cepis1@gmail.com" TargetMode="External"/><Relationship Id="rId3" Type="http://schemas.openxmlformats.org/officeDocument/2006/relationships/hyperlink" Target="mailto:socepis1@gmail.com" TargetMode="External"/><Relationship Id="rId4" Type="http://schemas.openxmlformats.org/officeDocument/2006/relationships/hyperlink" Target="mailto:osmar_paixao15@hotmail.com" TargetMode="External"/><Relationship Id="rId5" Type="http://schemas.openxmlformats.org/officeDocument/2006/relationships/hyperlink" Target="mailto:osmar_paixao15@hotmail.com" TargetMode="External"/><Relationship Id="rId6" Type="http://schemas.openxmlformats.org/officeDocument/2006/relationships/hyperlink" Target="mailto:camilachaves@unilab.edu.br" TargetMode="External"/><Relationship Id="rId7" Type="http://schemas.openxmlformats.org/officeDocument/2006/relationships/hyperlink" Target="mailto:camilachaves@unilab.edu.b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LibreOffice/6.0.2.1$Windows_X86_64 LibreOffice_project/f7f06a8f319e4b62f9bc5095aa112a65d2f3ac89</Application>
  <Pages>8</Pages>
  <Words>2499</Words>
  <Characters>14078</Characters>
  <CharactersWithSpaces>17437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2020-07-02T11:52:00Z</dcterms:created>
  <dc:creator>Cidianna</dc:creator>
  <dc:description/>
  <dc:language>pt-BR</dc:language>
  <cp:lastModifiedBy/>
  <cp:lastPrinted>2020-07-04T16:53:00Z</cp:lastPrinted>
  <dcterms:modified xsi:type="dcterms:W3CDTF">2020-08-01T13:22:11Z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