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27CD9DA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</w:t>
      </w:r>
      <w:r w:rsidR="00F063CA">
        <w:rPr>
          <w:rFonts w:ascii="Times New Roman" w:hAnsi="Times New Roman" w:cs="Times New Roman"/>
          <w:b/>
        </w:rPr>
        <w:t xml:space="preserve"> 5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063CA">
            <w:rPr>
              <w:rFonts w:ascii="Times New Roman" w:hAnsi="Times New Roman" w:cs="Times New Roman"/>
            </w:rPr>
            <w:t>Temas Livres</w:t>
          </w:r>
        </w:sdtContent>
      </w:sdt>
    </w:p>
    <w:p w14:paraId="0678BB31" w14:textId="77777777" w:rsidR="00B909D9" w:rsidRPr="00B909D9" w:rsidRDefault="0070071B" w:rsidP="00B909D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09D9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00B909D9">
        <w:rPr>
          <w:rFonts w:ascii="Times New Roman" w:hAnsi="Times New Roman" w:cs="Times New Roman"/>
          <w:sz w:val="28"/>
          <w:szCs w:val="28"/>
        </w:rPr>
        <w:t xml:space="preserve"> </w:t>
      </w:r>
      <w:r w:rsidR="00B909D9" w:rsidRPr="00B909D9">
        <w:rPr>
          <w:rFonts w:ascii="Times New Roman" w:hAnsi="Times New Roman" w:cs="Times New Roman"/>
          <w:b/>
          <w:bCs/>
          <w:sz w:val="28"/>
          <w:szCs w:val="28"/>
        </w:rPr>
        <w:t>INFLUÊNCIA DA TROMBOFILIA HEREDITÁRIA EM ABORTOS DE REPETIÇÃO: REVISÃO SISTEMÁTICA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966F138" w:rsidR="0070071B" w:rsidRPr="00ED178E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693BED">
            <w:rPr>
              <w:rFonts w:ascii="Times New Roman" w:hAnsi="Times New Roman" w:cs="Times New Roman"/>
              <w:u w:val="single"/>
            </w:rPr>
            <w:t>Camila de Assunção Martins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BED">
            <w:rPr>
              <w:rFonts w:ascii="Times New Roman" w:hAnsi="Times New Roman" w:cs="Times New Roman"/>
            </w:rPr>
            <w:t>camila_assuncao_@hotmail.com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3BFBA19" w:rsidR="0070071B" w:rsidRPr="00ED178E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BED">
            <w:rPr>
              <w:rFonts w:ascii="Times New Roman" w:hAnsi="Times New Roman" w:cs="Times New Roman"/>
            </w:rPr>
            <w:t>Camila Puton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13B490C5" w:rsidR="0070071B" w:rsidRPr="0075428C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93BED" w:rsidRPr="0075428C">
            <w:rPr>
              <w:rFonts w:ascii="Times New Roman" w:hAnsi="Times New Roman" w:cs="Times New Roman"/>
            </w:rPr>
            <w:t>Liliane Emilly dos Santos Sousa</w:t>
          </w:r>
          <w:r w:rsidR="001C2F5D" w:rsidRPr="0075428C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p w14:paraId="1F0504DD" w14:textId="1E9F762B" w:rsidR="0070071B" w:rsidRPr="0075428C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5428C" w:rsidRPr="0075428C">
            <w:rPr>
              <w:rFonts w:ascii="Times New Roman" w:hAnsi="Times New Roman" w:cs="Times New Roman"/>
            </w:rPr>
            <w:t>Jacqueline Andréia Bernardes Leão-Cordeiro</w:t>
          </w:r>
          <w:r w:rsidR="0075428C" w:rsidRPr="0075428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p w14:paraId="1E985A98" w14:textId="2ACA49F0" w:rsidR="0070071B" w:rsidRPr="0075428C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5428C" w:rsidRPr="0075428C">
            <w:rPr>
              <w:rFonts w:ascii="Times New Roman" w:hAnsi="Times New Roman" w:cs="Times New Roman"/>
            </w:rPr>
            <w:t>Ana Karolina Lopes</w:t>
          </w:r>
          <w:r w:rsidR="0075428C" w:rsidRPr="0075428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 w:rsidRPr="0075428C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E249806" w:rsidR="0070071B" w:rsidRPr="00ED178E" w:rsidRDefault="00693BED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75428C">
            <w:rPr>
              <w:rFonts w:ascii="Times New Roman" w:hAnsi="Times New Roman" w:cs="Times New Roman"/>
            </w:rPr>
            <w:t>Antonio Márcio Teodoro Cordeiro Silva¹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13B5BB03" w:rsidR="0070071B" w:rsidRDefault="00154C3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693BED">
            <w:rPr>
              <w:rFonts w:ascii="Times New Roman" w:hAnsi="Times New Roman" w:cs="Times New Roman"/>
            </w:rPr>
            <w:t>Pontifícia Universidade Católica de Goiás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693BED">
            <w:rPr>
              <w:rFonts w:ascii="Times New Roman" w:hAnsi="Times New Roman" w:cs="Times New Roman"/>
            </w:rPr>
            <w:t>Universidade Paulista</w:t>
          </w:r>
          <w:r w:rsidR="00B034E1">
            <w:rPr>
              <w:rFonts w:ascii="Times New Roman" w:hAnsi="Times New Roman" w:cs="Times New Roman"/>
            </w:rPr>
            <w:t>;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2127774093"/>
          <w:placeholder>
            <w:docPart w:val="6CA21B2C0E064C9C89805F108DB1390D"/>
          </w:placeholder>
        </w:sdtPr>
        <w:sdtEndPr/>
        <w:sdtContent>
          <w:r w:rsidR="00B034E1">
            <w:rPr>
              <w:rFonts w:ascii="Times New Roman" w:hAnsi="Times New Roman" w:cs="Times New Roman"/>
            </w:rPr>
            <w:t>3</w:t>
          </w:r>
          <w:r w:rsidR="00F64577">
            <w:rPr>
              <w:rFonts w:ascii="Times New Roman" w:hAnsi="Times New Roman" w:cs="Times New Roman"/>
            </w:rPr>
            <w:t xml:space="preserve">. </w:t>
          </w:r>
          <w:r w:rsidR="00B034E1">
            <w:rPr>
              <w:rFonts w:ascii="Times New Roman" w:hAnsi="Times New Roman" w:cs="Times New Roman"/>
            </w:rPr>
            <w:t>Universidade Federal de Goiás.</w:t>
          </w:r>
        </w:sdtContent>
      </w:sdt>
    </w:p>
    <w:p w14:paraId="7340987A" w14:textId="77777777" w:rsidR="0070071B" w:rsidRDefault="0070071B" w:rsidP="00B909D9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B909D9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FC55903" w14:textId="68FA12FC" w:rsidR="00B909D9" w:rsidRPr="00A55E42" w:rsidRDefault="00154C38" w:rsidP="00A55E42">
      <w:pPr>
        <w:spacing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B909D9" w:rsidRPr="00A55E42">
            <w:rPr>
              <w:rFonts w:ascii="Times New Roman" w:hAnsi="Times New Roman" w:cs="Times New Roman"/>
              <w:b/>
              <w:bCs/>
            </w:rPr>
            <w:t xml:space="preserve">INTRODUÇÃO: </w:t>
          </w:r>
          <w:r w:rsidR="00B909D9" w:rsidRPr="00A55E42">
            <w:rPr>
              <w:rFonts w:ascii="Times New Roman" w:hAnsi="Times New Roman" w:cs="Times New Roman"/>
            </w:rPr>
            <w:t>A trombofilia é uma tendência à trombose, decorrente de alterações, hereditárias ou adquiridas, da coagulação, que levam ao estado pró-trombótico, que predispõe a tromboses venosas ou arteriais. Tem causa multifatorial e a presença de uma alteração isolada é apenas um dos muitos fatores que determinam seu risco, o que não implica dizer que o paciente está doente</w:t>
          </w:r>
          <w:r w:rsidR="00426B3D">
            <w:rPr>
              <w:rFonts w:ascii="Times New Roman" w:hAnsi="Times New Roman" w:cs="Times New Roman"/>
            </w:rPr>
            <w:t xml:space="preserve"> </w:t>
          </w:r>
          <w:r w:rsidR="00426B3D">
            <w:rPr>
              <w:rFonts w:ascii="Times New Roman" w:hAnsi="Times New Roman" w:cs="Times New Roman"/>
              <w:vertAlign w:val="superscript"/>
            </w:rPr>
            <w:t>(1)</w:t>
          </w:r>
          <w:r w:rsidR="00B909D9" w:rsidRPr="00A55E42">
            <w:rPr>
              <w:rFonts w:ascii="Times New Roman" w:hAnsi="Times New Roman" w:cs="Times New Roman"/>
            </w:rPr>
            <w:t>. Obesidade, uso de hormônios, cirurgias, permanência prolongada no leito, viagem de avião de longa distância, câncer, tabagismo e gravidez são fatores que aumentam o risco trombótico de maneira independente. A gestação está associada a alterações fisiológicas, que afetam o sistema fibrinolítico e a coagulação. A incidência de tromboembolismo em mulheres grávidas é de 0,6 a 1,7 caso em mil gestações e cerca da metade delas acontece após o puerpério. Apesar do risco de o tromboembolismo ser cerca de quatro vezes maior na gravidez, não há evidência científica de que a inclusão da pesquisa de trombofilia no pré-natal, comumente solicitada, seja útil. A investigação laboratorial deve ser norteada por anamnese e histórico familiar de tromboses</w:t>
          </w:r>
          <w:r w:rsidR="00426B3D">
            <w:rPr>
              <w:rFonts w:ascii="Times New Roman" w:hAnsi="Times New Roman" w:cs="Times New Roman"/>
              <w:vertAlign w:val="superscript"/>
            </w:rPr>
            <w:t>(1)</w:t>
          </w:r>
          <w:r w:rsidR="00B909D9" w:rsidRPr="00A55E42">
            <w:rPr>
              <w:rFonts w:ascii="Times New Roman" w:hAnsi="Times New Roman" w:cs="Times New Roman"/>
            </w:rPr>
            <w:t xml:space="preserve">. </w:t>
          </w:r>
          <w:r w:rsidR="00B909D9" w:rsidRPr="00A55E42">
            <w:rPr>
              <w:rFonts w:ascii="Times New Roman" w:hAnsi="Times New Roman" w:cs="Times New Roman"/>
              <w:b/>
              <w:bCs/>
            </w:rPr>
            <w:t>OBJETIVO:</w:t>
          </w:r>
          <w:r w:rsidR="00B909D9" w:rsidRPr="00A55E42">
            <w:rPr>
              <w:rFonts w:ascii="Times New Roman" w:hAnsi="Times New Roman" w:cs="Times New Roman"/>
            </w:rPr>
            <w:t xml:space="preserve"> Avaliar a associação entre trombofilia hereditária e abortos recorrentes. </w:t>
          </w:r>
          <w:r w:rsidR="00B909D9" w:rsidRPr="00A55E42">
            <w:rPr>
              <w:rFonts w:ascii="Times New Roman" w:hAnsi="Times New Roman" w:cs="Times New Roman"/>
              <w:b/>
              <w:bCs/>
            </w:rPr>
            <w:t>MÉTODOS:</w:t>
          </w:r>
          <w:r w:rsidR="00B909D9" w:rsidRPr="00A55E42">
            <w:rPr>
              <w:rFonts w:ascii="Times New Roman" w:hAnsi="Times New Roman" w:cs="Times New Roman"/>
            </w:rPr>
            <w:t xml:space="preserve"> Trata-se de revisão sistemática </w:t>
          </w:r>
          <w:r w:rsidR="00B909D9" w:rsidRPr="00A55E42">
            <w:rPr>
              <w:rFonts w:ascii="Times New Roman" w:hAnsi="Times New Roman" w:cs="Times New Roman"/>
            </w:rPr>
            <w:lastRenderedPageBreak/>
            <w:t xml:space="preserve">da literatura científica especializada, realizada em junho de 2020. Foram pesquisados artigos científicos publicados nos últimos 10 anos, indexados nas bases de dados </w:t>
          </w:r>
          <w:r w:rsidR="00D51F89">
            <w:rPr>
              <w:rFonts w:ascii="Times New Roman" w:hAnsi="Times New Roman" w:cs="Times New Roman"/>
            </w:rPr>
            <w:t>BVS</w:t>
          </w:r>
          <w:r w:rsidR="00D51F89" w:rsidRPr="00A55E42">
            <w:rPr>
              <w:rFonts w:ascii="Times New Roman" w:hAnsi="Times New Roman" w:cs="Times New Roman"/>
            </w:rPr>
            <w:t>(</w:t>
          </w:r>
          <w:r w:rsidR="00D51F89" w:rsidRPr="00A55E42">
            <w:rPr>
              <w:rFonts w:ascii="Times New Roman" w:hAnsi="Times New Roman" w:cs="Times New Roman"/>
              <w:i/>
              <w:iCs/>
            </w:rPr>
            <w:t>n</w:t>
          </w:r>
          <w:r w:rsidR="00D51F89" w:rsidRPr="00A55E42">
            <w:rPr>
              <w:rFonts w:ascii="Times New Roman" w:hAnsi="Times New Roman" w:cs="Times New Roman"/>
            </w:rPr>
            <w:t>=17),</w:t>
          </w:r>
          <w:r w:rsidR="00D51F89">
            <w:rPr>
              <w:rFonts w:ascii="Times New Roman" w:hAnsi="Times New Roman" w:cs="Times New Roman"/>
            </w:rPr>
            <w:t xml:space="preserve"> LILACS e MEDLINE, </w:t>
          </w:r>
          <w:r w:rsidR="00B909D9" w:rsidRPr="00A55E42">
            <w:rPr>
              <w:rFonts w:ascii="Times New Roman" w:hAnsi="Times New Roman" w:cs="Times New Roman"/>
            </w:rPr>
            <w:t>por meio do uso dos descritores: “</w:t>
          </w:r>
          <w:r w:rsidR="00B909D9" w:rsidRPr="00A55E42">
            <w:rPr>
              <w:rFonts w:ascii="Times New Roman" w:hAnsi="Times New Roman" w:cs="Times New Roman"/>
              <w:i/>
              <w:iCs/>
            </w:rPr>
            <w:t>thrombophilia and pregnancy</w:t>
          </w:r>
          <w:r w:rsidR="00B909D9" w:rsidRPr="00A55E42">
            <w:rPr>
              <w:rFonts w:ascii="Times New Roman" w:hAnsi="Times New Roman" w:cs="Times New Roman"/>
            </w:rPr>
            <w:t xml:space="preserve">”. Desses, foram selecionados quatro estudos que </w:t>
          </w:r>
          <w:r w:rsidR="00D51F89">
            <w:rPr>
              <w:rFonts w:ascii="Times New Roman" w:hAnsi="Times New Roman" w:cs="Times New Roman"/>
            </w:rPr>
            <w:t>relacionavam, diretamente, trombofilia e abortos tardios ou de repetição.</w:t>
          </w:r>
          <w:bookmarkStart w:id="0" w:name="_GoBack"/>
          <w:bookmarkEnd w:id="0"/>
          <w:r w:rsidR="00B909D9" w:rsidRPr="00A55E42">
            <w:rPr>
              <w:rFonts w:ascii="Times New Roman" w:hAnsi="Times New Roman" w:cs="Times New Roman"/>
            </w:rPr>
            <w:t xml:space="preserve"> </w:t>
          </w:r>
          <w:r w:rsidR="00B909D9" w:rsidRPr="00A55E42">
            <w:rPr>
              <w:rFonts w:ascii="Times New Roman" w:hAnsi="Times New Roman" w:cs="Times New Roman"/>
              <w:b/>
              <w:bCs/>
            </w:rPr>
            <w:t>RESULTADOS:</w:t>
          </w:r>
          <w:r w:rsidR="00B909D9" w:rsidRPr="00A55E42">
            <w:rPr>
              <w:rFonts w:ascii="Times New Roman" w:hAnsi="Times New Roman" w:cs="Times New Roman"/>
            </w:rPr>
            <w:t xml:space="preserve"> As trombofilias são desordens hemostáticas com maior tendência a tromboembolismo. Em casos de hipercoagulabilidade secundária, as pacientes apresentam estímulos para a formação de trombos, podendo causar trombose placentária. A trombofilia é um fator de risco para o aborto e é causa de complicações gestacionais, como trombose placentária, hipertensão gestacional grave, descolamento prematuro de placenta, restrição de crescimento e óbito fetal</w:t>
          </w:r>
          <w:r w:rsidR="00995FD7">
            <w:rPr>
              <w:rFonts w:ascii="Times New Roman" w:hAnsi="Times New Roman" w:cs="Times New Roman"/>
              <w:vertAlign w:val="superscript"/>
            </w:rPr>
            <w:t>(2)</w:t>
          </w:r>
          <w:r w:rsidR="00B909D9" w:rsidRPr="00A55E42">
            <w:rPr>
              <w:rFonts w:ascii="Times New Roman" w:hAnsi="Times New Roman" w:cs="Times New Roman"/>
            </w:rPr>
            <w:t>. Além disso, é possível relacionar abortos recorrentes com presença de trombofilias relacionadas com fator V de Leiden, resistência à proteína C ativada (PC), mutações no gene daprotrombina e deficiência da proteína S (PS). Os estudos revisados concordam que as deficiências de PC e PS são mais frequentes na história dos abortos recorrentes e perdas fetais, porém, um dos estudos não encontrou relação da PC com o abortamento prévio. As deficiências de PC e PS identificadas na gravidez quando os exames, durante o pré-natal, demonstram níveis reduzidos dessas proteínas</w:t>
          </w:r>
          <w:r w:rsidR="00995FD7">
            <w:rPr>
              <w:rFonts w:ascii="Times New Roman" w:hAnsi="Times New Roman" w:cs="Times New Roman"/>
              <w:vertAlign w:val="superscript"/>
            </w:rPr>
            <w:t>(3)(4)</w:t>
          </w:r>
          <w:r w:rsidR="00B909D9" w:rsidRPr="00A55E42">
            <w:rPr>
              <w:rFonts w:ascii="Times New Roman" w:hAnsi="Times New Roman" w:cs="Times New Roman"/>
            </w:rPr>
            <w:t xml:space="preserve">. </w:t>
          </w:r>
          <w:r w:rsidR="00B909D9" w:rsidRPr="00A55E42">
            <w:rPr>
              <w:rFonts w:ascii="Times New Roman" w:hAnsi="Times New Roman" w:cs="Times New Roman"/>
              <w:b/>
              <w:bCs/>
            </w:rPr>
            <w:t>CONCLUSÃO:</w:t>
          </w:r>
          <w:r w:rsidR="00B909D9" w:rsidRPr="00A55E42">
            <w:rPr>
              <w:rFonts w:ascii="Times New Roman" w:hAnsi="Times New Roman" w:cs="Times New Roman"/>
            </w:rPr>
            <w:t xml:space="preserve"> Há divergências quanto aos fatores que acarretam os abortos de repetição, mas é possível sugerir que mulheres portadoras de trombofilias, durante a gestação, apresentam associação positiva com complicações obstétricas e perinatais, como abortamentos recorrentes e perdas fetais. Nota-se que as trombofilias hereditárias foram associadas a desfechos obstétricos desfavoráveis e devem ser valorizadas na clínica, especialmente o déficit de PS, associado ao aborto, e a PC à morte fetal.</w:t>
          </w:r>
        </w:sdtContent>
      </w:sdt>
    </w:p>
    <w:p w14:paraId="797ADC05" w14:textId="5C580875" w:rsidR="0070071B" w:rsidRPr="000754F5" w:rsidRDefault="0070071B" w:rsidP="00B909D9">
      <w:pPr>
        <w:spacing w:after="0" w:line="360" w:lineRule="auto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909D9">
            <w:rPr>
              <w:rFonts w:ascii="Times New Roman" w:hAnsi="Times New Roman" w:cs="Times New Roman"/>
            </w:rPr>
            <w:t>Aborto</w:t>
          </w:r>
        </w:sdtContent>
      </w:sdt>
      <w:r w:rsidR="00724CDA">
        <w:rPr>
          <w:rFonts w:ascii="Times New Roman" w:hAnsi="Times New Roman" w:cs="Times New Roman"/>
        </w:rPr>
        <w:t>,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909D9">
            <w:rPr>
              <w:rFonts w:ascii="Times New Roman" w:hAnsi="Times New Roman" w:cs="Times New Roman"/>
            </w:rPr>
            <w:t>Gestação</w:t>
          </w:r>
        </w:sdtContent>
      </w:sdt>
      <w:r w:rsidR="00724CDA">
        <w:rPr>
          <w:rFonts w:ascii="Times New Roman" w:hAnsi="Times New Roman" w:cs="Times New Roman"/>
        </w:rPr>
        <w:t>,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909D9">
            <w:rPr>
              <w:rFonts w:ascii="Times New Roman" w:hAnsi="Times New Roman" w:cs="Times New Roman"/>
            </w:rPr>
            <w:t>Trombofilia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B909D9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B909D9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5B0466" w14:textId="385BC439" w:rsidR="00426B3D" w:rsidRDefault="00426B3D" w:rsidP="00426B3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NASCIMENTO, C.M.D.B. </w:t>
      </w:r>
      <w:r>
        <w:rPr>
          <w:rFonts w:ascii="Times New Roman" w:hAnsi="Times New Roman" w:cs="Times New Roman"/>
          <w:i/>
          <w:iCs/>
          <w:noProof/>
          <w:szCs w:val="24"/>
        </w:rPr>
        <w:t>et al.</w:t>
      </w:r>
      <w:r>
        <w:rPr>
          <w:rFonts w:ascii="Times New Roman" w:hAnsi="Times New Roman" w:cs="Times New Roman"/>
          <w:noProof/>
          <w:szCs w:val="24"/>
        </w:rPr>
        <w:t xml:space="preserve"> Consenso sobre a investigação de trombofilia em mulheres e manejo clínico Consensus on the investigation of thrombophilia in women and clinical management. </w:t>
      </w:r>
      <w:r>
        <w:rPr>
          <w:rFonts w:ascii="Times New Roman" w:hAnsi="Times New Roman" w:cs="Times New Roman"/>
          <w:b/>
          <w:bCs/>
          <w:noProof/>
          <w:szCs w:val="24"/>
        </w:rPr>
        <w:t>Einstein (São Paulo)</w:t>
      </w:r>
      <w:r>
        <w:rPr>
          <w:rFonts w:ascii="Times New Roman" w:hAnsi="Times New Roman" w:cs="Times New Roman"/>
          <w:noProof/>
          <w:szCs w:val="24"/>
        </w:rPr>
        <w:t>, v. 17, n. 3, p. 1–7, 2019.</w:t>
      </w:r>
    </w:p>
    <w:p w14:paraId="5921544F" w14:textId="77777777" w:rsidR="00995FD7" w:rsidRDefault="00995FD7" w:rsidP="00995FD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SANTOS, L.L. </w:t>
      </w:r>
      <w:r>
        <w:rPr>
          <w:rFonts w:ascii="Times New Roman" w:hAnsi="Times New Roman" w:cs="Times New Roman"/>
          <w:i/>
          <w:iCs/>
          <w:noProof/>
          <w:szCs w:val="24"/>
        </w:rPr>
        <w:t>et al</w:t>
      </w:r>
      <w:r>
        <w:rPr>
          <w:rFonts w:ascii="Times New Roman" w:hAnsi="Times New Roman" w:cs="Times New Roman"/>
          <w:noProof/>
          <w:szCs w:val="24"/>
        </w:rPr>
        <w:t xml:space="preserve">. Trombofilias: a prevenção direcionada a uma gravidez bem-sucedida. </w:t>
      </w:r>
      <w:r>
        <w:rPr>
          <w:rFonts w:ascii="Times New Roman" w:hAnsi="Times New Roman" w:cs="Times New Roman"/>
          <w:b/>
          <w:bCs/>
          <w:noProof/>
          <w:szCs w:val="24"/>
        </w:rPr>
        <w:lastRenderedPageBreak/>
        <w:t>Jornal Brasileiro de Medicina</w:t>
      </w:r>
      <w:r>
        <w:rPr>
          <w:rFonts w:ascii="Times New Roman" w:hAnsi="Times New Roman" w:cs="Times New Roman"/>
          <w:noProof/>
          <w:szCs w:val="24"/>
        </w:rPr>
        <w:t>, v. 100, n.1, 2012.</w:t>
      </w:r>
    </w:p>
    <w:p w14:paraId="2F5AA73D" w14:textId="621FAFB9" w:rsidR="00B909D9" w:rsidRDefault="00B909D9" w:rsidP="00B909D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FERREIRA, C. M. Tromboprofilaxia e desfechos materno-fetais de mulheres com marcadores séricos para trombofilias hereditárias e antecedentes de complicações obstétricas. </w:t>
      </w:r>
      <w:r>
        <w:rPr>
          <w:rFonts w:ascii="Times New Roman" w:hAnsi="Times New Roman" w:cs="Times New Roman"/>
          <w:b/>
          <w:bCs/>
          <w:noProof/>
          <w:szCs w:val="24"/>
        </w:rPr>
        <w:t>Rev. Bras. Saúde Matern. Infant</w:t>
      </w:r>
      <w:r>
        <w:rPr>
          <w:rFonts w:ascii="Times New Roman" w:hAnsi="Times New Roman" w:cs="Times New Roman"/>
          <w:noProof/>
          <w:szCs w:val="24"/>
        </w:rPr>
        <w:t xml:space="preserve">, v. 17, n. 4, p. 699–704, 2017. </w:t>
      </w:r>
    </w:p>
    <w:p w14:paraId="43CE9FDC" w14:textId="77777777" w:rsidR="00B909D9" w:rsidRDefault="00B909D9" w:rsidP="00B909D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</w:rPr>
        <w:t xml:space="preserve">FIGUEIRÓ-FILHO, E. A. </w:t>
      </w:r>
      <w:r>
        <w:rPr>
          <w:rFonts w:ascii="Times New Roman" w:hAnsi="Times New Roman" w:cs="Times New Roman"/>
          <w:i/>
          <w:iCs/>
          <w:noProof/>
          <w:szCs w:val="24"/>
        </w:rPr>
        <w:t>et al.</w:t>
      </w:r>
      <w:r>
        <w:rPr>
          <w:rFonts w:ascii="Times New Roman" w:hAnsi="Times New Roman" w:cs="Times New Roman"/>
          <w:noProof/>
          <w:szCs w:val="24"/>
        </w:rPr>
        <w:t xml:space="preserve"> Associação entre abortamentos recorrentes , perdas fetais , pré-eclâmpsia grave e trombofilias hereditárias e anticorpos antifosfolípides em mulheres do Brasil Central. </w:t>
      </w:r>
      <w:r>
        <w:rPr>
          <w:rFonts w:ascii="Times New Roman" w:hAnsi="Times New Roman" w:cs="Times New Roman"/>
          <w:b/>
          <w:bCs/>
          <w:noProof/>
          <w:szCs w:val="24"/>
        </w:rPr>
        <w:t>Rev Bras Ginecol Obstet.</w:t>
      </w:r>
      <w:r>
        <w:rPr>
          <w:rFonts w:ascii="Times New Roman" w:hAnsi="Times New Roman" w:cs="Times New Roman"/>
          <w:noProof/>
          <w:szCs w:val="24"/>
        </w:rPr>
        <w:t>, v. 29, n. 11, 2007.</w:t>
      </w:r>
    </w:p>
    <w:p w14:paraId="55DD8878" w14:textId="684B647B" w:rsidR="00ED178E" w:rsidRDefault="00ED178E" w:rsidP="00B909D9">
      <w:pPr>
        <w:widowControl w:val="0"/>
        <w:autoSpaceDE w:val="0"/>
        <w:autoSpaceDN w:val="0"/>
        <w:adjustRightInd w:val="0"/>
        <w:spacing w:before="0" w:after="0" w:line="360" w:lineRule="auto"/>
        <w:jc w:val="left"/>
        <w:rPr>
          <w:rFonts w:ascii="Times New Roman" w:hAnsi="Times New Roman" w:cs="Times New Roman"/>
        </w:rPr>
      </w:pPr>
    </w:p>
    <w:sectPr w:rsidR="00ED178E" w:rsidSect="00A55E4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9AAF6" w14:textId="77777777" w:rsidR="00154C38" w:rsidRDefault="00154C38" w:rsidP="00054686">
      <w:pPr>
        <w:spacing w:before="0" w:after="0" w:line="240" w:lineRule="auto"/>
      </w:pPr>
      <w:r>
        <w:separator/>
      </w:r>
    </w:p>
  </w:endnote>
  <w:endnote w:type="continuationSeparator" w:id="0">
    <w:p w14:paraId="746CEFCB" w14:textId="77777777" w:rsidR="00154C38" w:rsidRDefault="00154C3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49BD929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3C227" w14:textId="77777777" w:rsidR="00154C38" w:rsidRDefault="00154C3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53B6F76" w14:textId="77777777" w:rsidR="00154C38" w:rsidRDefault="00154C3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154C3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154C3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154C3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461A"/>
    <w:rsid w:val="00043457"/>
    <w:rsid w:val="00054686"/>
    <w:rsid w:val="000754F5"/>
    <w:rsid w:val="0009068B"/>
    <w:rsid w:val="000E596E"/>
    <w:rsid w:val="0011587C"/>
    <w:rsid w:val="00126979"/>
    <w:rsid w:val="00154C38"/>
    <w:rsid w:val="001B3894"/>
    <w:rsid w:val="001C2F5D"/>
    <w:rsid w:val="001D4667"/>
    <w:rsid w:val="002119C1"/>
    <w:rsid w:val="002268F9"/>
    <w:rsid w:val="002C00CE"/>
    <w:rsid w:val="00330594"/>
    <w:rsid w:val="003E7CE5"/>
    <w:rsid w:val="00417E55"/>
    <w:rsid w:val="00426B3D"/>
    <w:rsid w:val="0045647E"/>
    <w:rsid w:val="00542AA9"/>
    <w:rsid w:val="005529D1"/>
    <w:rsid w:val="00553538"/>
    <w:rsid w:val="00562FDB"/>
    <w:rsid w:val="005C6BAE"/>
    <w:rsid w:val="005C72BC"/>
    <w:rsid w:val="005E7EAF"/>
    <w:rsid w:val="00691A2F"/>
    <w:rsid w:val="00693BED"/>
    <w:rsid w:val="006C03DB"/>
    <w:rsid w:val="0070071B"/>
    <w:rsid w:val="00724CDA"/>
    <w:rsid w:val="0075428C"/>
    <w:rsid w:val="00781295"/>
    <w:rsid w:val="00786027"/>
    <w:rsid w:val="007A14F8"/>
    <w:rsid w:val="007B4901"/>
    <w:rsid w:val="00807A10"/>
    <w:rsid w:val="00874830"/>
    <w:rsid w:val="008B6F3E"/>
    <w:rsid w:val="00932F1E"/>
    <w:rsid w:val="00934025"/>
    <w:rsid w:val="00995FD7"/>
    <w:rsid w:val="009E7459"/>
    <w:rsid w:val="00A360C2"/>
    <w:rsid w:val="00A51255"/>
    <w:rsid w:val="00A55E42"/>
    <w:rsid w:val="00A56C6C"/>
    <w:rsid w:val="00A65368"/>
    <w:rsid w:val="00AA39A8"/>
    <w:rsid w:val="00AB0DF9"/>
    <w:rsid w:val="00AC5179"/>
    <w:rsid w:val="00AC729A"/>
    <w:rsid w:val="00B034E1"/>
    <w:rsid w:val="00B06D29"/>
    <w:rsid w:val="00B115C9"/>
    <w:rsid w:val="00B20723"/>
    <w:rsid w:val="00B64632"/>
    <w:rsid w:val="00B909D9"/>
    <w:rsid w:val="00BB31E8"/>
    <w:rsid w:val="00BB3DA1"/>
    <w:rsid w:val="00BD444A"/>
    <w:rsid w:val="00C44A17"/>
    <w:rsid w:val="00CB7F0C"/>
    <w:rsid w:val="00D51F89"/>
    <w:rsid w:val="00D55666"/>
    <w:rsid w:val="00D579D0"/>
    <w:rsid w:val="00E426D6"/>
    <w:rsid w:val="00EA190E"/>
    <w:rsid w:val="00EC0EED"/>
    <w:rsid w:val="00ED178E"/>
    <w:rsid w:val="00EE7CB1"/>
    <w:rsid w:val="00F063CA"/>
    <w:rsid w:val="00F64577"/>
    <w:rsid w:val="00F67F2E"/>
    <w:rsid w:val="00F763C2"/>
    <w:rsid w:val="00F91067"/>
    <w:rsid w:val="00F9396B"/>
    <w:rsid w:val="00FB13AC"/>
    <w:rsid w:val="00FB6DE5"/>
    <w:rsid w:val="00FC6DD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7E30A79-F245-4FF7-A1F8-1BF34E5F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CA21B2C0E064C9C89805F108DB139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E453A9-9915-455D-84B2-BFB3B0BD82AA}"/>
      </w:docPartPr>
      <w:docPartBody>
        <w:p w:rsidR="001545E1" w:rsidRDefault="00986CF1" w:rsidP="00986CF1">
          <w:pPr>
            <w:pStyle w:val="6CA21B2C0E064C9C89805F108DB1390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545E1"/>
    <w:rsid w:val="00206AF5"/>
    <w:rsid w:val="00380F58"/>
    <w:rsid w:val="00851F45"/>
    <w:rsid w:val="0085355E"/>
    <w:rsid w:val="00862201"/>
    <w:rsid w:val="008D4381"/>
    <w:rsid w:val="00986CF1"/>
    <w:rsid w:val="00A37455"/>
    <w:rsid w:val="00CC486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86CF1"/>
    <w:rPr>
      <w:color w:val="808080"/>
    </w:rPr>
  </w:style>
  <w:style w:type="paragraph" w:customStyle="1" w:styleId="6CA21B2C0E064C9C89805F108DB1390D">
    <w:name w:val="6CA21B2C0E064C9C89805F108DB1390D"/>
    <w:rsid w:val="00986C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39A14-B138-4093-8A77-0700E4DD7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713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Camila Assunção</cp:lastModifiedBy>
  <cp:revision>5</cp:revision>
  <cp:lastPrinted>2020-06-10T02:59:00Z</cp:lastPrinted>
  <dcterms:created xsi:type="dcterms:W3CDTF">2020-07-01T01:38:00Z</dcterms:created>
  <dcterms:modified xsi:type="dcterms:W3CDTF">2020-07-07T22:03:00Z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http://www.zotero.org/styles/associacao-brasileira-de-normas-tecnicas-ipea</vt:lpwstr>
  </property>
  <property fmtid="{D5CDD505-2E9C-101B-9397-08002B2CF9AE}" pid="11" name="Mendeley Recent Style Name 4_1">
    <vt:lpwstr>Instituto de Pesquisa Econômica Aplicada - ABNT (Portuguese - Brazil)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http://www.zotero.org/styles/taylor-and-francis-apa</vt:lpwstr>
  </property>
  <property fmtid="{D5CDD505-2E9C-101B-9397-08002B2CF9AE}" pid="19" name="Mendeley Recent Style Name 8_1">
    <vt:lpwstr>Taylor &amp; Francis - APA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Citation Style_1">
    <vt:lpwstr>http://www.zotero.org/styles/associacao-brasileira-de-normas-tecnicas-ipea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3a7474fa-e017-30e0-90d0-af4e4b5aa197</vt:lpwstr>
  </property>
</Properties>
</file>