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33085B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bookmarkStart w:id="0" w:name="_GoBack"/>
          <w:bookmarkEnd w:id="0"/>
          <w:r w:rsidR="008B0A8E">
            <w:rPr>
              <w:rFonts w:ascii="Times New Roman" w:hAnsi="Times New Roman" w:cs="Times New Roman"/>
            </w:rPr>
            <w:t>Eixo 1 – Educação, Saúde e Tecnologia</w:t>
          </w:r>
        </w:sdtContent>
      </w:sdt>
    </w:p>
    <w:p w14:paraId="3F40BB39" w14:textId="36F933A8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B0A8E" w:rsidRPr="008B0A8E">
            <w:rPr>
              <w:b/>
              <w:color w:val="000000"/>
            </w:rPr>
            <w:t>DESENVOLVIMENTO DE CARTILHA DIGITAL EDUCATIVA PARA O IN</w:t>
          </w:r>
          <w:r w:rsidR="00635700">
            <w:rPr>
              <w:b/>
              <w:color w:val="000000"/>
            </w:rPr>
            <w:t>CENTIVO A DOAÇÃO DE SANGUE PEL</w:t>
          </w:r>
          <w:r w:rsidR="008B0A8E" w:rsidRPr="008B0A8E">
            <w:rPr>
              <w:b/>
              <w:color w:val="000000"/>
            </w:rPr>
            <w:t xml:space="preserve">A POPULAÇÃO LGBT+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2827C32" w:rsidR="0070071B" w:rsidRPr="00ED178E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8B0A8E">
            <w:rPr>
              <w:rFonts w:ascii="Times New Roman" w:hAnsi="Times New Roman" w:cs="Times New Roman"/>
              <w:u w:val="single"/>
            </w:rPr>
            <w:t>Marina de Deus Tavares Costa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A8E">
            <w:rPr>
              <w:rFonts w:ascii="Times New Roman" w:hAnsi="Times New Roman" w:cs="Times New Roman"/>
            </w:rPr>
            <w:t>marinadtavsc@gmail.com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61927B5" w:rsidR="0070071B" w:rsidRPr="00ED178E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A8E">
            <w:rPr>
              <w:rFonts w:ascii="Times New Roman" w:hAnsi="Times New Roman" w:cs="Times New Roman"/>
            </w:rPr>
            <w:t>Daniel Coutinho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1C6EC4D" w:rsidR="0070071B" w:rsidRPr="00ED178E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A8E">
            <w:rPr>
              <w:rFonts w:ascii="Times New Roman" w:hAnsi="Times New Roman" w:cs="Times New Roman"/>
            </w:rPr>
            <w:t>Fernanda Baia da Costa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6D7C7C0" w:rsidR="0070071B" w:rsidRPr="00ED178E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A8E">
            <w:rPr>
              <w:rFonts w:ascii="Times New Roman" w:hAnsi="Times New Roman" w:cs="Times New Roman"/>
            </w:rPr>
            <w:t>Mariana</w:t>
          </w:r>
          <w:r w:rsidR="0021452A">
            <w:rPr>
              <w:rFonts w:ascii="Times New Roman" w:hAnsi="Times New Roman" w:cs="Times New Roman"/>
            </w:rPr>
            <w:t xml:space="preserve"> Borges Sodré Lopes</w:t>
          </w:r>
          <w:r w:rsidR="008B0A8E">
            <w:rPr>
              <w:rFonts w:ascii="Times New Roman" w:hAnsi="Times New Roman" w:cs="Times New Roman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5AE8333" w:rsidR="0070071B" w:rsidRPr="00ED178E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A8E">
            <w:rPr>
              <w:rFonts w:ascii="Times New Roman" w:hAnsi="Times New Roman" w:cs="Times New Roman"/>
            </w:rPr>
            <w:t>Naataly Kelly Nogueira Bastos</w:t>
          </w:r>
          <w:r w:rsidR="0021452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F1CD0BB" w:rsidR="0070071B" w:rsidRPr="00ED178E" w:rsidRDefault="008B0A8E" w:rsidP="008B0A8E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Marce</w:t>
          </w:r>
          <w:r w:rsidR="0021452A">
            <w:rPr>
              <w:rFonts w:ascii="Times New Roman" w:hAnsi="Times New Roman" w:cs="Times New Roman"/>
            </w:rPr>
            <w:t>l</w:t>
          </w:r>
          <w:r>
            <w:rPr>
              <w:rFonts w:ascii="Times New Roman" w:hAnsi="Times New Roman" w:cs="Times New Roman"/>
            </w:rPr>
            <w:t>a</w:t>
          </w:r>
          <w:r w:rsidR="0021452A">
            <w:rPr>
              <w:rFonts w:ascii="Times New Roman" w:hAnsi="Times New Roman" w:cs="Times New Roman"/>
            </w:rPr>
            <w:t xml:space="preserve"> de Oliveira Feitosa</w:t>
          </w:r>
          <w:r w:rsidR="00B657D7"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C53E871" w:rsidR="0070071B" w:rsidRDefault="0038669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21452A">
            <w:rPr>
              <w:rFonts w:ascii="Times New Roman" w:hAnsi="Times New Roman" w:cs="Times New Roman"/>
            </w:rPr>
            <w:t>1. Universidade Federal do Maranhão, CCSST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07679656" w14:textId="77777777" w:rsidR="00C833D2" w:rsidRDefault="0070071B" w:rsidP="00C833D2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F4B3551" w14:textId="77777777" w:rsidR="00626A77" w:rsidRDefault="00626A77" w:rsidP="00626A77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color w:val="000000"/>
        </w:rPr>
        <w:t>Introdução:</w:t>
      </w:r>
      <w:r>
        <w:rPr>
          <w:color w:val="000000"/>
        </w:rPr>
        <w:t xml:space="preserve"> Nos anos 80, com os primeiros casos reconhecidos de HIV (Vírus da Imunodeficiência Humana) no mundo</w:t>
      </w:r>
      <w:r>
        <w:rPr>
          <w:color w:val="000000"/>
          <w:sz w:val="14"/>
          <w:szCs w:val="14"/>
          <w:vertAlign w:val="superscript"/>
        </w:rPr>
        <w:t>(1)</w:t>
      </w:r>
      <w:r>
        <w:rPr>
          <w:color w:val="000000"/>
        </w:rPr>
        <w:t>, houve o surgimento do estigma que relacionava o HIV e a AIDS (Síndrome da Imunodeficiência Adquirida</w:t>
      </w:r>
      <w:r>
        <w:rPr>
          <w:rFonts w:ascii="Arial" w:hAnsi="Arial" w:cs="Arial"/>
          <w:color w:val="222222"/>
          <w:shd w:val="clear" w:color="auto" w:fill="FFFFFF"/>
        </w:rPr>
        <w:t>)</w:t>
      </w:r>
      <w:r>
        <w:rPr>
          <w:color w:val="000000"/>
        </w:rPr>
        <w:t xml:space="preserve"> a indivíduos pertencentes a população LGBT+ (Lésbicas, Gays, Bissexuais, Transexuais e outros</w:t>
      </w:r>
      <w:r>
        <w:rPr>
          <w:rFonts w:ascii="Arial" w:hAnsi="Arial" w:cs="Arial"/>
          <w:color w:val="222222"/>
        </w:rPr>
        <w:t>)</w:t>
      </w:r>
      <w:r>
        <w:rPr>
          <w:color w:val="000000"/>
        </w:rPr>
        <w:t>. Desde então, adotaram-se medidas restritivas para doação de sangue por indivíduos que mantinham relações homossexuais, privando-os de doar</w:t>
      </w:r>
      <w:r w:rsidRPr="001D03B5">
        <w:rPr>
          <w:color w:val="000000"/>
        </w:rPr>
        <w:t>.</w:t>
      </w:r>
      <w:r w:rsidRPr="001D03B5">
        <w:rPr>
          <w:color w:val="000000"/>
          <w:vertAlign w:val="superscript"/>
        </w:rPr>
        <w:t>(1,2)</w:t>
      </w:r>
      <w:r>
        <w:rPr>
          <w:color w:val="000000"/>
        </w:rPr>
        <w:t xml:space="preserve"> Contudo, no ano de 2020 ao considerar, principalmente, o baixo estoque de hemocomponentes e  hemoderivados nos bancos de sangue em meio a pandemia da covid-19, foi julgada a inconstitucionalidade da portaria vigente e acatado a portaria nª158 de fevereiro de 2016 que autorizava a doação de sangue por LGBT+.</w:t>
      </w:r>
      <w:r w:rsidRPr="00626A77">
        <w:rPr>
          <w:color w:val="000000"/>
          <w:vertAlign w:val="superscript"/>
        </w:rPr>
        <w:t>(3)</w:t>
      </w:r>
      <w:r w:rsidRPr="00626A77">
        <w:rPr>
          <w:color w:val="000000"/>
        </w:rPr>
        <w:t xml:space="preserve"> </w:t>
      </w:r>
      <w:r>
        <w:rPr>
          <w:color w:val="000000"/>
        </w:rPr>
        <w:t>Nesse contexto,  ressalta-se  a importância de promover informações e orientações acerca deste assunto a população LGBT+. Desse modo, uma ferramenta importante a ser adotada é a educação em saúde, que poderá ser desenvolvida através do uso de recursos tecnológicos, dado a sua popularização no meio social.</w:t>
      </w:r>
      <w:r w:rsidRPr="001D03B5">
        <w:rPr>
          <w:color w:val="000000"/>
          <w:vertAlign w:val="superscript"/>
        </w:rPr>
        <w:t>(4)</w:t>
      </w:r>
      <w:r w:rsidRPr="001D03B5">
        <w:rPr>
          <w:color w:val="FF00FF"/>
        </w:rPr>
        <w:t xml:space="preserve"> </w:t>
      </w:r>
      <w:r>
        <w:rPr>
          <w:b/>
          <w:bCs/>
          <w:color w:val="000000"/>
        </w:rPr>
        <w:t>Objetivo:</w:t>
      </w:r>
      <w:r>
        <w:rPr>
          <w:color w:val="000000"/>
        </w:rPr>
        <w:t xml:space="preserve"> Apresentar o desenvolvimento de uma cartilha educativa para o incentivo a doação de sangue pela população LGBT+. </w:t>
      </w:r>
      <w:r>
        <w:rPr>
          <w:b/>
          <w:bCs/>
          <w:color w:val="000000"/>
        </w:rPr>
        <w:t>Descrição da experiência:</w:t>
      </w:r>
      <w:r>
        <w:rPr>
          <w:color w:val="000000"/>
        </w:rPr>
        <w:t xml:space="preserve"> O estímulo para a criação de uma ferramenta educativa voltada a essa temática surgiu após a participação em capacitação de uma liga </w:t>
      </w:r>
      <w:r>
        <w:rPr>
          <w:color w:val="000000"/>
        </w:rPr>
        <w:lastRenderedPageBreak/>
        <w:t>acadêmica, onde abordou-se a saúde LGBT+.</w:t>
      </w:r>
      <w:r w:rsidRPr="001D03B5">
        <w:rPr>
          <w:color w:val="000000"/>
          <w:vertAlign w:val="superscript"/>
        </w:rPr>
        <w:t xml:space="preserve">(2) </w:t>
      </w:r>
      <w:r>
        <w:rPr>
          <w:color w:val="000000"/>
        </w:rPr>
        <w:t xml:space="preserve">Onde foi observado na literatura a carência de tecnologias educativas destinadas à esse público a respeito da doação de sangue. À vista disso, criou-se, através da plataforma CANVA, versão </w:t>
      </w:r>
      <w:r>
        <w:rPr>
          <w:i/>
          <w:iCs/>
          <w:color w:val="000000"/>
        </w:rPr>
        <w:t>premium online</w:t>
      </w:r>
      <w:r>
        <w:rPr>
          <w:color w:val="000000"/>
        </w:rPr>
        <w:t xml:space="preserve">, a cartilha </w:t>
      </w:r>
      <w:r>
        <w:rPr>
          <w:i/>
          <w:color w:val="000000"/>
        </w:rPr>
        <w:t xml:space="preserve">Sangue de todas as cores, </w:t>
      </w:r>
      <w:r>
        <w:rPr>
          <w:color w:val="000000"/>
          <w:shd w:val="clear" w:color="auto" w:fill="FFFFFF"/>
        </w:rPr>
        <w:t>com objetivo de oferecer informações aos indivíduos LGBT+-s sobre seus direitos quanto a doação de sangue.</w:t>
      </w:r>
      <w:r>
        <w:rPr>
          <w:color w:val="000000"/>
        </w:rPr>
        <w:t xml:space="preserve"> A construção de textos se deu pela leitura de artigos científicos e manuais do Ministério da Saúde e da Anvisa, utilizando linguagem simples e objetiva repassando informações sobre os principais requisitos para ser doador, cuidados pré e pós-doação, sobre os impedimentos temporários e permanentes, além de informações sobre seus direitos e o que fazer caso sejam negados pela instituição de saúde. </w:t>
      </w:r>
      <w:r>
        <w:rPr>
          <w:b/>
          <w:bCs/>
          <w:color w:val="000000"/>
        </w:rPr>
        <w:t>Resultados e impactos:</w:t>
      </w:r>
      <w:r>
        <w:rPr>
          <w:color w:val="000000"/>
        </w:rPr>
        <w:t xml:space="preserve"> A popularização dos dispositivos móveis tem sido considerada de grande impacto nos últimos anos. Desse modo, o desenvolvimento de ferramentas educativas em formato digital representa um meio eficaz de disponibilizar conteúdos e alcançar o público-alvo.</w:t>
      </w:r>
      <w:r w:rsidRPr="000F6F61">
        <w:rPr>
          <w:color w:val="000000"/>
          <w:sz w:val="14"/>
          <w:szCs w:val="14"/>
        </w:rPr>
        <w:t>(4)</w:t>
      </w:r>
      <w:r>
        <w:rPr>
          <w:color w:val="000000"/>
          <w:sz w:val="14"/>
          <w:szCs w:val="14"/>
        </w:rPr>
        <w:t xml:space="preserve"> </w:t>
      </w:r>
      <w:r>
        <w:rPr>
          <w:color w:val="000000"/>
        </w:rPr>
        <w:t>Nessa perspectiva, o desenvolvimento de uma cartilha digital com intuito de promover informações acerca da doação de sangue pelo público LGBT+ poderá contribuir de forma significativa no número de doadores de sangue fidelizados - aqueles que doam com regularidade - no Brasil. Ressalta-se ainda que o desenvolvimento desse instrumento tem como alvo além do público LGBT+, os profissionais de saúde, atuando como veículo de informação acerca das alterações em protocolos nos serviços de hemoterapias devido a adoção da portaria de 2016</w:t>
      </w:r>
      <w:r>
        <w:rPr>
          <w:color w:val="000000"/>
          <w:vertAlign w:val="superscript"/>
        </w:rPr>
        <w:t>(3)</w:t>
      </w:r>
      <w:r>
        <w:rPr>
          <w:color w:val="000000"/>
        </w:rPr>
        <w:t>. O processo de criação ainda necessita da validação para que haja disponibiliza</w:t>
      </w:r>
      <w:r>
        <w:rPr>
          <w:color w:val="000000"/>
        </w:rPr>
        <w:t xml:space="preserve"> </w:t>
      </w:r>
      <w:r>
        <w:rPr>
          <w:color w:val="000000"/>
        </w:rPr>
        <w:t xml:space="preserve">disponibilização do arquivo online para download. </w:t>
      </w:r>
      <w:r>
        <w:rPr>
          <w:b/>
          <w:bCs/>
          <w:color w:val="000000"/>
        </w:rPr>
        <w:t xml:space="preserve">Considerações Finais: </w:t>
      </w:r>
      <w:r>
        <w:rPr>
          <w:color w:val="000000"/>
        </w:rPr>
        <w:t xml:space="preserve">Admite-se, portanto que a utilização da Cartilha </w:t>
      </w:r>
      <w:r>
        <w:rPr>
          <w:i/>
          <w:color w:val="000000"/>
        </w:rPr>
        <w:t>Sangue de todas as cores</w:t>
      </w:r>
      <w:r>
        <w:rPr>
          <w:color w:val="000000"/>
        </w:rPr>
        <w:t>, como estratégia educacional e informativa, configura-se como uma experiência exitosa por permitir o aprendizado mediante a disponibilidade de informações lúdicas e atrativas, possibilitando o indivíduo LGBT+ fruir de duas dimensões de direitos: o de exercer o ato empático e solidário e o de vivenciar livremente sua orientação sexual.</w:t>
      </w:r>
    </w:p>
    <w:p w14:paraId="0D173AAB" w14:textId="77777777" w:rsidR="00626A77" w:rsidRDefault="00626A77" w:rsidP="00C833D2">
      <w:pPr>
        <w:pStyle w:val="NormalWeb"/>
        <w:spacing w:before="0" w:beforeAutospacing="0" w:after="0" w:afterAutospacing="0"/>
        <w:rPr>
          <w:color w:val="000000"/>
        </w:rPr>
      </w:pPr>
    </w:p>
    <w:p w14:paraId="3584C843" w14:textId="63494635" w:rsidR="00C833D2" w:rsidRDefault="00C833D2" w:rsidP="00C833D2">
      <w:pPr>
        <w:pStyle w:val="NormalWeb"/>
        <w:spacing w:before="0" w:beforeAutospacing="0" w:after="0" w:afterAutospacing="0"/>
      </w:pPr>
      <w:r>
        <w:rPr>
          <w:b/>
          <w:bCs/>
          <w:color w:val="000000"/>
        </w:rPr>
        <w:t xml:space="preserve">Descritores: </w:t>
      </w:r>
      <w:r>
        <w:rPr>
          <w:color w:val="000000"/>
        </w:rPr>
        <w:t>Minorias sexuais e de gênero; Promoção de Saúde; Doadores de Sangue. </w:t>
      </w:r>
    </w:p>
    <w:p w14:paraId="420378B3" w14:textId="77777777" w:rsidR="00C833D2" w:rsidRDefault="00C833D2" w:rsidP="00C833D2"/>
    <w:p w14:paraId="419EDA6B" w14:textId="77777777" w:rsidR="00635700" w:rsidRDefault="00635700" w:rsidP="00C833D2"/>
    <w:p w14:paraId="45EA076B" w14:textId="22155061" w:rsidR="00C833D2" w:rsidRDefault="00C833D2" w:rsidP="00C833D2">
      <w:pPr>
        <w:pStyle w:val="NormalWeb"/>
        <w:spacing w:before="0" w:beforeAutospacing="0" w:after="0" w:afterAutospacing="0"/>
      </w:pPr>
      <w:r>
        <w:rPr>
          <w:b/>
          <w:bCs/>
          <w:color w:val="000000"/>
        </w:rPr>
        <w:lastRenderedPageBreak/>
        <w:t>Referências:</w:t>
      </w:r>
    </w:p>
    <w:p w14:paraId="5D6C03CC" w14:textId="77777777" w:rsidR="00635700" w:rsidRPr="0070071B" w:rsidRDefault="00635700" w:rsidP="00635700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3DA7EAE" w14:textId="77777777" w:rsidR="00635700" w:rsidRDefault="00386698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E0BAE577986F4B28BF2DD1030561096B"/>
          </w:placeholder>
        </w:sdtPr>
        <w:sdtEndPr/>
        <w:sdtContent>
          <w:commentRangeStart w:id="1"/>
          <w:sdt>
            <w:sdtPr>
              <w:rPr>
                <w:rFonts w:ascii="Times New Roman" w:hAnsi="Times New Roman" w:cs="Times New Roman"/>
              </w:rPr>
              <w:id w:val="-369916988"/>
              <w:placeholder>
                <w:docPart w:val="803AFD20A0B34F00B59A2AB2F8D9AAC0"/>
              </w:placeholder>
            </w:sdtPr>
            <w:sdtEndPr/>
            <w:sdtContent>
              <w:r w:rsidR="00635700">
                <w:rPr>
                  <w:rFonts w:ascii="Times New Roman" w:hAnsi="Times New Roman" w:cs="Times New Roman"/>
                </w:rPr>
                <w:t xml:space="preserve">1. </w:t>
              </w:r>
              <w:r w:rsidR="00635700">
                <w:rPr>
                  <w:rFonts w:ascii="Times New Roman" w:hAnsi="Times New Roman" w:cs="Times New Roman"/>
                  <w:szCs w:val="24"/>
                </w:rPr>
                <w:t xml:space="preserve">MOSCHETA, Murilo dos Santos et al. Visibilidade seletiva: a influência da heterossexualidade compulsória nos cuidados em saúde de homens gays e mulheres lésbicas e bissexuais. </w:t>
              </w:r>
              <w:r w:rsidR="00635700">
                <w:rPr>
                  <w:rFonts w:ascii="Times New Roman" w:hAnsi="Times New Roman" w:cs="Times New Roman"/>
                  <w:b/>
                  <w:szCs w:val="24"/>
                </w:rPr>
                <w:t xml:space="preserve">Revista Saúde e Transformação Social. </w:t>
              </w:r>
              <w:r w:rsidR="00635700">
                <w:rPr>
                  <w:rFonts w:ascii="Times New Roman" w:hAnsi="Times New Roman" w:cs="Times New Roman"/>
                  <w:szCs w:val="24"/>
                </w:rPr>
                <w:t xml:space="preserve">v.7, n. 3, p. 71-83, 2016.  Disponível em &lt; </w:t>
              </w:r>
              <w:r w:rsidR="00635700" w:rsidRPr="00101305">
                <w:rPr>
                  <w:rFonts w:ascii="Times New Roman" w:hAnsi="Times New Roman" w:cs="Times New Roman"/>
                </w:rPr>
                <w:t>http://incubadora.periodicos.ufsc.br/index.php/saudeetransformacao/article/view/4318</w:t>
              </w:r>
              <w:r w:rsidR="00635700" w:rsidRPr="00C15B30">
                <w:rPr>
                  <w:rFonts w:ascii="Times New Roman" w:hAnsi="Times New Roman" w:cs="Times New Roman"/>
                </w:rPr>
                <w:t xml:space="preserve"> &gt; Acesso em 25 Jun. 2020.</w:t>
              </w:r>
            </w:sdtContent>
          </w:sdt>
        </w:sdtContent>
      </w:sdt>
      <w:r w:rsidR="00635700" w:rsidRPr="00ED178E">
        <w:rPr>
          <w:rFonts w:ascii="Times New Roman" w:hAnsi="Times New Roman" w:cs="Times New Roman"/>
        </w:rPr>
        <w:t xml:space="preserve"> </w:t>
      </w:r>
      <w:commentRangeEnd w:id="1"/>
      <w:r w:rsidR="00635700">
        <w:rPr>
          <w:rStyle w:val="Refdecomentrio"/>
        </w:rPr>
        <w:commentReference w:id="1"/>
      </w:r>
    </w:p>
    <w:p w14:paraId="3479D9A2" w14:textId="77777777" w:rsidR="00635700" w:rsidRDefault="00635700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14639484" w14:textId="77777777" w:rsidR="00635700" w:rsidRDefault="00635700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3B230E7" w14:textId="77777777" w:rsidR="00635700" w:rsidRDefault="00386698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E0BAE577986F4B28BF2DD1030561096B"/>
          </w:placeholder>
        </w:sdtPr>
        <w:sdtEndPr/>
        <w:sdtContent>
          <w:r w:rsidR="00635700">
            <w:rPr>
              <w:rFonts w:ascii="Times New Roman" w:hAnsi="Times New Roman" w:cs="Times New Roman"/>
            </w:rPr>
            <w:t xml:space="preserve">2. </w:t>
          </w:r>
          <w:r w:rsidR="00635700" w:rsidRPr="003E4083">
            <w:rPr>
              <w:rFonts w:ascii="Times New Roman" w:hAnsi="Times New Roman" w:cs="Times New Roman"/>
            </w:rPr>
            <w:t xml:space="preserve">SOUZA </w:t>
          </w:r>
          <w:r w:rsidR="00635700">
            <w:rPr>
              <w:rFonts w:ascii="Times New Roman" w:hAnsi="Times New Roman" w:cs="Times New Roman"/>
            </w:rPr>
            <w:t>JUNIOR, Edison Vitório de et al</w:t>
          </w:r>
          <w:r w:rsidR="00635700" w:rsidRPr="003E4083">
            <w:rPr>
              <w:rFonts w:ascii="Times New Roman" w:hAnsi="Times New Roman" w:cs="Times New Roman"/>
            </w:rPr>
            <w:t>. Proibição de doação sanguínea por pessoas homoafetiva</w:t>
          </w:r>
          <w:r w:rsidR="00635700">
            <w:rPr>
              <w:rFonts w:ascii="Times New Roman" w:hAnsi="Times New Roman" w:cs="Times New Roman"/>
            </w:rPr>
            <w:t xml:space="preserve">s: estudo bioético. </w:t>
          </w:r>
          <w:r w:rsidR="00635700" w:rsidRPr="002C178B">
            <w:rPr>
              <w:rFonts w:ascii="Times New Roman" w:hAnsi="Times New Roman" w:cs="Times New Roman"/>
              <w:b/>
            </w:rPr>
            <w:t>Rev. Bioet.</w:t>
          </w:r>
          <w:r w:rsidR="00635700" w:rsidRPr="003E4083">
            <w:rPr>
              <w:rFonts w:ascii="Times New Roman" w:hAnsi="Times New Roman" w:cs="Times New Roman"/>
            </w:rPr>
            <w:t xml:space="preserve">  Brasília ,  v. 28, n. 1, p. 89-97,  Mar.  2020 .   </w:t>
          </w:r>
          <w:r w:rsidR="00635700">
            <w:rPr>
              <w:rFonts w:ascii="Times New Roman" w:hAnsi="Times New Roman" w:cs="Times New Roman"/>
            </w:rPr>
            <w:t>Disponível em</w:t>
          </w:r>
          <w:r w:rsidR="00635700" w:rsidRPr="003E4083">
            <w:rPr>
              <w:rFonts w:ascii="Times New Roman" w:hAnsi="Times New Roman" w:cs="Times New Roman"/>
            </w:rPr>
            <w:t xml:space="preserve"> &lt;http://www.scielo.br/scielo.php?script=sci_arttext&amp;pid=S1983-80422020000100089&amp;lng=en&amp;nrm=iso&gt;. </w:t>
          </w:r>
          <w:r w:rsidR="00635700">
            <w:rPr>
              <w:rFonts w:ascii="Times New Roman" w:hAnsi="Times New Roman" w:cs="Times New Roman"/>
            </w:rPr>
            <w:t>Acesso em 25 de Jun.</w:t>
          </w:r>
          <w:r w:rsidR="00635700" w:rsidRPr="003E4083">
            <w:rPr>
              <w:rFonts w:ascii="Times New Roman" w:hAnsi="Times New Roman" w:cs="Times New Roman"/>
            </w:rPr>
            <w:t xml:space="preserve">  2020.  Epub Mar 30, 2020.  </w:t>
          </w:r>
          <w:r w:rsidR="00635700" w:rsidRPr="007D43BE">
            <w:rPr>
              <w:rFonts w:ascii="Times New Roman" w:hAnsi="Times New Roman" w:cs="Times New Roman"/>
            </w:rPr>
            <w:t>https://doi.org/10.1590/1983-80422020281371</w:t>
          </w:r>
          <w:r w:rsidR="00635700" w:rsidRPr="003E4083">
            <w:rPr>
              <w:rFonts w:ascii="Times New Roman" w:hAnsi="Times New Roman" w:cs="Times New Roman"/>
            </w:rPr>
            <w:t>.</w:t>
          </w:r>
        </w:sdtContent>
      </w:sdt>
      <w:r w:rsidR="00635700">
        <w:rPr>
          <w:rFonts w:ascii="Times New Roman" w:hAnsi="Times New Roman" w:cs="Times New Roman"/>
        </w:rPr>
        <w:t xml:space="preserve"> </w:t>
      </w:r>
    </w:p>
    <w:p w14:paraId="060AC6CB" w14:textId="77777777" w:rsidR="00635700" w:rsidRDefault="00635700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679080D" w14:textId="77777777" w:rsidR="00635700" w:rsidRDefault="00635700" w:rsidP="0063570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E0BAE577986F4B28BF2DD1030561096B"/>
        </w:placeholder>
      </w:sdtPr>
      <w:sdtEndPr>
        <w:rPr>
          <w:szCs w:val="24"/>
        </w:rPr>
      </w:sdtEndPr>
      <w:sdtContent>
        <w:p w14:paraId="4C36BE4D" w14:textId="77777777" w:rsidR="00635700" w:rsidRDefault="00635700" w:rsidP="00635700">
          <w:pPr>
            <w:spacing w:before="0" w:after="200" w:line="360" w:lineRule="auto"/>
            <w:jc w:val="left"/>
            <w:rPr>
              <w:rFonts w:ascii="Times New Roman" w:hAnsi="Times New Roman" w:cs="Times New Roman"/>
            </w:rPr>
          </w:pPr>
          <w:r w:rsidRPr="00085E1A">
            <w:rPr>
              <w:rFonts w:ascii="Times New Roman" w:hAnsi="Times New Roman" w:cs="Times New Roman"/>
              <w:szCs w:val="24"/>
            </w:rPr>
            <w:t>3. BRASIL. Ministério da Saúde. Gabinete do Ministro. Portaria n</w:t>
          </w:r>
          <w:r>
            <w:rPr>
              <w:rFonts w:ascii="Times New Roman" w:hAnsi="Times New Roman" w:cs="Times New Roman"/>
              <w:szCs w:val="24"/>
            </w:rPr>
            <w:t>º158, de 4</w:t>
          </w:r>
          <w:r w:rsidRPr="00085E1A">
            <w:rPr>
              <w:rFonts w:ascii="Times New Roman" w:hAnsi="Times New Roman" w:cs="Times New Roman"/>
              <w:szCs w:val="24"/>
            </w:rPr>
            <w:t xml:space="preserve"> de fevereiro de 2016</w:t>
          </w:r>
          <w:r>
            <w:rPr>
              <w:rFonts w:ascii="Times New Roman" w:hAnsi="Times New Roman" w:cs="Times New Roman"/>
              <w:szCs w:val="24"/>
            </w:rPr>
            <w:t xml:space="preserve">. Redefine o regulamento técnico de procedimentos hemoterápicos. </w:t>
          </w:r>
          <w:r w:rsidRPr="007D0D3C">
            <w:rPr>
              <w:rFonts w:ascii="Times New Roman" w:hAnsi="Times New Roman" w:cs="Times New Roman"/>
              <w:b/>
              <w:szCs w:val="24"/>
            </w:rPr>
            <w:t>Diário Oficial da União</w:t>
          </w:r>
          <w:r>
            <w:rPr>
              <w:rFonts w:ascii="Times New Roman" w:hAnsi="Times New Roman" w:cs="Times New Roman"/>
              <w:szCs w:val="24"/>
            </w:rPr>
            <w:t>, Brasília, DF, 5 mar. 2016, p.37. Disponível em &lt;</w:t>
          </w:r>
          <w:r w:rsidRPr="00C15B30">
            <w:rPr>
              <w:rFonts w:ascii="Times New Roman" w:hAnsi="Times New Roman" w:cs="Times New Roman"/>
            </w:rPr>
            <w:t>https://bvsms.saude.gov.br/bvs/saudelegis/gm/2016/prt0158_04_02_2016.html</w:t>
          </w:r>
          <w:r>
            <w:rPr>
              <w:rFonts w:ascii="Times New Roman" w:hAnsi="Times New Roman" w:cs="Times New Roman"/>
            </w:rPr>
            <w:t xml:space="preserve"> &gt;. Acesso em 25 Jun. 2020.</w:t>
          </w:r>
        </w:p>
        <w:p w14:paraId="6B2F792B" w14:textId="77777777" w:rsidR="00635700" w:rsidRPr="007D43BE" w:rsidRDefault="00386698" w:rsidP="00635700">
          <w:pPr>
            <w:spacing w:before="0" w:after="200" w:line="360" w:lineRule="auto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E0BAE577986F4B28BF2DD1030561096B"/>
        </w:placeholder>
      </w:sdtPr>
      <w:sdtEndPr/>
      <w:sdtContent>
        <w:p w14:paraId="61656348" w14:textId="174867BA" w:rsidR="00EA190E" w:rsidRPr="0070071B" w:rsidRDefault="00635700" w:rsidP="00635700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4. SILVA, Daniele Maciel de Lima et al. Tecnologias educacionais na assistência de Enfermagem em educação em saúde: Revisão integrativa. </w:t>
          </w:r>
          <w:r w:rsidRPr="003C7604">
            <w:rPr>
              <w:rFonts w:ascii="Times New Roman" w:hAnsi="Times New Roman" w:cs="Times New Roman"/>
              <w:b/>
            </w:rPr>
            <w:t xml:space="preserve">REUOL – </w:t>
          </w:r>
          <w:r w:rsidRPr="00076C9A">
            <w:rPr>
              <w:rFonts w:ascii="Times New Roman" w:hAnsi="Times New Roman" w:cs="Times New Roman"/>
            </w:rPr>
            <w:t>Revista de</w:t>
          </w:r>
          <w:r w:rsidRPr="003C7604">
            <w:rPr>
              <w:rFonts w:ascii="Times New Roman" w:hAnsi="Times New Roman" w:cs="Times New Roman"/>
              <w:b/>
            </w:rPr>
            <w:t xml:space="preserve"> </w:t>
          </w:r>
          <w:r w:rsidRPr="00076C9A">
            <w:rPr>
              <w:rFonts w:ascii="Times New Roman" w:hAnsi="Times New Roman" w:cs="Times New Roman"/>
            </w:rPr>
            <w:t>Enfermagem UFPE online.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</w:rPr>
            <w:t>v. 11. p.1044-1055, fev. 2017. Disponível em &lt;</w:t>
          </w:r>
          <w:r w:rsidRPr="00C15B30">
            <w:rPr>
              <w:rFonts w:ascii="Times New Roman" w:hAnsi="Times New Roman" w:cs="Times New Roman"/>
            </w:rPr>
            <w:t>http://dx.doi.org/10.5205/reuol.10263-91568-1-RV.1102sup201721</w:t>
          </w:r>
          <w:r>
            <w:rPr>
              <w:rFonts w:ascii="Times New Roman" w:hAnsi="Times New Roman" w:cs="Times New Roman"/>
            </w:rPr>
            <w:t xml:space="preserve"> &gt; Acesso em 26 Jun. 2020.</w:t>
          </w:r>
        </w:p>
      </w:sdtContent>
    </w:sdt>
    <w:sectPr w:rsidR="00EA190E" w:rsidRPr="0070071B" w:rsidSect="00076C9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Walessa Linhares" w:date="2020-07-06T13:58:00Z" w:initials="WL">
    <w:p w14:paraId="4FBFFCD9" w14:textId="77777777" w:rsidR="00635700" w:rsidRDefault="00635700" w:rsidP="00635700">
      <w:pPr>
        <w:pStyle w:val="Textodecomentrio"/>
      </w:pPr>
      <w:r>
        <w:rPr>
          <w:rStyle w:val="Refdecomentrio"/>
        </w:rPr>
        <w:annotationRef/>
      </w:r>
      <w:r>
        <w:t>Remover hiperlink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FBFFCD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5D772" w14:textId="77777777" w:rsidR="00386698" w:rsidRDefault="00386698" w:rsidP="00054686">
      <w:pPr>
        <w:spacing w:before="0" w:after="0" w:line="240" w:lineRule="auto"/>
      </w:pPr>
      <w:r>
        <w:separator/>
      </w:r>
    </w:p>
  </w:endnote>
  <w:endnote w:type="continuationSeparator" w:id="0">
    <w:p w14:paraId="5783A554" w14:textId="77777777" w:rsidR="00386698" w:rsidRDefault="0038669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D728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BCD51" w14:textId="77777777" w:rsidR="00386698" w:rsidRDefault="0038669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05ED702" w14:textId="77777777" w:rsidR="00386698" w:rsidRDefault="0038669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38669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38669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38669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lessa Linhares">
    <w15:presenceInfo w15:providerId="None" w15:userId="Walessa Linhar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76C9A"/>
    <w:rsid w:val="00085E1A"/>
    <w:rsid w:val="0009068B"/>
    <w:rsid w:val="000E596E"/>
    <w:rsid w:val="000F6F61"/>
    <w:rsid w:val="0011587C"/>
    <w:rsid w:val="001769D8"/>
    <w:rsid w:val="001D4667"/>
    <w:rsid w:val="0021452A"/>
    <w:rsid w:val="002268F9"/>
    <w:rsid w:val="002C00CE"/>
    <w:rsid w:val="00330594"/>
    <w:rsid w:val="00386698"/>
    <w:rsid w:val="003C7604"/>
    <w:rsid w:val="003E7CE5"/>
    <w:rsid w:val="00417E55"/>
    <w:rsid w:val="00553538"/>
    <w:rsid w:val="00626A77"/>
    <w:rsid w:val="00635700"/>
    <w:rsid w:val="006C03DB"/>
    <w:rsid w:val="0070071B"/>
    <w:rsid w:val="00732FA3"/>
    <w:rsid w:val="007D0D3C"/>
    <w:rsid w:val="008B0A8E"/>
    <w:rsid w:val="008B6F3E"/>
    <w:rsid w:val="00A57787"/>
    <w:rsid w:val="00AB0DF9"/>
    <w:rsid w:val="00AC5179"/>
    <w:rsid w:val="00AF74EB"/>
    <w:rsid w:val="00B222FA"/>
    <w:rsid w:val="00B657D7"/>
    <w:rsid w:val="00BB3DA1"/>
    <w:rsid w:val="00C833D2"/>
    <w:rsid w:val="00D55666"/>
    <w:rsid w:val="00EA190E"/>
    <w:rsid w:val="00ED178E"/>
    <w:rsid w:val="00EF37F8"/>
    <w:rsid w:val="00F35730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16CFCA3-8AD2-481E-BCE6-92B42A2D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8B0A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F37F8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357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570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5700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BAE577986F4B28BF2DD103056109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3DB7A0-BF4C-46E3-AA39-F5D98C567886}"/>
      </w:docPartPr>
      <w:docPartBody>
        <w:p w:rsidR="00E57C14" w:rsidRDefault="00EB651F" w:rsidP="00EB651F">
          <w:pPr>
            <w:pStyle w:val="E0BAE577986F4B28BF2DD1030561096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3AFD20A0B34F00B59A2AB2F8D9AA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B15A05-BE7E-4A02-9CF4-F4C3B32C900E}"/>
      </w:docPartPr>
      <w:docPartBody>
        <w:p w:rsidR="00E57C14" w:rsidRDefault="00EB651F" w:rsidP="00EB651F">
          <w:pPr>
            <w:pStyle w:val="803AFD20A0B34F00B59A2AB2F8D9AAC0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C2D29"/>
    <w:rsid w:val="00851F45"/>
    <w:rsid w:val="00862201"/>
    <w:rsid w:val="00890860"/>
    <w:rsid w:val="00AA520D"/>
    <w:rsid w:val="00D16910"/>
    <w:rsid w:val="00D519C6"/>
    <w:rsid w:val="00E0183F"/>
    <w:rsid w:val="00E134F7"/>
    <w:rsid w:val="00E57C14"/>
    <w:rsid w:val="00EB651F"/>
    <w:rsid w:val="00F45FAD"/>
    <w:rsid w:val="00F553D7"/>
    <w:rsid w:val="00F7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B651F"/>
  </w:style>
  <w:style w:type="paragraph" w:customStyle="1" w:styleId="837026BA32544D729DB8CE61088E88F6">
    <w:name w:val="837026BA32544D729DB8CE61088E88F6"/>
    <w:rsid w:val="00F77BF8"/>
  </w:style>
  <w:style w:type="paragraph" w:customStyle="1" w:styleId="765169D0671F46CB9C5D449295A93618">
    <w:name w:val="765169D0671F46CB9C5D449295A93618"/>
    <w:rsid w:val="00F77BF8"/>
  </w:style>
  <w:style w:type="paragraph" w:customStyle="1" w:styleId="E0BAE577986F4B28BF2DD1030561096B">
    <w:name w:val="E0BAE577986F4B28BF2DD1030561096B"/>
    <w:rsid w:val="00EB651F"/>
  </w:style>
  <w:style w:type="paragraph" w:customStyle="1" w:styleId="803AFD20A0B34F00B59A2AB2F8D9AAC0">
    <w:name w:val="803AFD20A0B34F00B59A2AB2F8D9AAC0"/>
    <w:rsid w:val="00EB6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D076A-58B0-4DF6-BA15-DD4B8B92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858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Dislene</cp:lastModifiedBy>
  <cp:revision>10</cp:revision>
  <cp:lastPrinted>2020-06-10T02:59:00Z</cp:lastPrinted>
  <dcterms:created xsi:type="dcterms:W3CDTF">2020-06-12T01:11:00Z</dcterms:created>
  <dcterms:modified xsi:type="dcterms:W3CDTF">2020-07-07T03:21:00Z</dcterms:modified>
</cp:coreProperties>
</file>