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Eixo 3 – Assistência e Cuidado de Enfermagem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CUIDADOS DE ENFERMAGEM SOB A ÓTICA DE MADELEINE LEININGER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right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Katiane da Silva Mendonça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(katianeksm@gmail.com).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 Carolyna da Silva Rocha.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5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Barbara Vitória dos Santos Torres.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right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Laís Valéria da Silva Bispo.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jc w:val="right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Erika Thamires Feitosa da Silva.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Discente do curso bacharelado em Enfermagem- Universidade Federal de Alagoas, Maceió-AL. </w:t>
      </w:r>
    </w:p>
    <w:p w:rsidR="00000000" w:rsidDel="00000000" w:rsidP="00000000" w:rsidRDefault="00000000" w:rsidRPr="00000000" w14:paraId="0000000A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Enfermeira. Formada pela Universidade Tiradentes, Maceió-AL.</w:t>
      </w:r>
    </w:p>
    <w:p w:rsidR="00000000" w:rsidDel="00000000" w:rsidP="00000000" w:rsidRDefault="00000000" w:rsidRPr="00000000" w14:paraId="0000000B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Brasil, o uso de plantas medicinais no tratamento de enfermidades têm influências da cultura indígena, africana e europeia, visando à cura de doenças e restituição do homem a vida natural.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algumas comunidades, tais como quilombolas, indígenas e do campo, a sobreposição de saberes populares em relação aos cuidados orientados pelos profissionais de saúde não são incomuns.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dessa conjuntura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eoria Transcultural de Madeleine Leininger, propõe uma visão que permite ao enfermeiro planejar junto com a pessoa assistida os cuidados necessários a suas especificidades, preservando as características culturais e religiosas as quais o grupo pertence.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Analisar a importância da teoria transcultural de Madeleine Leininger na prática profissional da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Material e Métodos: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Trata-se de uma revisão da literatura, realizada na Biblioteca Virtual de Saúde (BVS) e Scientific Electronic Library Online (Scielo). Foram incluídos trabalhos publicados entre os anos 2015-2020, disponíveis na íntegra, utilizando os seguintes descritores: Enfermagem Transcultural; Fitoterapia; Medicina Tradicional.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Revisão de literatura: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 uso de plantas medicinais (fitoterapia), designa a profilaxia e o tratamento de condições de saúde por meio de plantas e por partes delas, essa ciência faz prática da medicina popular, que está diretamente ligada às crenças e culturas da comunidade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 sobreposição de saberes populares deve ser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manejada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adequadamente pelo profissional de saúde, que deve conhecê-la de forma científica e avaliar a sua efetividade para o cuidado do indivíduo, uma vez que essa sobreposição é notada quando o usuário não realiza o tratamento orientado pelos agentes de saúde, mas em contrapartida, adotam tratamentos alternativos por se aproximarem de suas necessidades e realidades específicas, além de fazerem parte de sua cultura, outro fator que pode ser envolvido nesse contexto é a vulnerabilidade socioeconômica fazendo com que haja uma maior adesão a tratamentos não medicamentosos como chás e insumos naturais.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Nesse contexto, 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enfermagem transcultural possibilita descobrir pontos de vista pessoais ou culturais sobre o cuidado, a fim de compreendê-lo, aplicá-lo e tirar proveito desse conhecimento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com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base nas práticas de cuidado.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perscript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 ações de enfermagem apoiadas na Teoria Transcultural, fortalecem a atuação do enfermeiro, uma vez que ele passa a compreender e valorizar as práticas populares e tradicionais a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dotando condutas ativas e produtivas na comunidade com o objetivo de desmistificar alguns assuntos, e aprofundar-se com evidências científicas, favorecendo uma assistência a saúde de forma mais assertiva, segura e eficaz para aquela comunidade.</w:t>
      </w:r>
    </w:p>
    <w:p w:rsidR="00000000" w:rsidDel="00000000" w:rsidP="00000000" w:rsidRDefault="00000000" w:rsidRPr="00000000" w14:paraId="0000000D">
      <w:pPr>
        <w:spacing w:after="0" w:before="0" w:line="36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Descritores: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Assistência Integral à Saúde; Enfermagem Transcultural; Medicina Tradicional.</w:t>
      </w:r>
    </w:p>
    <w:p w:rsidR="00000000" w:rsidDel="00000000" w:rsidP="00000000" w:rsidRDefault="00000000" w:rsidRPr="00000000" w14:paraId="0000000F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BADKE, M. R.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Saber Popular: Uso De Plantas Medicinais Como Forma Terapêutica No Cuidado À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de Enfermagem da UFSM [Online]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Rio Grande do Sul, v. 6, n. 2, p. 225 - 234,  Jun. 2016. Disponível em: &lt;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https://periodicos.ufsm.br/reufsm/article/view/17945/pdf_1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Acesso 28 Jun 2020.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40" w:lineRule="auto"/>
        <w:ind w:left="72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SIQUEIRA, S. M. C.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Percepções de urgência e emergência pediátrica entre quilombolas: uma abordagem à luz de Leininger.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de Enfermagem da UERJ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[Online]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v. 26, n. 1, Jul 2018. Disponível em: &lt;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http://docs.bvsalud.org/biblioref/2018/11/948421/percepcoes-de-urgencia.pdf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&gt;. Acesso 28  Jun  2020.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LIMA, J. F.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Uso de terapias integrativas e complementares por pacientes em quimioterapia.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Avances em Enfermagem [Online]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Bogotá,  v. 33, n. 3, p. 372-380,  Set. 2015.   Disponível em: &lt;http://www.scielo.org.co/scielo.php?script=sci_arttext&amp;pid=S0121-45002015000300005&amp;lng=en&amp;nrm=iso&gt;. Acesso 28 Jun 2020.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JUNGES, J. R.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 Saberes populares e cientificismo na estratégia saúde da família: complementares ou excludentes?.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Ciência e  saúde coletiva [Online]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Rio de Janeiro,  v. 16, n. 11, p. 4327-4335,  Nov.  2011. Disponível em: &lt;http://www.scielo.br/scielo.php?script=sci_arttext&amp;pid=S1413-81232011001200005&amp;lng=en&amp;nrm=iso&gt;. Acesso 29 Jun 2020.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72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72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CASTELLANOS, B. E.; PARAVIC-KLIJN, T. La transculturalidad, elemento esencial para mejorar la atención en salud y de enfermería.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Enfermería Actual de Costa Rica [Online].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San José,  n. 33, p. 73-87,  Dez. 2017. Disponível em: &lt;http://www.scielo.sa.cr/scielo.php?script=sci_arttext&amp;pid=S1409-45682017000200073&amp;lng=en&amp;nrm=iso&gt;. Acesso 28 Jun 2020.</w:t>
      </w:r>
    </w:p>
    <w:p w:rsidR="00000000" w:rsidDel="00000000" w:rsidP="00000000" w:rsidRDefault="00000000" w:rsidRPr="00000000" w14:paraId="0000001A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before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even"/>
      <w:pgSz w:h="16838" w:w="11906"/>
      <w:pgMar w:bottom="1134" w:top="1701" w:left="1701" w:right="1134" w:header="708.6614173228347" w:footer="708.661417322834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-2641599</wp:posOffset>
              </wp:positionH>
              <wp:positionV relativeFrom="paragraph">
                <wp:posOffset>152400</wp:posOffset>
              </wp:positionV>
              <wp:extent cx="9113521" cy="666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803527" y="3760950"/>
                        <a:ext cx="9084946" cy="3810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5595C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-2641599</wp:posOffset>
              </wp:positionH>
              <wp:positionV relativeFrom="paragraph">
                <wp:posOffset>152400</wp:posOffset>
              </wp:positionV>
              <wp:extent cx="9113521" cy="666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13521" cy="6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before="0" w:line="261" w:lineRule="auto"/>
      <w:ind w:right="0"/>
      <w:jc w:val="center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  <w:rtl w:val="0"/>
      </w:rPr>
      <w:t xml:space="preserve">Av. da Universidade, s/n – Dom Afonso Felipe Gregory – Imperatriz – MA - CEP 65.915-240 CNPJ: 06.279.103/0001-19 | Telefone: (99) 3529-6062</w:t>
    </w:r>
  </w:p>
  <w:p w:rsidR="00000000" w:rsidDel="00000000" w:rsidP="00000000" w:rsidRDefault="00000000" w:rsidRPr="00000000" w14:paraId="00000026">
    <w:pPr>
      <w:spacing w:after="0" w:before="0" w:line="261" w:lineRule="auto"/>
      <w:ind w:right="0"/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  <w:rtl w:val="0"/>
      </w:rPr>
      <w:t xml:space="preserve">E-mail: seenf.ccsst@ufma.br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28310" cy="828310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pos="4252"/>
        <w:tab w:val="right" w:pos="8504"/>
      </w:tabs>
      <w:spacing w:after="0" w:before="0" w:line="240" w:lineRule="auto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828310" cy="828310"/>
          <wp:effectExtent b="0" l="0" r="0" 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581400" cy="1610045"/>
          <wp:effectExtent b="0" l="0" r="0" t="0"/>
          <wp:docPr descr="C:\Users\OK\Desktop\Daniel\SENF\Logo Completa Degradê PNG.png" id="4" name="image4.png"/>
          <a:graphic>
            <a:graphicData uri="http://schemas.openxmlformats.org/drawingml/2006/picture">
              <pic:pic>
                <pic:nvPicPr>
                  <pic:cNvPr descr="C:\Users\OK\Desktop\Daniel\SENF\Logo Completa Degradê PNG.pn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44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periodicos.ufsm.br/reufsm/article/view/17945/pdf_1" TargetMode="External"/><Relationship Id="rId7" Type="http://schemas.openxmlformats.org/officeDocument/2006/relationships/hyperlink" Target="http://docs.bvsalud.org/biblioref/2018/11/948421/percepcoes-de-urgencia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