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before="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Eixo Temático: </w:t>
      </w:r>
      <w:r w:rsidDel="00000000" w:rsidR="00000000" w:rsidRPr="00000000">
        <w:rPr>
          <w:rFonts w:ascii="Times New Roman" w:cs="Times New Roman" w:eastAsia="Times New Roman" w:hAnsi="Times New Roman"/>
          <w:rtl w:val="0"/>
        </w:rPr>
        <w:t xml:space="preserve">Interdisciplinaridade no Enfrentamento a COVID-19</w:t>
      </w:r>
    </w:p>
    <w:p w:rsidR="00000000" w:rsidDel="00000000" w:rsidP="00000000" w:rsidRDefault="00000000" w:rsidRPr="00000000" w14:paraId="00000003">
      <w:pPr>
        <w:spacing w:after="0" w:before="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before="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ROMPENDO O SILÊNCIO: O RISCO DE VIOLÊNCIA CONTRA A CRIANÇA FRENTE A PANDEMIA DA CO</w:t>
      </w:r>
      <w:r w:rsidDel="00000000" w:rsidR="00000000" w:rsidRPr="00000000">
        <w:rPr>
          <w:rFonts w:ascii="Times New Roman" w:cs="Times New Roman" w:eastAsia="Times New Roman" w:hAnsi="Times New Roman"/>
          <w:sz w:val="28"/>
          <w:szCs w:val="28"/>
          <w:rtl w:val="0"/>
        </w:rPr>
        <w:t xml:space="preserve">VID-19</w:t>
      </w:r>
      <w:r w:rsidDel="00000000" w:rsidR="00000000" w:rsidRPr="00000000">
        <w:rPr>
          <w:rtl w:val="0"/>
        </w:rPr>
      </w:r>
    </w:p>
    <w:p w:rsidR="00000000" w:rsidDel="00000000" w:rsidP="00000000" w:rsidRDefault="00000000" w:rsidRPr="00000000" w14:paraId="00000005">
      <w:pPr>
        <w:spacing w:after="0" w:before="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before="0" w:line="360" w:lineRule="auto"/>
        <w:jc w:val="right"/>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u w:val="single"/>
          <w:rtl w:val="0"/>
        </w:rPr>
        <w:t xml:space="preserve">Rita de Cássia Ramires da Silva</w:t>
      </w:r>
      <w:r w:rsidDel="00000000" w:rsidR="00000000" w:rsidRPr="00000000">
        <w:rPr>
          <w:rFonts w:ascii="Times New Roman" w:cs="Times New Roman" w:eastAsia="Times New Roman" w:hAnsi="Times New Roman"/>
          <w:sz w:val="28"/>
          <w:szCs w:val="28"/>
          <w:rtl w:val="0"/>
        </w:rPr>
        <w:t xml:space="preserve">; rita.silva@esenfar.ufal.br</w:t>
      </w:r>
      <w:r w:rsidDel="00000000" w:rsidR="00000000" w:rsidRPr="00000000">
        <w:rPr>
          <w:rFonts w:ascii="Times New Roman" w:cs="Times New Roman" w:eastAsia="Times New Roman" w:hAnsi="Times New Roman"/>
          <w:sz w:val="28"/>
          <w:szCs w:val="28"/>
          <w:u w:val="single"/>
          <w:vertAlign w:val="superscript"/>
          <w:rtl w:val="0"/>
        </w:rPr>
        <w:t xml:space="preserve">1</w:t>
      </w:r>
      <w:r w:rsidDel="00000000" w:rsidR="00000000" w:rsidRPr="00000000">
        <w:rPr>
          <w:rtl w:val="0"/>
        </w:rPr>
      </w:r>
    </w:p>
    <w:p w:rsidR="00000000" w:rsidDel="00000000" w:rsidP="00000000" w:rsidRDefault="00000000" w:rsidRPr="00000000" w14:paraId="00000007">
      <w:pPr>
        <w:spacing w:after="0" w:before="0" w:line="360" w:lineRule="auto"/>
        <w:jc w:val="right"/>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Adrielly Cristina de Lima Raimundo</w:t>
      </w:r>
      <w:r w:rsidDel="00000000" w:rsidR="00000000" w:rsidRPr="00000000">
        <w:rPr>
          <w:rFonts w:ascii="Times New Roman" w:cs="Times New Roman" w:eastAsia="Times New Roman" w:hAnsi="Times New Roman"/>
          <w:sz w:val="28"/>
          <w:szCs w:val="28"/>
          <w:vertAlign w:val="superscript"/>
          <w:rtl w:val="0"/>
        </w:rPr>
        <w:t xml:space="preserve">1</w:t>
      </w:r>
    </w:p>
    <w:p w:rsidR="00000000" w:rsidDel="00000000" w:rsidP="00000000" w:rsidRDefault="00000000" w:rsidRPr="00000000" w14:paraId="00000008">
      <w:pPr>
        <w:spacing w:after="0" w:before="0" w:line="360" w:lineRule="auto"/>
        <w:jc w:val="right"/>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Camila Thayná Oliveira dos Santos</w:t>
      </w:r>
      <w:r w:rsidDel="00000000" w:rsidR="00000000" w:rsidRPr="00000000">
        <w:rPr>
          <w:rFonts w:ascii="Times New Roman" w:cs="Times New Roman" w:eastAsia="Times New Roman" w:hAnsi="Times New Roman"/>
          <w:sz w:val="28"/>
          <w:szCs w:val="28"/>
          <w:vertAlign w:val="superscript"/>
          <w:rtl w:val="0"/>
        </w:rPr>
        <w:t xml:space="preserve">1</w:t>
      </w:r>
    </w:p>
    <w:p w:rsidR="00000000" w:rsidDel="00000000" w:rsidP="00000000" w:rsidRDefault="00000000" w:rsidRPr="00000000" w14:paraId="00000009">
      <w:pPr>
        <w:spacing w:after="0" w:before="0" w:line="360" w:lineRule="auto"/>
        <w:jc w:val="right"/>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Ana Carolina Santana Vieira</w:t>
      </w:r>
      <w:r w:rsidDel="00000000" w:rsidR="00000000" w:rsidRPr="00000000">
        <w:rPr>
          <w:rFonts w:ascii="Times New Roman" w:cs="Times New Roman" w:eastAsia="Times New Roman" w:hAnsi="Times New Roman"/>
          <w:sz w:val="28"/>
          <w:szCs w:val="28"/>
          <w:vertAlign w:val="superscript"/>
          <w:rtl w:val="0"/>
        </w:rPr>
        <w:t xml:space="preserve">2</w:t>
      </w:r>
    </w:p>
    <w:p w:rsidR="00000000" w:rsidDel="00000000" w:rsidP="00000000" w:rsidRDefault="00000000" w:rsidRPr="00000000" w14:paraId="0000000A">
      <w:pPr>
        <w:spacing w:after="0" w:before="0" w:line="360" w:lineRule="auto"/>
        <w:jc w:val="right"/>
        <w:rPr>
          <w:rFonts w:ascii="Times New Roman" w:cs="Times New Roman" w:eastAsia="Times New Roman" w:hAnsi="Times New Roman"/>
          <w:sz w:val="28"/>
          <w:szCs w:val="28"/>
          <w:vertAlign w:val="superscript"/>
        </w:rPr>
      </w:pPr>
      <w:r w:rsidDel="00000000" w:rsidR="00000000" w:rsidRPr="00000000">
        <w:rPr>
          <w:rtl w:val="0"/>
        </w:rPr>
      </w:r>
    </w:p>
    <w:p w:rsidR="00000000" w:rsidDel="00000000" w:rsidP="00000000" w:rsidRDefault="00000000" w:rsidRPr="00000000" w14:paraId="0000000B">
      <w:pPr>
        <w:spacing w:after="0" w:before="0" w:line="360" w:lineRule="auto"/>
        <w:jc w:val="right"/>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1. Discentes de Enfermagem da </w:t>
      </w:r>
      <w:r w:rsidDel="00000000" w:rsidR="00000000" w:rsidRPr="00000000">
        <w:rPr>
          <w:rFonts w:ascii="Times New Roman" w:cs="Times New Roman" w:eastAsia="Times New Roman" w:hAnsi="Times New Roman"/>
          <w:sz w:val="28"/>
          <w:szCs w:val="28"/>
          <w:rtl w:val="0"/>
        </w:rPr>
        <w:t xml:space="preserve">Universidade Federal de Alagoas; 2.Professora Adjunta da Universidade Federal de Alagoas</w:t>
      </w:r>
      <w:r w:rsidDel="00000000" w:rsidR="00000000" w:rsidRPr="00000000">
        <w:rPr>
          <w:rtl w:val="0"/>
        </w:rPr>
      </w:r>
    </w:p>
    <w:p w:rsidR="00000000" w:rsidDel="00000000" w:rsidP="00000000" w:rsidRDefault="00000000" w:rsidRPr="00000000" w14:paraId="0000000C">
      <w:pPr>
        <w:spacing w:after="0" w:before="0"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before="0" w:line="36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w:t>
      </w:r>
      <w:r w:rsidDel="00000000" w:rsidR="00000000" w:rsidRPr="00000000">
        <w:rPr>
          <w:rFonts w:ascii="Times New Roman" w:cs="Times New Roman" w:eastAsia="Times New Roman" w:hAnsi="Times New Roman"/>
          <w:b w:val="1"/>
          <w:rtl w:val="0"/>
        </w:rPr>
        <w:t xml:space="preserve">O</w:t>
      </w:r>
      <w:r w:rsidDel="00000000" w:rsidR="00000000" w:rsidRPr="00000000">
        <w:rPr>
          <w:rtl w:val="0"/>
        </w:rPr>
      </w:r>
    </w:p>
    <w:p w:rsidR="00000000" w:rsidDel="00000000" w:rsidP="00000000" w:rsidRDefault="00000000" w:rsidRPr="00000000" w14:paraId="0000000E">
      <w:pPr>
        <w:spacing w:after="0"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w:t>
      </w:r>
      <w:r w:rsidDel="00000000" w:rsidR="00000000" w:rsidRPr="00000000">
        <w:rPr>
          <w:rFonts w:ascii="Times New Roman" w:cs="Times New Roman" w:eastAsia="Times New Roman" w:hAnsi="Times New Roman"/>
          <w:rtl w:val="0"/>
        </w:rPr>
        <w:t xml:space="preserve">: A violência contra a criança é um fenômeno cultural, global, endêmico e de alta complexidade, sendo uma questão de saúde.</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No Brasil, entre 2011 e 2017, 219.717 casos de violência contra crianças foram notificados, um total de 25,5% do total de casos notificados avaliados, número que reforça a grande preocupação em proteger a infância.</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A proteção e o cuidado à criança e adolescente são validados pelo</w:t>
      </w:r>
      <w:r w:rsidDel="00000000" w:rsidR="00000000" w:rsidRPr="00000000">
        <w:rPr>
          <w:rFonts w:ascii="Times New Roman" w:cs="Times New Roman" w:eastAsia="Times New Roman" w:hAnsi="Times New Roman"/>
          <w:rtl w:val="0"/>
        </w:rPr>
        <w:t xml:space="preserve"> Estatuto da Criança e do Adolescente, sendo titulares de direitos e sujeitos que devem ser protegidos pelo Estado e por toda a sociedade. </w:t>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 Apesar disso, muitas crianças são expostas a diversos tipos de violência, principalmente dentro do contexto intrafamiliar</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e a pandemia, através do isolamento social, tem contribuído com essa realidade.</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Objetivo</w:t>
      </w:r>
      <w:r w:rsidDel="00000000" w:rsidR="00000000" w:rsidRPr="00000000">
        <w:rPr>
          <w:rFonts w:ascii="Times New Roman" w:cs="Times New Roman" w:eastAsia="Times New Roman" w:hAnsi="Times New Roman"/>
          <w:rtl w:val="0"/>
        </w:rPr>
        <w:t xml:space="preserve">: Avaliar os riscos de violência contra a criança durante a pandemia da</w:t>
      </w:r>
      <w:r w:rsidDel="00000000" w:rsidR="00000000" w:rsidRPr="00000000">
        <w:rPr>
          <w:rFonts w:ascii="Times New Roman" w:cs="Times New Roman" w:eastAsia="Times New Roman" w:hAnsi="Times New Roman"/>
          <w:rtl w:val="0"/>
        </w:rPr>
        <w:t xml:space="preserve"> COVID-19. </w:t>
      </w:r>
      <w:r w:rsidDel="00000000" w:rsidR="00000000" w:rsidRPr="00000000">
        <w:rPr>
          <w:rFonts w:ascii="Times New Roman" w:cs="Times New Roman" w:eastAsia="Times New Roman" w:hAnsi="Times New Roman"/>
          <w:b w:val="1"/>
          <w:rtl w:val="0"/>
        </w:rPr>
        <w:t xml:space="preserve">Material e métodos</w:t>
      </w:r>
      <w:r w:rsidDel="00000000" w:rsidR="00000000" w:rsidRPr="00000000">
        <w:rPr>
          <w:rFonts w:ascii="Times New Roman" w:cs="Times New Roman" w:eastAsia="Times New Roman" w:hAnsi="Times New Roman"/>
          <w:rtl w:val="0"/>
        </w:rPr>
        <w:t xml:space="preserve">: Estudo qualitativo, do tipo revisão narrativa de literatura, realizado em junho de 2020 por intermédio do descritor “maus tratos infantis”. Foram selecionados três artigos da base de dados SciELO, que tiveram como critérios de elegibilidade, o recorte temporal dos últimos cinco anos e estarem situados na temática da COVID-19. </w:t>
      </w:r>
      <w:r w:rsidDel="00000000" w:rsidR="00000000" w:rsidRPr="00000000">
        <w:rPr>
          <w:rFonts w:ascii="Times New Roman" w:cs="Times New Roman" w:eastAsia="Times New Roman" w:hAnsi="Times New Roman"/>
          <w:b w:val="1"/>
          <w:rtl w:val="0"/>
        </w:rPr>
        <w:t xml:space="preserve">Revisão de literatura</w:t>
      </w:r>
      <w:r w:rsidDel="00000000" w:rsidR="00000000" w:rsidRPr="00000000">
        <w:rPr>
          <w:rFonts w:ascii="Times New Roman" w:cs="Times New Roman" w:eastAsia="Times New Roman" w:hAnsi="Times New Roman"/>
          <w:rtl w:val="0"/>
        </w:rPr>
        <w:t xml:space="preserve">: O isolamento social, forte medida para prevenção e controle da disseminação da COVID-19, levou ao fechamento de diversos estabelecimentos de convívio coletivo e escolas, mantendo a criança no ambiente familiar.</w:t>
      </w:r>
      <w:r w:rsidDel="00000000" w:rsidR="00000000" w:rsidRPr="00000000">
        <w:rPr>
          <w:rFonts w:ascii="Times New Roman" w:cs="Times New Roman" w:eastAsia="Times New Roman" w:hAnsi="Times New Roman"/>
          <w:vertAlign w:val="superscript"/>
          <w:rtl w:val="0"/>
        </w:rPr>
        <w:t xml:space="preserve">(4) </w:t>
      </w:r>
      <w:r w:rsidDel="00000000" w:rsidR="00000000" w:rsidRPr="00000000">
        <w:rPr>
          <w:rFonts w:ascii="Times New Roman" w:cs="Times New Roman" w:eastAsia="Times New Roman" w:hAnsi="Times New Roman"/>
          <w:rtl w:val="0"/>
        </w:rPr>
        <w:t xml:space="preserve">Apesar de positiva e necessária, a medida colaborou para o aumento dos casos de violência contra crianças, principalmente de maneira intrafamiliar, deixando-as mais expostas e vulneráveis a seus agressores.</w:t>
      </w:r>
      <w:r w:rsidDel="00000000" w:rsidR="00000000" w:rsidRPr="00000000">
        <w:rPr>
          <w:rFonts w:ascii="Times New Roman" w:cs="Times New Roman" w:eastAsia="Times New Roman" w:hAnsi="Times New Roman"/>
          <w:vertAlign w:val="superscript"/>
          <w:rtl w:val="0"/>
        </w:rPr>
        <w:t xml:space="preserve">(2,4)</w:t>
      </w:r>
      <w:r w:rsidDel="00000000" w:rsidR="00000000" w:rsidRPr="00000000">
        <w:rPr>
          <w:rFonts w:ascii="Times New Roman" w:cs="Times New Roman" w:eastAsia="Times New Roman" w:hAnsi="Times New Roman"/>
          <w:rtl w:val="0"/>
        </w:rPr>
        <w:t xml:space="preserve"> Dessa forma, muitas estão sujeitas a casos de violência sexual, física e psicológica, sendo impossibilitadas de se defenderem e de saírem desse ciclo, tanto em razão da sua imaturidade para denunciar, quanto por estarem privadas do contato com profissionais da educação, saúde ou outros membros da família.</w:t>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 violência sexual também </w:t>
      </w:r>
      <w:r w:rsidDel="00000000" w:rsidR="00000000" w:rsidRPr="00000000">
        <w:rPr>
          <w:rFonts w:ascii="Times New Roman" w:cs="Times New Roman" w:eastAsia="Times New Roman" w:hAnsi="Times New Roman"/>
          <w:rtl w:val="0"/>
        </w:rPr>
        <w:t xml:space="preserve">ocorre virtualmente, estando vulneráveis à pornografia e aliciadores virtuais quando seu acesso não é fiscalizado por seus cuidadores.</w:t>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 Além disso, mesmo no contexto de auxílio </w:t>
      </w:r>
      <w:r w:rsidDel="00000000" w:rsidR="00000000" w:rsidRPr="00000000">
        <w:rPr>
          <w:rFonts w:ascii="Times New Roman" w:cs="Times New Roman" w:eastAsia="Times New Roman" w:hAnsi="Times New Roman"/>
          <w:rtl w:val="0"/>
        </w:rPr>
        <w:t xml:space="preserve">financeiro</w:t>
      </w:r>
      <w:r w:rsidDel="00000000" w:rsidR="00000000" w:rsidRPr="00000000">
        <w:rPr>
          <w:rFonts w:ascii="Times New Roman" w:cs="Times New Roman" w:eastAsia="Times New Roman" w:hAnsi="Times New Roman"/>
          <w:rtl w:val="0"/>
        </w:rPr>
        <w:t xml:space="preserve"> pelo Estado, muitas crianças permanecem expostas à violência institucional, sendo privadas das necessidades humanas básicas, recorrendo ao trabalho infantil ou sendo exploradas para complementar a renda familiar; a ausência da fiscalização eficaz e do cuidado lado a lado contribuem para essa realidade.</w:t>
      </w:r>
      <w:r w:rsidDel="00000000" w:rsidR="00000000" w:rsidRPr="00000000">
        <w:rPr>
          <w:rFonts w:ascii="Times New Roman" w:cs="Times New Roman" w:eastAsia="Times New Roman" w:hAnsi="Times New Roman"/>
          <w:vertAlign w:val="superscript"/>
          <w:rtl w:val="0"/>
        </w:rPr>
        <w:t xml:space="preserve">(4,5)</w:t>
      </w:r>
      <w:r w:rsidDel="00000000" w:rsidR="00000000" w:rsidRPr="00000000">
        <w:rPr>
          <w:rFonts w:ascii="Times New Roman" w:cs="Times New Roman" w:eastAsia="Times New Roman" w:hAnsi="Times New Roman"/>
          <w:rtl w:val="0"/>
        </w:rPr>
        <w:t xml:space="preserve"> Todas essas situações são agravantes que interferem no desenvolvimento das crianças, impossibilitando-o de ocorrer de maneira sadia e contribuindo para o surgimento de comorbidades na vida adulta. É dever do Estado e de toda a sociedade adotar e validar medidas de suporte à esse contexto, incentivando a criança a se conhecer e compreender quando estão expostas à casos de violência, garantindo sua defesa.</w:t>
      </w:r>
      <w:r w:rsidDel="00000000" w:rsidR="00000000" w:rsidRPr="00000000">
        <w:rPr>
          <w:rFonts w:ascii="Times New Roman" w:cs="Times New Roman" w:eastAsia="Times New Roman" w:hAnsi="Times New Roman"/>
          <w:vertAlign w:val="superscript"/>
          <w:rtl w:val="0"/>
        </w:rPr>
        <w:t xml:space="preserve">(1,3,4,5)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Considerações finais</w:t>
      </w:r>
      <w:r w:rsidDel="00000000" w:rsidR="00000000" w:rsidRPr="00000000">
        <w:rPr>
          <w:rFonts w:ascii="Times New Roman" w:cs="Times New Roman" w:eastAsia="Times New Roman" w:hAnsi="Times New Roman"/>
          <w:rtl w:val="0"/>
        </w:rPr>
        <w:t xml:space="preserve">: A pandemia atual e a fragilidade das medidas protetivas à criança colaboram para o cenário de violência a que ela pode vivenciar, causando efeitos em todo o seu desenvolvimento. Sendo o cuidado da criança dever do Estado e de todos, medidas de vigilância e protetivas devem ser tomadas constantemente.</w:t>
      </w:r>
    </w:p>
    <w:p w:rsidR="00000000" w:rsidDel="00000000" w:rsidP="00000000" w:rsidRDefault="00000000" w:rsidRPr="00000000" w14:paraId="0000000F">
      <w:pPr>
        <w:spacing w:after="0" w:before="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after="0" w:before="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Descritores: </w:t>
      </w:r>
      <w:r w:rsidDel="00000000" w:rsidR="00000000" w:rsidRPr="00000000">
        <w:rPr>
          <w:rFonts w:ascii="Times New Roman" w:cs="Times New Roman" w:eastAsia="Times New Roman" w:hAnsi="Times New Roman"/>
          <w:rtl w:val="0"/>
        </w:rPr>
        <w:t xml:space="preserve">Maus tratos infantis; Violência doméstica; COVID-19. </w:t>
      </w:r>
    </w:p>
    <w:p w:rsidR="00000000" w:rsidDel="00000000" w:rsidP="00000000" w:rsidRDefault="00000000" w:rsidRPr="00000000" w14:paraId="00000011">
      <w:pPr>
        <w:spacing w:after="0" w:before="0"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before="0" w:line="36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w:t>
      </w:r>
    </w:p>
    <w:p w:rsidR="00000000" w:rsidDel="00000000" w:rsidP="00000000" w:rsidRDefault="00000000" w:rsidRPr="00000000" w14:paraId="00000013">
      <w:pPr>
        <w:spacing w:after="0" w:before="0" w:line="240" w:lineRule="auto"/>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w:t>
      </w:r>
      <w:r w:rsidDel="00000000" w:rsidR="00000000" w:rsidRPr="00000000">
        <w:rPr>
          <w:rFonts w:ascii="Times New Roman" w:cs="Times New Roman" w:eastAsia="Times New Roman" w:hAnsi="Times New Roman"/>
          <w:highlight w:val="white"/>
          <w:rtl w:val="0"/>
        </w:rPr>
        <w:t xml:space="preserve">NUNES, Antonio Jakeulmo; SALES, Magda Coeli Vitorino. Violência contra crianças no cenário brasileiro. </w:t>
      </w:r>
      <w:r w:rsidDel="00000000" w:rsidR="00000000" w:rsidRPr="00000000">
        <w:rPr>
          <w:rFonts w:ascii="Times New Roman" w:cs="Times New Roman" w:eastAsia="Times New Roman" w:hAnsi="Times New Roman"/>
          <w:b w:val="1"/>
          <w:highlight w:val="white"/>
          <w:rtl w:val="0"/>
        </w:rPr>
        <w:t xml:space="preserve">Ciencia &amp; saude coletiva</w:t>
      </w:r>
      <w:r w:rsidDel="00000000" w:rsidR="00000000" w:rsidRPr="00000000">
        <w:rPr>
          <w:rFonts w:ascii="Times New Roman" w:cs="Times New Roman" w:eastAsia="Times New Roman" w:hAnsi="Times New Roman"/>
          <w:highlight w:val="white"/>
          <w:rtl w:val="0"/>
        </w:rPr>
        <w:t xml:space="preserve">, v. 21, p. 871-880, 2016. Disponível em: &lt;https://www.scielosp.org/article/csc/2016.v21n3/871-880/es/&gt;. Acesso em 26 jun 2020.</w:t>
      </w:r>
    </w:p>
    <w:p w:rsidR="00000000" w:rsidDel="00000000" w:rsidP="00000000" w:rsidRDefault="00000000" w:rsidRPr="00000000" w14:paraId="00000014">
      <w:pPr>
        <w:spacing w:after="0" w:before="0" w:line="240" w:lineRule="auto"/>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spacing w:after="0" w:before="0" w:line="240" w:lineRule="auto"/>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 BRASIL. Ministério da Saúde. Secretaria de Vigilância em Saúde. Análise epidemiológica da violência sexual contra crianças e adolescentes no Brasil, 2011 a 2017. </w:t>
      </w:r>
      <w:r w:rsidDel="00000000" w:rsidR="00000000" w:rsidRPr="00000000">
        <w:rPr>
          <w:rFonts w:ascii="Times New Roman" w:cs="Times New Roman" w:eastAsia="Times New Roman" w:hAnsi="Times New Roman"/>
          <w:b w:val="1"/>
          <w:highlight w:val="white"/>
          <w:rtl w:val="0"/>
        </w:rPr>
        <w:t xml:space="preserve">Bol Epidemiol</w:t>
      </w:r>
      <w:r w:rsidDel="00000000" w:rsidR="00000000" w:rsidRPr="00000000">
        <w:rPr>
          <w:rFonts w:ascii="Times New Roman" w:cs="Times New Roman" w:eastAsia="Times New Roman" w:hAnsi="Times New Roman"/>
          <w:highlight w:val="white"/>
          <w:rtl w:val="0"/>
        </w:rPr>
        <w:t xml:space="preserve">, v. 49, n. 27, 2018. Disponível em: &lt;</w:t>
      </w:r>
      <w:hyperlink r:id="rId7">
        <w:r w:rsidDel="00000000" w:rsidR="00000000" w:rsidRPr="00000000">
          <w:rPr>
            <w:rFonts w:ascii="Times New Roman" w:cs="Times New Roman" w:eastAsia="Times New Roman" w:hAnsi="Times New Roman"/>
            <w:highlight w:val="white"/>
            <w:u w:val="single"/>
            <w:rtl w:val="0"/>
          </w:rPr>
          <w:t xml:space="preserve">https://www.saude.gov.br/images/pdf/2018/junho/25/2018-024.pdf</w:t>
        </w:r>
      </w:hyperlink>
      <w:r w:rsidDel="00000000" w:rsidR="00000000" w:rsidRPr="00000000">
        <w:rPr>
          <w:rFonts w:ascii="Times New Roman" w:cs="Times New Roman" w:eastAsia="Times New Roman" w:hAnsi="Times New Roman"/>
          <w:highlight w:val="white"/>
          <w:rtl w:val="0"/>
        </w:rPr>
        <w:t xml:space="preserve">&gt;. Acesso em 26 jun 2020.</w:t>
      </w:r>
      <w:r w:rsidDel="00000000" w:rsidR="00000000" w:rsidRPr="00000000">
        <w:rPr>
          <w:rtl w:val="0"/>
        </w:rPr>
      </w:r>
    </w:p>
    <w:p w:rsidR="00000000" w:rsidDel="00000000" w:rsidP="00000000" w:rsidRDefault="00000000" w:rsidRPr="00000000" w14:paraId="00000016">
      <w:pPr>
        <w:spacing w:after="0" w:before="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highlight w:val="white"/>
          <w:rtl w:val="0"/>
        </w:rPr>
        <w:t xml:space="preserve">FERREIRA, Cleiciara Lúcia Silva; CÔRTES, Maria Conceição J. Werneck; GONTIJO, Eliane Dias. Promoção dos direitos da criança e prevenção de maus tratos infantis. </w:t>
      </w:r>
      <w:r w:rsidDel="00000000" w:rsidR="00000000" w:rsidRPr="00000000">
        <w:rPr>
          <w:rFonts w:ascii="Times New Roman" w:cs="Times New Roman" w:eastAsia="Times New Roman" w:hAnsi="Times New Roman"/>
          <w:b w:val="1"/>
          <w:highlight w:val="white"/>
          <w:rtl w:val="0"/>
        </w:rPr>
        <w:t xml:space="preserve">Ciência &amp; Saúde Coletiva</w:t>
      </w:r>
      <w:r w:rsidDel="00000000" w:rsidR="00000000" w:rsidRPr="00000000">
        <w:rPr>
          <w:rFonts w:ascii="Times New Roman" w:cs="Times New Roman" w:eastAsia="Times New Roman" w:hAnsi="Times New Roman"/>
          <w:highlight w:val="white"/>
          <w:rtl w:val="0"/>
        </w:rPr>
        <w:t xml:space="preserve">, v. 24, p. 3997-4008, 2019. Disponível em: &lt;https://www.scielosp.org/article/csc/2019.v24n11/3997-4008/pt/&gt;. Acesso em 26 jun 2020.</w:t>
      </w:r>
      <w:r w:rsidDel="00000000" w:rsidR="00000000" w:rsidRPr="00000000">
        <w:rPr>
          <w:rtl w:val="0"/>
        </w:rPr>
      </w:r>
    </w:p>
    <w:p w:rsidR="00000000" w:rsidDel="00000000" w:rsidP="00000000" w:rsidRDefault="00000000" w:rsidRPr="00000000" w14:paraId="00000018">
      <w:pPr>
        <w:spacing w:after="0" w:before="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before="0" w:line="240" w:lineRule="auto"/>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4. </w:t>
      </w:r>
      <w:r w:rsidDel="00000000" w:rsidR="00000000" w:rsidRPr="00000000">
        <w:rPr>
          <w:rFonts w:ascii="Times New Roman" w:cs="Times New Roman" w:eastAsia="Times New Roman" w:hAnsi="Times New Roman"/>
          <w:highlight w:val="white"/>
          <w:rtl w:val="0"/>
        </w:rPr>
        <w:t xml:space="preserve">MARQUES, Emanuele Souza et al. A violência contra mulheres, crianças e adolescentes em tempos de pandemia pela COVID-19: panorama, motivações e formas de enfrentamento. </w:t>
      </w:r>
      <w:r w:rsidDel="00000000" w:rsidR="00000000" w:rsidRPr="00000000">
        <w:rPr>
          <w:rFonts w:ascii="Times New Roman" w:cs="Times New Roman" w:eastAsia="Times New Roman" w:hAnsi="Times New Roman"/>
          <w:b w:val="1"/>
          <w:highlight w:val="white"/>
          <w:rtl w:val="0"/>
        </w:rPr>
        <w:t xml:space="preserve">Cadernos de Saúde Pública</w:t>
      </w:r>
      <w:r w:rsidDel="00000000" w:rsidR="00000000" w:rsidRPr="00000000">
        <w:rPr>
          <w:rFonts w:ascii="Times New Roman" w:cs="Times New Roman" w:eastAsia="Times New Roman" w:hAnsi="Times New Roman"/>
          <w:highlight w:val="white"/>
          <w:rtl w:val="0"/>
        </w:rPr>
        <w:t xml:space="preserve">, v. 36, p. e00074420, 2020. Disponível em: &lt;</w:t>
      </w:r>
      <w:hyperlink r:id="rId8">
        <w:r w:rsidDel="00000000" w:rsidR="00000000" w:rsidRPr="00000000">
          <w:rPr>
            <w:rFonts w:ascii="Times New Roman" w:cs="Times New Roman" w:eastAsia="Times New Roman" w:hAnsi="Times New Roman"/>
            <w:highlight w:val="white"/>
            <w:u w:val="single"/>
            <w:rtl w:val="0"/>
          </w:rPr>
          <w:t xml:space="preserve">https://www.scielosp.org/article/csp/2020.v36n4/e00074420/</w:t>
        </w:r>
      </w:hyperlink>
      <w:r w:rsidDel="00000000" w:rsidR="00000000" w:rsidRPr="00000000">
        <w:rPr>
          <w:rFonts w:ascii="Times New Roman" w:cs="Times New Roman" w:eastAsia="Times New Roman" w:hAnsi="Times New Roman"/>
          <w:highlight w:val="white"/>
          <w:rtl w:val="0"/>
        </w:rPr>
        <w:t xml:space="preserve">&gt; Acesso em 26 jun 2020</w:t>
      </w:r>
    </w:p>
    <w:p w:rsidR="00000000" w:rsidDel="00000000" w:rsidP="00000000" w:rsidRDefault="00000000" w:rsidRPr="00000000" w14:paraId="0000001A">
      <w:pPr>
        <w:spacing w:after="0" w:before="0" w:line="240" w:lineRule="auto"/>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B">
      <w:pPr>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HINO, Paula et al. As interfaces das dimensões da vulnerabilidade face à violência contra a criança. </w:t>
      </w:r>
      <w:r w:rsidDel="00000000" w:rsidR="00000000" w:rsidRPr="00000000">
        <w:rPr>
          <w:rFonts w:ascii="Times New Roman" w:cs="Times New Roman" w:eastAsia="Times New Roman" w:hAnsi="Times New Roman"/>
          <w:b w:val="1"/>
          <w:highlight w:val="white"/>
          <w:rtl w:val="0"/>
        </w:rPr>
        <w:t xml:space="preserve">Revista Brasileira de Enfermagem</w:t>
      </w:r>
      <w:r w:rsidDel="00000000" w:rsidR="00000000" w:rsidRPr="00000000">
        <w:rPr>
          <w:rFonts w:ascii="Times New Roman" w:cs="Times New Roman" w:eastAsia="Times New Roman" w:hAnsi="Times New Roman"/>
          <w:highlight w:val="white"/>
          <w:rtl w:val="0"/>
        </w:rPr>
        <w:t xml:space="preserve">, v. 72, p. 343-347, 2019. Disponível em: &lt;https://www.scielo.br/scielo.php?pid=S0034-71672019000900343&amp;script=sci_arttext&amp;tlng=pt&gt;. Acesso em 26 jun 2020.</w:t>
      </w:r>
      <w:r w:rsidDel="00000000" w:rsidR="00000000" w:rsidRPr="00000000">
        <w:rPr>
          <w:rtl w:val="0"/>
        </w:rPr>
      </w:r>
    </w:p>
    <w:sectPr>
      <w:headerReference r:id="rId9" w:type="default"/>
      <w:headerReference r:id="rId10" w:type="first"/>
      <w:headerReference r:id="rId11" w:type="even"/>
      <w:footerReference r:id="rId12" w:type="default"/>
      <w:pgSz w:h="16838" w:w="11906"/>
      <w:pgMar w:bottom="1134" w:top="1701" w:left="1701"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-2641599</wp:posOffset>
              </wp:positionH>
              <wp:positionV relativeFrom="paragraph">
                <wp:posOffset>152400</wp:posOffset>
              </wp:positionV>
              <wp:extent cx="9113521" cy="66675"/>
              <wp:effectExtent b="0" l="0" r="0" t="0"/>
              <wp:wrapNone/>
              <wp:docPr id="4" name=""/>
              <a:graphic>
                <a:graphicData uri="http://schemas.microsoft.com/office/word/2010/wordprocessingShape">
                  <wps:wsp>
                    <wps:cNvCnPr/>
                    <wps:spPr>
                      <a:xfrm flipH="1" rot="10800000">
                        <a:off x="803527" y="3760950"/>
                        <a:ext cx="9084946" cy="38100"/>
                      </a:xfrm>
                      <a:prstGeom prst="straightConnector1">
                        <a:avLst/>
                      </a:prstGeom>
                      <a:noFill/>
                      <a:ln cap="flat" cmpd="sng" w="28575">
                        <a:solidFill>
                          <a:srgbClr val="15595C"/>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-2641599</wp:posOffset>
              </wp:positionH>
              <wp:positionV relativeFrom="paragraph">
                <wp:posOffset>152400</wp:posOffset>
              </wp:positionV>
              <wp:extent cx="9113521" cy="66675"/>
              <wp:effectExtent b="0" l="0" r="0" t="0"/>
              <wp:wrapNone/>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113521" cy="66675"/>
                      </a:xfrm>
                      <a:prstGeom prst="rect"/>
                      <a:ln/>
                    </pic:spPr>
                  </pic:pic>
                </a:graphicData>
              </a:graphic>
            </wp:anchor>
          </w:drawing>
        </mc:Fallback>
      </mc:AlternateConten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1">
    <w:pPr>
      <w:spacing w:after="0" w:before="0" w:line="261" w:lineRule="auto"/>
      <w:ind w:right="0"/>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Av. da Universidade, s/n – Dom Afonso Felipe Gregory – Imperatriz – MA - CEP 65.915-240 CNPJ: 06.279.103/0001-19 | Telefone: (99) 3529-6062</w:t>
    </w:r>
  </w:p>
  <w:p w:rsidR="00000000" w:rsidDel="00000000" w:rsidP="00000000" w:rsidRDefault="00000000" w:rsidRPr="00000000" w14:paraId="00000022">
    <w:pPr>
      <w:spacing w:after="0" w:before="0" w:line="261" w:lineRule="auto"/>
      <w:ind w:right="0"/>
      <w:jc w:val="center"/>
      <w:rPr>
        <w:rFonts w:ascii="Helvetica Neue" w:cs="Helvetica Neue" w:eastAsia="Helvetica Neue" w:hAnsi="Helvetica Neue"/>
      </w:rPr>
    </w:pPr>
    <w:r w:rsidDel="00000000" w:rsidR="00000000" w:rsidRPr="00000000">
      <w:rPr>
        <w:rFonts w:ascii="Helvetica Neue" w:cs="Helvetica Neue" w:eastAsia="Helvetica Neue" w:hAnsi="Helvetica Neue"/>
        <w:sz w:val="22"/>
        <w:szCs w:val="22"/>
        <w:rtl w:val="0"/>
      </w:rPr>
      <w:t xml:space="preserve">E-mail: seenf.ccsst@ufma.br</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828310" cy="82831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28310" cy="82831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3581400" cy="1610045"/>
          <wp:effectExtent b="0" l="0" r="0" t="0"/>
          <wp:docPr descr="C:\Users\OK\Desktop\Daniel\SENF\Logo Completa Degradê PNG.png" id="6" name="image2.png"/>
          <a:graphic>
            <a:graphicData uri="http://schemas.openxmlformats.org/drawingml/2006/picture">
              <pic:pic>
                <pic:nvPicPr>
                  <pic:cNvPr descr="C:\Users\OK\Desktop\Daniel\SENF\Logo Completa Degradê PNG.png" id="0" name="image2.png"/>
                  <pic:cNvPicPr preferRelativeResize="0"/>
                </pic:nvPicPr>
                <pic:blipFill>
                  <a:blip r:embed="rId1"/>
                  <a:srcRect b="0" l="0" r="0" t="0"/>
                  <a:stretch>
                    <a:fillRect/>
                  </a:stretch>
                </pic:blipFill>
                <pic:spPr>
                  <a:xfrm>
                    <a:off x="0" y="0"/>
                    <a:ext cx="3581400" cy="16100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after="440" w:before="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9396B"/>
    <w:pPr>
      <w:spacing w:after="440" w:before="240"/>
      <w:jc w:val="both"/>
    </w:pPr>
    <w:rPr>
      <w:rFonts w:ascii="Arial" w:hAnsi="Arial"/>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balo">
    <w:name w:val="Balloon Text"/>
    <w:basedOn w:val="Normal"/>
    <w:link w:val="TextodebaloChar"/>
    <w:uiPriority w:val="99"/>
    <w:semiHidden w:val="1"/>
    <w:unhideWhenUsed w:val="1"/>
    <w:rsid w:val="00054686"/>
    <w:pPr>
      <w:spacing w:after="0" w:before="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054686"/>
    <w:rPr>
      <w:rFonts w:ascii="Tahoma" w:cs="Tahoma" w:hAnsi="Tahoma"/>
      <w:sz w:val="16"/>
      <w:szCs w:val="16"/>
    </w:rPr>
  </w:style>
  <w:style w:type="paragraph" w:styleId="Cabealho">
    <w:name w:val="header"/>
    <w:basedOn w:val="Normal"/>
    <w:link w:val="CabealhoChar"/>
    <w:uiPriority w:val="99"/>
    <w:unhideWhenUsed w:val="1"/>
    <w:rsid w:val="00054686"/>
    <w:pPr>
      <w:tabs>
        <w:tab w:val="center" w:pos="4252"/>
        <w:tab w:val="right" w:pos="8504"/>
      </w:tabs>
      <w:spacing w:after="0" w:before="0" w:line="240" w:lineRule="auto"/>
    </w:pPr>
  </w:style>
  <w:style w:type="character" w:styleId="CabealhoChar" w:customStyle="1">
    <w:name w:val="Cabeçalho Char"/>
    <w:basedOn w:val="Fontepargpadro"/>
    <w:link w:val="Cabealho"/>
    <w:uiPriority w:val="99"/>
    <w:rsid w:val="00054686"/>
    <w:rPr>
      <w:rFonts w:ascii="Arial" w:hAnsi="Arial"/>
      <w:sz w:val="24"/>
    </w:rPr>
  </w:style>
  <w:style w:type="paragraph" w:styleId="Rodap">
    <w:name w:val="footer"/>
    <w:basedOn w:val="Normal"/>
    <w:link w:val="RodapChar"/>
    <w:uiPriority w:val="99"/>
    <w:unhideWhenUsed w:val="1"/>
    <w:rsid w:val="00054686"/>
    <w:pPr>
      <w:tabs>
        <w:tab w:val="center" w:pos="4252"/>
        <w:tab w:val="right" w:pos="8504"/>
      </w:tabs>
      <w:spacing w:after="0" w:before="0" w:line="240" w:lineRule="auto"/>
    </w:pPr>
  </w:style>
  <w:style w:type="character" w:styleId="RodapChar" w:customStyle="1">
    <w:name w:val="Rodapé Char"/>
    <w:basedOn w:val="Fontepargpadro"/>
    <w:link w:val="Rodap"/>
    <w:uiPriority w:val="99"/>
    <w:rsid w:val="00054686"/>
    <w:rPr>
      <w:rFonts w:ascii="Arial" w:hAnsi="Arial"/>
      <w:sz w:val="24"/>
    </w:rPr>
  </w:style>
  <w:style w:type="paragraph" w:styleId="PargrafodaLista">
    <w:name w:val="List Paragraph"/>
    <w:basedOn w:val="Normal"/>
    <w:uiPriority w:val="34"/>
    <w:qFormat w:val="1"/>
    <w:rsid w:val="0070071B"/>
    <w:pPr>
      <w:ind w:left="720"/>
      <w:contextualSpacing w:val="1"/>
    </w:pPr>
  </w:style>
  <w:style w:type="paragraph" w:styleId="Corpodetexto">
    <w:name w:val="Body Text"/>
    <w:basedOn w:val="Normal"/>
    <w:link w:val="CorpodetextoChar"/>
    <w:uiPriority w:val="1"/>
    <w:qFormat w:val="1"/>
    <w:rsid w:val="00330594"/>
    <w:pPr>
      <w:widowControl w:val="0"/>
      <w:autoSpaceDE w:val="0"/>
      <w:autoSpaceDN w:val="0"/>
      <w:spacing w:after="0" w:before="0" w:line="240" w:lineRule="auto"/>
      <w:jc w:val="left"/>
    </w:pPr>
    <w:rPr>
      <w:rFonts w:cs="Arial" w:eastAsia="Arial"/>
      <w:sz w:val="23"/>
      <w:szCs w:val="23"/>
      <w:lang w:bidi="pt-PT" w:eastAsia="pt-PT" w:val="pt-PT"/>
    </w:rPr>
  </w:style>
  <w:style w:type="character" w:styleId="CorpodetextoChar" w:customStyle="1">
    <w:name w:val="Corpo de texto Char"/>
    <w:basedOn w:val="Fontepargpadro"/>
    <w:link w:val="Corpodetexto"/>
    <w:uiPriority w:val="1"/>
    <w:rsid w:val="00330594"/>
    <w:rPr>
      <w:rFonts w:ascii="Arial" w:cs="Arial" w:eastAsia="Arial" w:hAnsi="Arial"/>
      <w:sz w:val="23"/>
      <w:szCs w:val="23"/>
      <w:lang w:bidi="pt-PT" w:eastAsia="pt-PT" w:val="pt-PT"/>
    </w:rPr>
  </w:style>
  <w:style w:type="character" w:styleId="TextodoEspaoReservado">
    <w:name w:val="Placeholder Text"/>
    <w:basedOn w:val="Fontepargpadro"/>
    <w:uiPriority w:val="99"/>
    <w:semiHidden w:val="1"/>
    <w:rsid w:val="001D4667"/>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3.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ude.gov.br/images/pdf/2018/junho/25/2018-024.pdf" TargetMode="External"/><Relationship Id="rId8" Type="http://schemas.openxmlformats.org/officeDocument/2006/relationships/hyperlink" Target="https://www.scielosp.org/article/csp/2020.v36n4/e000744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1c9POobOL32nOSifmVjCh2NZjA==">AMUW2mWW/QFFOdgAyN1pAlxfKr7GNtPDSd0QCKAxh5WeTwoPLkmj5F79bx2UXktZRVPwj/O+s77NwNbWX2x+BVIaTy1e6AFY83E9IzdV/8G8xcbXGuTwfMI=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2020-06-12T01:11:00Z</dcterms:created>
  <dc:creator>OK</dc:creator>
</cp:coreProperties>
</file>