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4C8" w:rsidRDefault="002224C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24C8" w:rsidRDefault="002224C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24C8" w:rsidRDefault="0057188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“BEAUTY &amp;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SAFE!”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: CONSTRUÇÃO DE UM JOGO EDUCATIVO DE BIOSSEGURANÇA PARA ALUNOS DE ESTÉTICA E COSMÉTICA</w:t>
      </w:r>
    </w:p>
    <w:p w:rsidR="002224C8" w:rsidRDefault="002224C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224C8" w:rsidRDefault="0057188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Evilania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Cordeiro Chaves</w:t>
      </w:r>
    </w:p>
    <w:p w:rsidR="002224C8" w:rsidRDefault="0057188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Lucas Gabriel Nunes Andrade</w:t>
      </w:r>
    </w:p>
    <w:p w:rsidR="002224C8" w:rsidRDefault="0057188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 New Roman" w:eastAsia="Times New Roman" w:hAnsi="Times New Roman" w:cs="Times New Roman"/>
          <w:i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</w:rPr>
        <w:t>Ádamo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 de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Figueiredo Nogueira Mesquita</w:t>
      </w:r>
    </w:p>
    <w:p w:rsidR="002224C8" w:rsidRDefault="0057188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João Jaime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Giffoni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Leite</w:t>
      </w:r>
    </w:p>
    <w:p w:rsidR="002224C8" w:rsidRDefault="0057188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Título da Sessão Temática: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</w:rPr>
        <w:t>Processo do cuidar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2224C8" w:rsidRDefault="0057188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Evento: VII Encontro de Iniciação à pesquisa</w:t>
      </w:r>
    </w:p>
    <w:p w:rsidR="002224C8" w:rsidRDefault="002224C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 New Roman" w:eastAsia="Times New Roman" w:hAnsi="Times New Roman" w:cs="Times New Roman"/>
          <w:color w:val="000000"/>
        </w:rPr>
      </w:pPr>
      <w:bookmarkStart w:id="0" w:name="gjdgxs" w:colFirst="0" w:colLast="0"/>
      <w:bookmarkEnd w:id="0"/>
    </w:p>
    <w:p w:rsidR="002224C8" w:rsidRDefault="00571881">
      <w:pPr>
        <w:pBdr>
          <w:top w:val="single" w:sz="8" w:space="0" w:color="800000"/>
          <w:left w:val="single" w:sz="8" w:space="1" w:color="800000"/>
          <w:bottom w:val="single" w:sz="8" w:space="1" w:color="800000"/>
          <w:right w:val="single" w:sz="8" w:space="1" w:color="800000"/>
          <w:between w:val="nil"/>
        </w:pBdr>
        <w:shd w:val="clear" w:color="auto" w:fill="323E4F"/>
        <w:spacing w:before="200" w:after="120" w:line="288" w:lineRule="auto"/>
        <w:rPr>
          <w:rFonts w:ascii="Times New Roman" w:eastAsia="Times New Roman" w:hAnsi="Times New Roman" w:cs="Times New Roman"/>
          <w:color w:val="FFFFFF"/>
        </w:rPr>
      </w:pPr>
      <w:r>
        <w:rPr>
          <w:rFonts w:ascii="Times New Roman" w:eastAsia="Times New Roman" w:hAnsi="Times New Roman" w:cs="Times New Roman"/>
          <w:b/>
          <w:color w:val="FFFFFF"/>
        </w:rPr>
        <w:t>RESUMO</w:t>
      </w:r>
    </w:p>
    <w:p w:rsidR="002224C8" w:rsidRDefault="002224C8">
      <w:pPr>
        <w:jc w:val="both"/>
        <w:rPr>
          <w:rFonts w:ascii="Times New Roman" w:eastAsia="Times New Roman" w:hAnsi="Times New Roman" w:cs="Times New Roman"/>
        </w:rPr>
      </w:pPr>
    </w:p>
    <w:p w:rsidR="002224C8" w:rsidRDefault="0057188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Justificativa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O consumo de produtos de cosméticos e de serviços referentes ao embelezamento, no atual cenário, vem se elevando. Graças a isso, a biossegurança deve ser motivo de des</w:t>
      </w:r>
      <w:r>
        <w:rPr>
          <w:rFonts w:ascii="Times New Roman" w:eastAsia="Times New Roman" w:hAnsi="Times New Roman" w:cs="Times New Roman"/>
        </w:rPr>
        <w:t>taque, a fim de se prevenir problemas de saúde tanto para o profissional e clientes, quanto ao meio ambiente. Deste modo, o objetivo deste trabalho foi construir um jogo que proporcione o desenvolvimento de uma prática lúdica de ensino proporcionando auton</w:t>
      </w:r>
      <w:r>
        <w:rPr>
          <w:rFonts w:ascii="Times New Roman" w:eastAsia="Times New Roman" w:hAnsi="Times New Roman" w:cs="Times New Roman"/>
        </w:rPr>
        <w:t xml:space="preserve">omia e criatividade para a construção do conhecimento em biossegurança os estudantes em Estética e Cosmética. </w:t>
      </w:r>
      <w:r>
        <w:rPr>
          <w:rFonts w:ascii="Times New Roman" w:eastAsia="Times New Roman" w:hAnsi="Times New Roman" w:cs="Times New Roman"/>
          <w:b/>
        </w:rPr>
        <w:t>Métodos</w:t>
      </w:r>
      <w:r>
        <w:rPr>
          <w:rFonts w:ascii="Times New Roman" w:eastAsia="Times New Roman" w:hAnsi="Times New Roman" w:cs="Times New Roman"/>
        </w:rPr>
        <w:t>: Trabalho de natureza descritiva, visando detalhar o desenvolvimento de um jogo educativo voltado para o ensino de biossegurança aos aluno</w:t>
      </w:r>
      <w:r>
        <w:rPr>
          <w:rFonts w:ascii="Times New Roman" w:eastAsia="Times New Roman" w:hAnsi="Times New Roman" w:cs="Times New Roman"/>
        </w:rPr>
        <w:t xml:space="preserve">s da graduação em Estética e Cosmética, para auxiliar no entendimento dos assuntos teóricos. </w:t>
      </w:r>
      <w:r>
        <w:rPr>
          <w:rFonts w:ascii="Times New Roman" w:eastAsia="Times New Roman" w:hAnsi="Times New Roman" w:cs="Times New Roman"/>
          <w:b/>
        </w:rPr>
        <w:t>Resultados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O jogo foi construído para ser utilizado em formato de tabuleiro, envolvendo áreas da disciplina de Biossegurança. As partidas terão tempo médio de dur</w:t>
      </w:r>
      <w:r>
        <w:rPr>
          <w:rFonts w:ascii="Times New Roman" w:eastAsia="Times New Roman" w:hAnsi="Times New Roman" w:cs="Times New Roman"/>
        </w:rPr>
        <w:t xml:space="preserve">ação estimado em 50 minutos. Com isso, o jogo alcançará uma dinâmica diferenciada de aprendizado e flexibilizará as formas de aplicação de conceitos relativos à disciplina. </w:t>
      </w:r>
      <w:r>
        <w:rPr>
          <w:rFonts w:ascii="Times New Roman" w:eastAsia="Times New Roman" w:hAnsi="Times New Roman" w:cs="Times New Roman"/>
          <w:b/>
        </w:rPr>
        <w:t>Conclusões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O desenvolvimento de jogos educativos vem se configurando como uma nova</w:t>
      </w:r>
      <w:r>
        <w:rPr>
          <w:rFonts w:ascii="Times New Roman" w:eastAsia="Times New Roman" w:hAnsi="Times New Roman" w:cs="Times New Roman"/>
        </w:rPr>
        <w:t xml:space="preserve"> alternativa de fixação do conhecimento utilizando as novas tecnologias disponíveis aos (as) docentes. As próximas etapas deste estudo serão a validação e aplicação do jogo </w:t>
      </w:r>
      <w:r>
        <w:rPr>
          <w:rFonts w:ascii="Times New Roman" w:eastAsia="Times New Roman" w:hAnsi="Times New Roman" w:cs="Times New Roman"/>
          <w:i/>
        </w:rPr>
        <w:t>“</w:t>
      </w:r>
      <w:proofErr w:type="spellStart"/>
      <w:r>
        <w:rPr>
          <w:rFonts w:ascii="Times New Roman" w:eastAsia="Times New Roman" w:hAnsi="Times New Roman" w:cs="Times New Roman"/>
          <w:i/>
        </w:rPr>
        <w:t>Beauty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&amp; </w:t>
      </w:r>
      <w:proofErr w:type="gramStart"/>
      <w:r>
        <w:rPr>
          <w:rFonts w:ascii="Times New Roman" w:eastAsia="Times New Roman" w:hAnsi="Times New Roman" w:cs="Times New Roman"/>
          <w:i/>
        </w:rPr>
        <w:t>Safe!”</w:t>
      </w:r>
      <w:proofErr w:type="gramEnd"/>
      <w:r>
        <w:rPr>
          <w:rFonts w:ascii="Times New Roman" w:eastAsia="Times New Roman" w:hAnsi="Times New Roman" w:cs="Times New Roman"/>
        </w:rPr>
        <w:t xml:space="preserve">, na qual serão realizadas a sensibilização dos (as) estudantes em </w:t>
      </w:r>
      <w:r>
        <w:rPr>
          <w:rFonts w:ascii="Times New Roman" w:eastAsia="Times New Roman" w:hAnsi="Times New Roman" w:cs="Times New Roman"/>
        </w:rPr>
        <w:t xml:space="preserve">relação à novas metodologias de ensino e aprendizagem, a avaliação da receptividade dos (as) alunos em relação a </w:t>
      </w:r>
      <w:proofErr w:type="spellStart"/>
      <w:r>
        <w:rPr>
          <w:rFonts w:ascii="Times New Roman" w:eastAsia="Times New Roman" w:hAnsi="Times New Roman" w:cs="Times New Roman"/>
        </w:rPr>
        <w:t>gamificação</w:t>
      </w:r>
      <w:proofErr w:type="spellEnd"/>
      <w:r>
        <w:rPr>
          <w:rFonts w:ascii="Times New Roman" w:eastAsia="Times New Roman" w:hAnsi="Times New Roman" w:cs="Times New Roman"/>
        </w:rPr>
        <w:t xml:space="preserve"> do ensino, e, por fim, a mensuração do real aprendizado que o jogo propiciou. </w:t>
      </w:r>
    </w:p>
    <w:p w:rsidR="002224C8" w:rsidRDefault="002224C8">
      <w:pPr>
        <w:jc w:val="both"/>
        <w:rPr>
          <w:rFonts w:ascii="Times New Roman" w:eastAsia="Times New Roman" w:hAnsi="Times New Roman" w:cs="Times New Roman"/>
        </w:rPr>
      </w:pPr>
    </w:p>
    <w:p w:rsidR="002224C8" w:rsidRDefault="002224C8">
      <w:pPr>
        <w:jc w:val="both"/>
        <w:rPr>
          <w:rFonts w:ascii="Times New Roman" w:eastAsia="Times New Roman" w:hAnsi="Times New Roman" w:cs="Times New Roman"/>
          <w:color w:val="FF0000"/>
        </w:rPr>
      </w:pPr>
    </w:p>
    <w:p w:rsidR="002224C8" w:rsidRDefault="002224C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</w:rPr>
      </w:pPr>
    </w:p>
    <w:p w:rsidR="002224C8" w:rsidRDefault="0057188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Palavras-chave: </w:t>
      </w:r>
      <w:bookmarkStart w:id="1" w:name="_GoBack"/>
      <w:r>
        <w:rPr>
          <w:rFonts w:ascii="Times New Roman" w:eastAsia="Times New Roman" w:hAnsi="Times New Roman" w:cs="Times New Roman"/>
          <w:b/>
        </w:rPr>
        <w:t>Jogos educativos</w:t>
      </w:r>
      <w:r>
        <w:rPr>
          <w:rFonts w:ascii="Times New Roman" w:eastAsia="Times New Roman" w:hAnsi="Times New Roman" w:cs="Times New Roman"/>
          <w:b/>
          <w:color w:val="000000"/>
        </w:rPr>
        <w:t>. Biossegurança. Est</w:t>
      </w:r>
      <w:r>
        <w:rPr>
          <w:rFonts w:ascii="Times New Roman" w:eastAsia="Times New Roman" w:hAnsi="Times New Roman" w:cs="Times New Roman"/>
          <w:b/>
        </w:rPr>
        <w:t>ética e Cosmética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  <w:bookmarkEnd w:id="1"/>
    </w:p>
    <w:p w:rsidR="002224C8" w:rsidRDefault="00571881">
      <w:pPr>
        <w:pBdr>
          <w:top w:val="single" w:sz="8" w:space="1" w:color="800000"/>
          <w:left w:val="single" w:sz="8" w:space="1" w:color="800000"/>
          <w:bottom w:val="single" w:sz="8" w:space="1" w:color="800000"/>
          <w:right w:val="single" w:sz="8" w:space="1" w:color="800000"/>
          <w:between w:val="nil"/>
        </w:pBdr>
        <w:shd w:val="clear" w:color="auto" w:fill="323E4F"/>
        <w:spacing w:before="200" w:after="120" w:line="288" w:lineRule="auto"/>
        <w:rPr>
          <w:rFonts w:ascii="Times New Roman" w:eastAsia="Times New Roman" w:hAnsi="Times New Roman" w:cs="Times New Roman"/>
          <w:color w:val="FFFFFF"/>
        </w:rPr>
      </w:pPr>
      <w:r>
        <w:rPr>
          <w:rFonts w:ascii="Times New Roman" w:eastAsia="Times New Roman" w:hAnsi="Times New Roman" w:cs="Times New Roman"/>
          <w:b/>
          <w:color w:val="FFFFFF"/>
        </w:rPr>
        <w:t>INTRODUÇÃO</w:t>
      </w:r>
    </w:p>
    <w:p w:rsidR="002224C8" w:rsidRDefault="00571881">
      <w:pPr>
        <w:widowControl/>
        <w:spacing w:after="132"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consumo de produtos de beleza e higiene pessoal, como cosméticos e os serviços referentes ao embelezamento sempre fizeram parte da vida das pessoas, mas no atual cenário o consumo vem se elevando. Esse in</w:t>
      </w:r>
      <w:r>
        <w:rPr>
          <w:rFonts w:ascii="Times New Roman" w:eastAsia="Times New Roman" w:hAnsi="Times New Roman" w:cs="Times New Roman"/>
        </w:rPr>
        <w:t xml:space="preserve">vestimento em produtos de beleza e o uso dos serviços na </w:t>
      </w:r>
      <w:r>
        <w:rPr>
          <w:rFonts w:ascii="Times New Roman" w:eastAsia="Times New Roman" w:hAnsi="Times New Roman" w:cs="Times New Roman"/>
        </w:rPr>
        <w:lastRenderedPageBreak/>
        <w:t xml:space="preserve">área se dão pelo aumento de poder aquisitivo e pelos padrões mais elevados de beleza existentes. Segundo o SEBRAE (2014), de 2006 a 2011 no Brasil a venda de produtos cosméticos aumentou em 281%, os </w:t>
      </w:r>
      <w:r>
        <w:rPr>
          <w:rFonts w:ascii="Times New Roman" w:eastAsia="Times New Roman" w:hAnsi="Times New Roman" w:cs="Times New Roman"/>
        </w:rPr>
        <w:t>protetores solares em 230% e produtos para depilação em 299%, ou seja, são números que crescem muito, levando em conta anos atrás que esses produtos não tinham grande volume de vendas.</w:t>
      </w:r>
    </w:p>
    <w:p w:rsidR="002224C8" w:rsidRDefault="00571881">
      <w:pPr>
        <w:widowControl/>
        <w:spacing w:after="132"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Como consequência, observa-se a proliferação de clínicas de estética, s</w:t>
      </w:r>
      <w:r>
        <w:rPr>
          <w:rFonts w:ascii="Times New Roman" w:eastAsia="Times New Roman" w:hAnsi="Times New Roman" w:cs="Times New Roman"/>
        </w:rPr>
        <w:t xml:space="preserve">alões de </w:t>
      </w:r>
      <w:proofErr w:type="gramStart"/>
      <w:r>
        <w:rPr>
          <w:rFonts w:ascii="Times New Roman" w:eastAsia="Times New Roman" w:hAnsi="Times New Roman" w:cs="Times New Roman"/>
        </w:rPr>
        <w:t>beleza</w:t>
      </w:r>
      <w:proofErr w:type="gram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i/>
        </w:rPr>
        <w:t>Spas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</w:t>
      </w:r>
      <w:r>
        <w:rPr>
          <w:rFonts w:ascii="Times New Roman" w:eastAsia="Times New Roman" w:hAnsi="Times New Roman" w:cs="Times New Roman"/>
        </w:rPr>
        <w:t>Tais empreendimentos possuem o objetivo de conquistar a confiança e satisfazer as expectativas desse público, que se mostra cada vez mais exigente e informado, procura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aliar preço, qualidade, resultados satisfatórios e segurança no </w:t>
      </w:r>
      <w:r>
        <w:rPr>
          <w:rFonts w:ascii="Times New Roman" w:eastAsia="Times New Roman" w:hAnsi="Times New Roman" w:cs="Times New Roman"/>
        </w:rPr>
        <w:t>atendimento de suas necessidades (PEREIRA, 2013). Como o acesso às informações está bastante facilitado, deste modo tornam-se mais exigentes e críticas em relação à conduta ética dos profissionais, às condições de higiene e ao cumprimento das normas de seg</w:t>
      </w:r>
      <w:r>
        <w:rPr>
          <w:rFonts w:ascii="Times New Roman" w:eastAsia="Times New Roman" w:hAnsi="Times New Roman" w:cs="Times New Roman"/>
        </w:rPr>
        <w:t>urança dos estabelecimentos prestadores de serviço estético (PEREIRA, 2013).</w:t>
      </w:r>
    </w:p>
    <w:p w:rsidR="002224C8" w:rsidRDefault="00571881">
      <w:pPr>
        <w:widowControl/>
        <w:spacing w:after="132"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Segundo a portaria n°25 do Ministério do Trabalho e Emprego existem vários riscos aos quais, clientes e profissionais estão expostos, dentre eles encontram-se os riscos físicos, q</w:t>
      </w:r>
      <w:r>
        <w:rPr>
          <w:rFonts w:ascii="Times New Roman" w:eastAsia="Times New Roman" w:hAnsi="Times New Roman" w:cs="Times New Roman"/>
        </w:rPr>
        <w:t xml:space="preserve">uímicos, biológicos, ergonômicos e de acidentes (BRASIL, 2005). Dentre os riscos inerentes aos procedimentos que envolvem as atividades de Esteticistas e </w:t>
      </w:r>
      <w:proofErr w:type="spellStart"/>
      <w:r>
        <w:rPr>
          <w:rFonts w:ascii="Times New Roman" w:eastAsia="Times New Roman" w:hAnsi="Times New Roman" w:cs="Times New Roman"/>
        </w:rPr>
        <w:t>Cosmetólogos</w:t>
      </w:r>
      <w:proofErr w:type="spellEnd"/>
      <w:r>
        <w:rPr>
          <w:rFonts w:ascii="Times New Roman" w:eastAsia="Times New Roman" w:hAnsi="Times New Roman" w:cs="Times New Roman"/>
        </w:rPr>
        <w:t>, o risco biológico representa maior ameaça à saúde e integridade do cliente, tendo em vis</w:t>
      </w:r>
      <w:r>
        <w:rPr>
          <w:rFonts w:ascii="Times New Roman" w:eastAsia="Times New Roman" w:hAnsi="Times New Roman" w:cs="Times New Roman"/>
        </w:rPr>
        <w:t>ta que durante os procedimentos estéticos e de embelezamento, áreas do corpo são manipuladas por instrumentos, como pinças, pincéis, alicates, palitos, lâminas, espátulas, algodão, tesouras, agulhas, entre outros instrumentos que podem gerar contaminação e</w:t>
      </w:r>
      <w:r>
        <w:rPr>
          <w:rFonts w:ascii="Times New Roman" w:eastAsia="Times New Roman" w:hAnsi="Times New Roman" w:cs="Times New Roman"/>
        </w:rPr>
        <w:t xml:space="preserve"> disseminação de doenças infecciosas, como HIV/AIDS, Hepatites B e C e infecções bacterianas e </w:t>
      </w:r>
      <w:proofErr w:type="spellStart"/>
      <w:r>
        <w:rPr>
          <w:rFonts w:ascii="Times New Roman" w:eastAsia="Times New Roman" w:hAnsi="Times New Roman" w:cs="Times New Roman"/>
        </w:rPr>
        <w:t>fúngicas</w:t>
      </w:r>
      <w:proofErr w:type="spellEnd"/>
      <w:r>
        <w:rPr>
          <w:rFonts w:ascii="Times New Roman" w:eastAsia="Times New Roman" w:hAnsi="Times New Roman" w:cs="Times New Roman"/>
        </w:rPr>
        <w:t xml:space="preserve"> (SOBRINHO et al., 2014). </w:t>
      </w:r>
    </w:p>
    <w:p w:rsidR="002224C8" w:rsidRDefault="00571881">
      <w:pPr>
        <w:widowControl/>
        <w:spacing w:after="132"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 profissionais que atuam na Estética e Cosmética devem adotar medidas eficazes de biossegurança (MELLO, 2011; BRASIL, 1978).</w:t>
      </w:r>
      <w:r>
        <w:rPr>
          <w:rFonts w:ascii="Times New Roman" w:eastAsia="Times New Roman" w:hAnsi="Times New Roman" w:cs="Times New Roman"/>
        </w:rPr>
        <w:t xml:space="preserve"> Para Agência Nacional de Vigilância Sanitária (ANVISA), biossegurança é condição de segurança alcançada por um conjunto de ações destinadas a prevenir, controlar, reduzir ou eliminar riscos inerentes às atividades que possam comprometer a saúde humana, an</w:t>
      </w:r>
      <w:r>
        <w:rPr>
          <w:rFonts w:ascii="Times New Roman" w:eastAsia="Times New Roman" w:hAnsi="Times New Roman" w:cs="Times New Roman"/>
        </w:rPr>
        <w:t>imal e o meio ambiente. Assim, a capacitação profissional em biossegurança e ergonomia é um aspecto importante para a prevenção de riscos nas atividades de pesquisa e ensino, pois muitos acidentes são causados pela inexperiência e pela falta de treinamento</w:t>
      </w:r>
      <w:r>
        <w:rPr>
          <w:rFonts w:ascii="Times New Roman" w:eastAsia="Times New Roman" w:hAnsi="Times New Roman" w:cs="Times New Roman"/>
        </w:rPr>
        <w:t xml:space="preserve"> e conhecimento específicos (FRANÇA et al., 2017). </w:t>
      </w:r>
    </w:p>
    <w:p w:rsidR="002224C8" w:rsidRDefault="00571881">
      <w:pPr>
        <w:widowControl/>
        <w:spacing w:after="132"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Assim, a segurança em ambientes de trabalho deve ser objeto de ensino e treinamento profissional, a fim de que todos estejam sempre conscientes dos riscos. De uma maneira geral, atualmente, a concepção da</w:t>
      </w:r>
      <w:r>
        <w:rPr>
          <w:rFonts w:ascii="Times New Roman" w:eastAsia="Times New Roman" w:hAnsi="Times New Roman" w:cs="Times New Roman"/>
        </w:rPr>
        <w:t xml:space="preserve"> biossegurança começa a abandonar a ideia da simples normatização de formas de trabalho seguro para incluir e se tornar cada vez mais relevante como uma ação educativa (NEVES et al</w:t>
      </w:r>
      <w:r>
        <w:rPr>
          <w:rFonts w:ascii="Times New Roman" w:eastAsia="Times New Roman" w:hAnsi="Times New Roman" w:cs="Times New Roman"/>
          <w:i/>
        </w:rPr>
        <w:t xml:space="preserve">., </w:t>
      </w:r>
      <w:r>
        <w:rPr>
          <w:rFonts w:ascii="Times New Roman" w:eastAsia="Times New Roman" w:hAnsi="Times New Roman" w:cs="Times New Roman"/>
        </w:rPr>
        <w:t xml:space="preserve">2006). </w:t>
      </w:r>
      <w:proofErr w:type="gramStart"/>
      <w:r>
        <w:rPr>
          <w:rFonts w:ascii="Times New Roman" w:eastAsia="Times New Roman" w:hAnsi="Times New Roman" w:cs="Times New Roman"/>
        </w:rPr>
        <w:t>O uso das atividades lúdicas em forma de jogos/</w:t>
      </w:r>
      <w:proofErr w:type="spellStart"/>
      <w:r>
        <w:rPr>
          <w:rFonts w:ascii="Times New Roman" w:eastAsia="Times New Roman" w:hAnsi="Times New Roman" w:cs="Times New Roman"/>
        </w:rPr>
        <w:t>gamificação</w:t>
      </w:r>
      <w:proofErr w:type="spellEnd"/>
      <w:r>
        <w:rPr>
          <w:rFonts w:ascii="Times New Roman" w:eastAsia="Times New Roman" w:hAnsi="Times New Roman" w:cs="Times New Roman"/>
        </w:rPr>
        <w:t xml:space="preserve"> estão</w:t>
      </w:r>
      <w:proofErr w:type="gramEnd"/>
      <w:r>
        <w:rPr>
          <w:rFonts w:ascii="Times New Roman" w:eastAsia="Times New Roman" w:hAnsi="Times New Roman" w:cs="Times New Roman"/>
        </w:rPr>
        <w:t xml:space="preserve"> e</w:t>
      </w:r>
      <w:r>
        <w:rPr>
          <w:rFonts w:ascii="Times New Roman" w:eastAsia="Times New Roman" w:hAnsi="Times New Roman" w:cs="Times New Roman"/>
        </w:rPr>
        <w:t xml:space="preserve">m ascensão, uma vez que potencializa a afetividade, a racionalidade, bem como o processo de produção de conhecimento. No panorama atual, a </w:t>
      </w:r>
      <w:proofErr w:type="spellStart"/>
      <w:r>
        <w:rPr>
          <w:rFonts w:ascii="Times New Roman" w:eastAsia="Times New Roman" w:hAnsi="Times New Roman" w:cs="Times New Roman"/>
        </w:rPr>
        <w:t>gamificação</w:t>
      </w:r>
      <w:proofErr w:type="spellEnd"/>
      <w:r>
        <w:rPr>
          <w:rFonts w:ascii="Times New Roman" w:eastAsia="Times New Roman" w:hAnsi="Times New Roman" w:cs="Times New Roman"/>
        </w:rPr>
        <w:t xml:space="preserve"> tornou-se um recurso na educação de forma engajar as pessoas a atingirem os objetivos do ensino-aprendiza</w:t>
      </w:r>
      <w:r>
        <w:rPr>
          <w:rFonts w:ascii="Times New Roman" w:eastAsia="Times New Roman" w:hAnsi="Times New Roman" w:cs="Times New Roman"/>
        </w:rPr>
        <w:t>gem, uma vez que desperta interesse e participação no desenvolvimento da criatividade, autonomia e promoção do diálogo (SOARES et al., 2019)</w:t>
      </w:r>
    </w:p>
    <w:p w:rsidR="002224C8" w:rsidRDefault="00571881">
      <w:pPr>
        <w:widowControl/>
        <w:spacing w:after="132"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Deste modo, o objetivo deste trabalho foi desenvolver um jogo educativo para a construção do conhecimento em biosse</w:t>
      </w:r>
      <w:r>
        <w:rPr>
          <w:rFonts w:ascii="Times New Roman" w:eastAsia="Times New Roman" w:hAnsi="Times New Roman" w:cs="Times New Roman"/>
        </w:rPr>
        <w:t>gurança destinado aos estudantes de Estética e Cosmética.</w:t>
      </w:r>
    </w:p>
    <w:p w:rsidR="002224C8" w:rsidRDefault="00571881">
      <w:pPr>
        <w:pBdr>
          <w:top w:val="single" w:sz="8" w:space="1" w:color="800000"/>
          <w:left w:val="single" w:sz="8" w:space="1" w:color="800000"/>
          <w:bottom w:val="single" w:sz="8" w:space="1" w:color="800000"/>
          <w:right w:val="single" w:sz="8" w:space="1" w:color="800000"/>
          <w:between w:val="nil"/>
        </w:pBdr>
        <w:shd w:val="clear" w:color="auto" w:fill="323E4F"/>
        <w:spacing w:before="200" w:after="120" w:line="288" w:lineRule="auto"/>
        <w:jc w:val="both"/>
        <w:rPr>
          <w:rFonts w:ascii="Times New Roman" w:eastAsia="Times New Roman" w:hAnsi="Times New Roman" w:cs="Times New Roman"/>
          <w:color w:val="FFFFFF"/>
        </w:rPr>
      </w:pPr>
      <w:r>
        <w:rPr>
          <w:rFonts w:ascii="Times New Roman" w:eastAsia="Times New Roman" w:hAnsi="Times New Roman" w:cs="Times New Roman"/>
          <w:b/>
          <w:color w:val="FFFFFF"/>
        </w:rPr>
        <w:t>METODOLOGIA</w:t>
      </w:r>
    </w:p>
    <w:p w:rsidR="002224C8" w:rsidRDefault="002224C8">
      <w:pPr>
        <w:spacing w:before="1" w:line="360" w:lineRule="auto"/>
        <w:ind w:right="122" w:firstLine="1134"/>
        <w:jc w:val="both"/>
        <w:rPr>
          <w:rFonts w:ascii="Times New Roman" w:eastAsia="Times New Roman" w:hAnsi="Times New Roman" w:cs="Times New Roman"/>
        </w:rPr>
      </w:pPr>
    </w:p>
    <w:p w:rsidR="002224C8" w:rsidRDefault="0057188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Trabalho de natureza descritiva, visando detalhar o desenvolvimento de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um  jogo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educativo voltado para o ensino de Biossegurança aos alunos da graduação em Estética e Cosmética, atendendo as etapas do processo de criação – ideia do tema, escolha da mecânic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a e prototipagem – preconizadas por Marcelo e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Pescuite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(2009). Inicialmente foi proposta a ideia de um jogo didático que envolvesse a área de biossegurança aplicada a estética e cosmética, para auxiliar no entendimento dos assuntos teóricos.</w:t>
      </w:r>
    </w:p>
    <w:p w:rsidR="002224C8" w:rsidRDefault="0057188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Foi imaginado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um jogo de tabuleiro, no qual o objetivo central seria responder todas as questões corretamente para chegar ao final do percurso. Esse tabuleiro será construído através de placas de </w:t>
      </w:r>
      <w:proofErr w:type="spellStart"/>
      <w:r>
        <w:rPr>
          <w:rFonts w:ascii="Times New Roman" w:eastAsia="Times New Roman" w:hAnsi="Times New Roman" w:cs="Times New Roman"/>
          <w:i/>
          <w:sz w:val="27"/>
          <w:szCs w:val="27"/>
        </w:rPr>
        <w:t>Medium-Density</w:t>
      </w:r>
      <w:proofErr w:type="spellEnd"/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7"/>
          <w:szCs w:val="27"/>
        </w:rPr>
        <w:t>Fiberboard</w:t>
      </w:r>
      <w:proofErr w:type="spellEnd"/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(MDF)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adesivadas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com todo o </w:t>
      </w:r>
      <w:r>
        <w:rPr>
          <w:rFonts w:ascii="Times New Roman" w:eastAsia="Times New Roman" w:hAnsi="Times New Roman" w:cs="Times New Roman"/>
          <w:i/>
          <w:sz w:val="27"/>
          <w:szCs w:val="27"/>
        </w:rPr>
        <w:t>layout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do jogo const</w:t>
      </w:r>
      <w:r>
        <w:rPr>
          <w:rFonts w:ascii="Times New Roman" w:eastAsia="Times New Roman" w:hAnsi="Times New Roman" w:cs="Times New Roman"/>
          <w:sz w:val="27"/>
          <w:szCs w:val="27"/>
        </w:rPr>
        <w:t>ruindo assim a dinâmica lúdica. Teremos as cartas que irão conter as perguntas variadas sobre o tema de biossegurança direcionada às áreas da atuação da Estética e Cosmética. Para construir a mobilidade ao jogo e o acesso às cartas serão utilizados pinos 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dados seguindo o princípio base dos jogos de tabuleiro.</w:t>
      </w:r>
    </w:p>
    <w:p w:rsidR="002224C8" w:rsidRDefault="002224C8">
      <w:pPr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2224C8" w:rsidRDefault="00571881">
      <w:pPr>
        <w:pBdr>
          <w:top w:val="single" w:sz="8" w:space="1" w:color="800000"/>
          <w:left w:val="single" w:sz="8" w:space="1" w:color="800000"/>
          <w:bottom w:val="single" w:sz="8" w:space="1" w:color="800000"/>
          <w:right w:val="single" w:sz="8" w:space="1" w:color="800000"/>
          <w:between w:val="nil"/>
        </w:pBdr>
        <w:shd w:val="clear" w:color="auto" w:fill="323E4F"/>
        <w:spacing w:before="200" w:after="120" w:line="288" w:lineRule="auto"/>
        <w:rPr>
          <w:rFonts w:ascii="Times New Roman" w:eastAsia="Times New Roman" w:hAnsi="Times New Roman" w:cs="Times New Roman"/>
          <w:color w:val="FFFFFF"/>
        </w:rPr>
      </w:pPr>
      <w:r>
        <w:rPr>
          <w:rFonts w:ascii="Times New Roman" w:eastAsia="Times New Roman" w:hAnsi="Times New Roman" w:cs="Times New Roman"/>
          <w:b/>
          <w:color w:val="FFFFFF"/>
        </w:rPr>
        <w:lastRenderedPageBreak/>
        <w:t>RESULTADOS E DISCUSSÃO</w:t>
      </w:r>
    </w:p>
    <w:p w:rsidR="002224C8" w:rsidRDefault="00571881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Para a realização deste trabalho foi construído um jogo didático de tabuleiro envolvendo a área de Biossegurança para alunos de Estética e Cosmética, com o intuito de auxiliar</w:t>
      </w:r>
      <w:r>
        <w:rPr>
          <w:rFonts w:ascii="Times New Roman" w:eastAsia="Times New Roman" w:hAnsi="Times New Roman" w:cs="Times New Roman"/>
        </w:rPr>
        <w:t xml:space="preserve"> o processo de ensino-aprendizagem dos assuntos teóricos considerados de difícil entendimento ou mesmo que são a priori negligenciados pelos estudantes, uma vez que consideram sem importância (ANDRADE; SILVEIRA; LEITE, 2018). </w:t>
      </w:r>
    </w:p>
    <w:p w:rsidR="002224C8" w:rsidRDefault="00571881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exterior da caixa foi </w:t>
      </w:r>
      <w:proofErr w:type="gramStart"/>
      <w:r>
        <w:rPr>
          <w:rFonts w:ascii="Times New Roman" w:eastAsia="Times New Roman" w:hAnsi="Times New Roman" w:cs="Times New Roman"/>
        </w:rPr>
        <w:t>const</w:t>
      </w:r>
      <w:r>
        <w:rPr>
          <w:rFonts w:ascii="Times New Roman" w:eastAsia="Times New Roman" w:hAnsi="Times New Roman" w:cs="Times New Roman"/>
        </w:rPr>
        <w:t>ruída</w:t>
      </w:r>
      <w:proofErr w:type="gramEnd"/>
      <w:r>
        <w:rPr>
          <w:rFonts w:ascii="Times New Roman" w:eastAsia="Times New Roman" w:hAnsi="Times New Roman" w:cs="Times New Roman"/>
        </w:rPr>
        <w:t xml:space="preserve"> de MDF, e aplicado um adesivo (Figura 1) o qual observa-se os principais personagens, um os estudantes/profissionais de Estética e Cosmética, do lado oposto, três dos riscos: o biológico (micro-organismos), de acidentes (agulha - </w:t>
      </w:r>
      <w:proofErr w:type="spellStart"/>
      <w:r>
        <w:rPr>
          <w:rFonts w:ascii="Times New Roman" w:eastAsia="Times New Roman" w:hAnsi="Times New Roman" w:cs="Times New Roman"/>
        </w:rPr>
        <w:t>perfurocortante</w:t>
      </w:r>
      <w:proofErr w:type="spellEnd"/>
      <w:r>
        <w:rPr>
          <w:rFonts w:ascii="Times New Roman" w:eastAsia="Times New Roman" w:hAnsi="Times New Roman" w:cs="Times New Roman"/>
        </w:rPr>
        <w:t>) e o</w:t>
      </w:r>
      <w:r>
        <w:rPr>
          <w:rFonts w:ascii="Times New Roman" w:eastAsia="Times New Roman" w:hAnsi="Times New Roman" w:cs="Times New Roman"/>
        </w:rPr>
        <w:t xml:space="preserve"> químico (ácidos) os quais são comumente encontrados nos laboratórios e clínicas-escola de Estética e Cosmética.</w:t>
      </w:r>
    </w:p>
    <w:p w:rsidR="002224C8" w:rsidRDefault="00571881">
      <w:pPr>
        <w:widowControl/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carta “Ataque” esses apresentam expressões imponentes e agressivas. E o tabuleiro é subdividido em quatro placas de MDF que se encaixam e formam ambientes relacionados ao trabalho de um futuro profissional de Estética e Cosmética. O tabuleiro; composto </w:t>
      </w:r>
      <w:r>
        <w:rPr>
          <w:rFonts w:ascii="Times New Roman" w:eastAsia="Times New Roman" w:hAnsi="Times New Roman" w:cs="Times New Roman"/>
        </w:rPr>
        <w:t xml:space="preserve">pela Clínica de Estética Capilar, Clínica de Estética Facial, Clínica de Estética Corporal e </w:t>
      </w:r>
      <w:proofErr w:type="spellStart"/>
      <w:r>
        <w:rPr>
          <w:rFonts w:ascii="Times New Roman" w:eastAsia="Times New Roman" w:hAnsi="Times New Roman" w:cs="Times New Roman"/>
        </w:rPr>
        <w:t>Epilação</w:t>
      </w:r>
      <w:proofErr w:type="spellEnd"/>
      <w:r>
        <w:rPr>
          <w:rFonts w:ascii="Times New Roman" w:eastAsia="Times New Roman" w:hAnsi="Times New Roman" w:cs="Times New Roman"/>
        </w:rPr>
        <w:t xml:space="preserve">, e Centro de Material de Esterilização (CME). </w:t>
      </w:r>
    </w:p>
    <w:p w:rsidR="002224C8" w:rsidRDefault="002224C8">
      <w:pPr>
        <w:widowControl/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</w:p>
    <w:p w:rsidR="002224C8" w:rsidRDefault="002224C8">
      <w:pPr>
        <w:widowControl/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</w:p>
    <w:p w:rsidR="002224C8" w:rsidRDefault="002224C8">
      <w:pPr>
        <w:widowControl/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</w:p>
    <w:p w:rsidR="002224C8" w:rsidRDefault="002224C8">
      <w:pPr>
        <w:widowControl/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</w:p>
    <w:p w:rsidR="002224C8" w:rsidRDefault="002224C8">
      <w:pPr>
        <w:widowControl/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</w:p>
    <w:p w:rsidR="002224C8" w:rsidRDefault="00571881">
      <w:pPr>
        <w:widowControl/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Figura 1: Layout da parte externa da </w:t>
      </w:r>
      <w:proofErr w:type="gramStart"/>
      <w:r>
        <w:rPr>
          <w:rFonts w:ascii="Times New Roman" w:eastAsia="Times New Roman" w:hAnsi="Times New Roman" w:cs="Times New Roman"/>
        </w:rPr>
        <w:t>caixa  do</w:t>
      </w:r>
      <w:proofErr w:type="gramEnd"/>
      <w:r>
        <w:rPr>
          <w:rFonts w:ascii="Times New Roman" w:eastAsia="Times New Roman" w:hAnsi="Times New Roman" w:cs="Times New Roman"/>
        </w:rPr>
        <w:t xml:space="preserve"> jogo “</w:t>
      </w:r>
      <w:proofErr w:type="spellStart"/>
      <w:r>
        <w:rPr>
          <w:rFonts w:ascii="Times New Roman" w:eastAsia="Times New Roman" w:hAnsi="Times New Roman" w:cs="Times New Roman"/>
          <w:i/>
        </w:rPr>
        <w:t>Beauty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&amp; Safe</w:t>
      </w:r>
      <w:r>
        <w:rPr>
          <w:rFonts w:ascii="Times New Roman" w:eastAsia="Times New Roman" w:hAnsi="Times New Roman" w:cs="Times New Roman"/>
        </w:rPr>
        <w:t>!”</w:t>
      </w:r>
    </w:p>
    <w:p w:rsidR="002224C8" w:rsidRDefault="00571881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62625" cy="360680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24C8" w:rsidRDefault="00571881">
      <w:pPr>
        <w:widowControl/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62625" cy="38481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62625" cy="5422900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42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24C8" w:rsidRDefault="00571881">
      <w:pPr>
        <w:widowControl/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Após a montagem, serão defin</w:t>
      </w:r>
      <w:r>
        <w:rPr>
          <w:rFonts w:ascii="Times New Roman" w:eastAsia="Times New Roman" w:hAnsi="Times New Roman" w:cs="Times New Roman"/>
        </w:rPr>
        <w:t>idos os grupos, qual deles jogará primeiro, os líderes e quem será o encarregado de verificar as respostas no “cartão de respostas” antes do jogo começar. Logo após se organizarem, os jogadores escolherão um representante para jogar o dado, aquele grupo qu</w:t>
      </w:r>
      <w:r>
        <w:rPr>
          <w:rFonts w:ascii="Times New Roman" w:eastAsia="Times New Roman" w:hAnsi="Times New Roman" w:cs="Times New Roman"/>
        </w:rPr>
        <w:t xml:space="preserve">e obtiver a maior numeração começou o jogo. Ao final escolhe-se uma </w:t>
      </w:r>
      <w:r>
        <w:rPr>
          <w:rFonts w:ascii="Times New Roman" w:eastAsia="Times New Roman" w:hAnsi="Times New Roman" w:cs="Times New Roman"/>
        </w:rPr>
        <w:lastRenderedPageBreak/>
        <w:t>pessoa para conferir as respostas no cartão de respostas de preferência alguém neutro, ou seja, que não irá participar efetivamente do jogo e dos grupos.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742950</wp:posOffset>
            </wp:positionH>
            <wp:positionV relativeFrom="paragraph">
              <wp:posOffset>114300</wp:posOffset>
            </wp:positionV>
            <wp:extent cx="5762625" cy="3848100"/>
            <wp:effectExtent l="0" t="0" r="0" b="0"/>
            <wp:wrapSquare wrapText="bothSides" distT="114300" distB="114300" distL="114300" distR="11430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224C8" w:rsidRDefault="00571881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 pinos de cada grupo devem ser </w:t>
      </w:r>
      <w:r>
        <w:rPr>
          <w:rFonts w:ascii="Times New Roman" w:eastAsia="Times New Roman" w:hAnsi="Times New Roman" w:cs="Times New Roman"/>
        </w:rPr>
        <w:t>colocados na entrada da clínica que foi definida como início. No tabuleiro, as casas marcadas por um ponto de interrogação - “?” - são aquelas que irão indicar que as equipes deverão pegar uma “Carta Pergunta”. Após retirar uma pergunta do monte previament</w:t>
      </w:r>
      <w:r>
        <w:rPr>
          <w:rFonts w:ascii="Times New Roman" w:eastAsia="Times New Roman" w:hAnsi="Times New Roman" w:cs="Times New Roman"/>
        </w:rPr>
        <w:t>e embaralhado, o líder deverá lê-la em voz audível. O grupo discutirá qual é a alternativa correta e assim que determinarem, o líder falará a resposta para quem está portando o cartão respostas possa confirmar.</w:t>
      </w:r>
    </w:p>
    <w:p w:rsidR="002224C8" w:rsidRDefault="00571881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Caso o grupo tenha dito a resposta correta, e</w:t>
      </w:r>
      <w:r>
        <w:rPr>
          <w:rFonts w:ascii="Times New Roman" w:eastAsia="Times New Roman" w:hAnsi="Times New Roman" w:cs="Times New Roman"/>
        </w:rPr>
        <w:t xml:space="preserve">le avançará mais 1 (uma) “Casa” e caso responda incorretamente ficará na mesma. As “Cartas de Ataque” são ferramentas usadas para retornar o movimento do aprendizado e funcionará da seguinte maneira: quando o jogador parar em alguma delas poderá utilizará </w:t>
      </w:r>
      <w:r>
        <w:rPr>
          <w:rFonts w:ascii="Times New Roman" w:eastAsia="Times New Roman" w:hAnsi="Times New Roman" w:cs="Times New Roman"/>
        </w:rPr>
        <w:t>a “Carta de Ataque” para desafiar o grupo adversário como outra “Carta Pergunta” caso a resposta seja correta ele ficará no mesmo local e se caso estiver incorreta voltará 2 (duas) casas. As cartas coringas são cartas que oferecerão bônus ou ônus de acordo</w:t>
      </w:r>
      <w:r>
        <w:rPr>
          <w:rFonts w:ascii="Times New Roman" w:eastAsia="Times New Roman" w:hAnsi="Times New Roman" w:cs="Times New Roman"/>
        </w:rPr>
        <w:t xml:space="preserve"> com as condutas propostas pela carta.</w:t>
      </w:r>
    </w:p>
    <w:p w:rsidR="002224C8" w:rsidRDefault="00571881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duração total do jogo foi planejada para o tempo médio de uma aula, 50 minutos. A quantidade de líderes pode ser determinada a partir da quantidade de alunos, podendo ser dividido em até 6 grupos por acreditar que u</w:t>
      </w:r>
      <w:r>
        <w:rPr>
          <w:rFonts w:ascii="Times New Roman" w:eastAsia="Times New Roman" w:hAnsi="Times New Roman" w:cs="Times New Roman"/>
        </w:rPr>
        <w:t xml:space="preserve">m maior número, pudesse dificultar a discussão. </w:t>
      </w:r>
      <w:r>
        <w:rPr>
          <w:rFonts w:ascii="Times New Roman" w:eastAsia="Times New Roman" w:hAnsi="Times New Roman" w:cs="Times New Roman"/>
        </w:rPr>
        <w:lastRenderedPageBreak/>
        <w:t xml:space="preserve">Isso possibilitará uma melhor dinâmica com a troca do conteúdo trabalhado em aula, com a </w:t>
      </w:r>
      <w:proofErr w:type="gramStart"/>
      <w:r>
        <w:rPr>
          <w:rFonts w:ascii="Times New Roman" w:eastAsia="Times New Roman" w:hAnsi="Times New Roman" w:cs="Times New Roman"/>
        </w:rPr>
        <w:t>intenção  que</w:t>
      </w:r>
      <w:proofErr w:type="gramEnd"/>
      <w:r>
        <w:rPr>
          <w:rFonts w:ascii="Times New Roman" w:eastAsia="Times New Roman" w:hAnsi="Times New Roman" w:cs="Times New Roman"/>
        </w:rPr>
        <w:t xml:space="preserve"> os estudantes dominassem as questões em estudo (SILVA et al., 2017).</w:t>
      </w:r>
    </w:p>
    <w:p w:rsidR="002224C8" w:rsidRDefault="00571881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As  questões</w:t>
      </w:r>
      <w:proofErr w:type="gramEnd"/>
      <w:r>
        <w:rPr>
          <w:rFonts w:ascii="Times New Roman" w:eastAsia="Times New Roman" w:hAnsi="Times New Roman" w:cs="Times New Roman"/>
        </w:rPr>
        <w:t xml:space="preserve">  abordadas no jogo fora</w:t>
      </w:r>
      <w:r>
        <w:rPr>
          <w:rFonts w:ascii="Times New Roman" w:eastAsia="Times New Roman" w:hAnsi="Times New Roman" w:cs="Times New Roman"/>
        </w:rPr>
        <w:t xml:space="preserve">m retiradas e adaptadas de concursos públicos sobre a temática biossegurança, e associados a profissão de Esteticista e </w:t>
      </w:r>
      <w:proofErr w:type="spellStart"/>
      <w:r>
        <w:rPr>
          <w:rFonts w:ascii="Times New Roman" w:eastAsia="Times New Roman" w:hAnsi="Times New Roman" w:cs="Times New Roman"/>
        </w:rPr>
        <w:t>Cosmetólogo</w:t>
      </w:r>
      <w:proofErr w:type="spellEnd"/>
      <w:r>
        <w:rPr>
          <w:rFonts w:ascii="Times New Roman" w:eastAsia="Times New Roman" w:hAnsi="Times New Roman" w:cs="Times New Roman"/>
        </w:rPr>
        <w:t xml:space="preserve">. Aqui foram citadas algumas questões para que o </w:t>
      </w:r>
      <w:proofErr w:type="gramStart"/>
      <w:r>
        <w:rPr>
          <w:rFonts w:ascii="Times New Roman" w:eastAsia="Times New Roman" w:hAnsi="Times New Roman" w:cs="Times New Roman"/>
        </w:rPr>
        <w:t>texto  não</w:t>
      </w:r>
      <w:proofErr w:type="gramEnd"/>
      <w:r>
        <w:rPr>
          <w:rFonts w:ascii="Times New Roman" w:eastAsia="Times New Roman" w:hAnsi="Times New Roman" w:cs="Times New Roman"/>
        </w:rPr>
        <w:t xml:space="preserve">  se  tornasse  longo: </w:t>
      </w:r>
      <w:r>
        <w:rPr>
          <w:rFonts w:ascii="Times New Roman" w:eastAsia="Times New Roman" w:hAnsi="Times New Roman" w:cs="Times New Roman"/>
          <w:highlight w:val="white"/>
        </w:rPr>
        <w:t xml:space="preserve">(ex.1 A cureta, para extração de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comedões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 xml:space="preserve">pode ser limpa com álcool 70%...) (ex.2 Sobre o processo de desinfecção do piso dos clínicas de estética, podemos indicar como adequada a utilização de uma solução de…) (ex.3 </w:t>
      </w:r>
      <w:r>
        <w:rPr>
          <w:rFonts w:ascii="Times New Roman" w:eastAsia="Times New Roman" w:hAnsi="Times New Roman" w:cs="Times New Roman"/>
        </w:rPr>
        <w:t xml:space="preserve">Assinale a opção correta, relativamente ao uso dos </w:t>
      </w:r>
      <w:proofErr w:type="spellStart"/>
      <w:r>
        <w:rPr>
          <w:rFonts w:ascii="Times New Roman" w:eastAsia="Times New Roman" w:hAnsi="Times New Roman" w:cs="Times New Roman"/>
        </w:rPr>
        <w:t>EPI’s</w:t>
      </w:r>
      <w:proofErr w:type="spellEnd"/>
      <w:r>
        <w:rPr>
          <w:rFonts w:ascii="Times New Roman" w:eastAsia="Times New Roman" w:hAnsi="Times New Roman" w:cs="Times New Roman"/>
        </w:rPr>
        <w:t xml:space="preserve"> na clínica de Estética…). Para conseguir a vitória e finalizar o jogo, o grupo deverá responder todas as perguntas corretamente com muitas idas e vindas, efeitos e obstáculos no caminho até a saída.</w:t>
      </w:r>
    </w:p>
    <w:p w:rsidR="002224C8" w:rsidRDefault="002224C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4"/>
        <w:jc w:val="both"/>
        <w:rPr>
          <w:rFonts w:ascii="Times New Roman" w:eastAsia="Times New Roman" w:hAnsi="Times New Roman" w:cs="Times New Roman"/>
        </w:rPr>
      </w:pPr>
    </w:p>
    <w:p w:rsidR="002224C8" w:rsidRDefault="002224C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224C8" w:rsidRDefault="00571881">
      <w:pPr>
        <w:pBdr>
          <w:top w:val="single" w:sz="8" w:space="1" w:color="800000"/>
          <w:left w:val="single" w:sz="8" w:space="1" w:color="800000"/>
          <w:bottom w:val="single" w:sz="8" w:space="1" w:color="800000"/>
          <w:right w:val="single" w:sz="8" w:space="1" w:color="800000"/>
          <w:between w:val="nil"/>
        </w:pBdr>
        <w:shd w:val="clear" w:color="auto" w:fill="323E4F"/>
        <w:spacing w:before="200" w:after="120" w:line="288" w:lineRule="auto"/>
        <w:rPr>
          <w:rFonts w:ascii="Times New Roman" w:eastAsia="Times New Roman" w:hAnsi="Times New Roman" w:cs="Times New Roman"/>
          <w:color w:val="FFFFFF"/>
        </w:rPr>
      </w:pPr>
      <w:r>
        <w:rPr>
          <w:rFonts w:ascii="Times New Roman" w:eastAsia="Times New Roman" w:hAnsi="Times New Roman" w:cs="Times New Roman"/>
          <w:b/>
          <w:color w:val="FFFFFF"/>
        </w:rPr>
        <w:t>CONSIDERAÇÕES FINAIS</w:t>
      </w:r>
    </w:p>
    <w:p w:rsidR="002224C8" w:rsidRDefault="0057188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O desenvolvimento de jogos educativos vem se configurando como uma nova alternativa de fixação do conhecimento utilizando as novas tecnologias disponíveis aos (as) docentes; assim sendo, os jogos possuem diversas vantagens, a citar: facilitar a aprendizage</w:t>
      </w:r>
      <w:r>
        <w:rPr>
          <w:rFonts w:ascii="Times New Roman" w:eastAsia="Times New Roman" w:hAnsi="Times New Roman" w:cs="Times New Roman"/>
        </w:rPr>
        <w:t>m de conceitos de uma forma motivadora para os (as) estudantes; introduzir, desenvolver e fixar conceitos de difícil compreensão; desenvolver estratégias de resolução de problemas (desafio dos jogos); propiciar o relacionamento de diferentes disciplinas (i</w:t>
      </w:r>
      <w:r>
        <w:rPr>
          <w:rFonts w:ascii="Times New Roman" w:eastAsia="Times New Roman" w:hAnsi="Times New Roman" w:cs="Times New Roman"/>
        </w:rPr>
        <w:t xml:space="preserve">nterdisciplinaridade), entre outros. Deste modo, as próximas etapas deste estudo serão a validação e aplicação do jogo </w:t>
      </w:r>
      <w:r>
        <w:rPr>
          <w:rFonts w:ascii="Times New Roman" w:eastAsia="Times New Roman" w:hAnsi="Times New Roman" w:cs="Times New Roman"/>
          <w:i/>
        </w:rPr>
        <w:t>“</w:t>
      </w:r>
      <w:proofErr w:type="spellStart"/>
      <w:r>
        <w:rPr>
          <w:rFonts w:ascii="Times New Roman" w:eastAsia="Times New Roman" w:hAnsi="Times New Roman" w:cs="Times New Roman"/>
          <w:i/>
        </w:rPr>
        <w:t>Beauty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&amp; </w:t>
      </w:r>
      <w:proofErr w:type="gramStart"/>
      <w:r>
        <w:rPr>
          <w:rFonts w:ascii="Times New Roman" w:eastAsia="Times New Roman" w:hAnsi="Times New Roman" w:cs="Times New Roman"/>
          <w:i/>
        </w:rPr>
        <w:t>Safe!”</w:t>
      </w:r>
      <w:proofErr w:type="gramEnd"/>
      <w:r>
        <w:rPr>
          <w:rFonts w:ascii="Times New Roman" w:eastAsia="Times New Roman" w:hAnsi="Times New Roman" w:cs="Times New Roman"/>
        </w:rPr>
        <w:t xml:space="preserve">. Nesta última etapa será realizada </w:t>
      </w:r>
      <w:proofErr w:type="gramStart"/>
      <w:r>
        <w:rPr>
          <w:rFonts w:ascii="Times New Roman" w:eastAsia="Times New Roman" w:hAnsi="Times New Roman" w:cs="Times New Roman"/>
        </w:rPr>
        <w:t>a  sensibilização</w:t>
      </w:r>
      <w:proofErr w:type="gramEnd"/>
      <w:r>
        <w:rPr>
          <w:rFonts w:ascii="Times New Roman" w:eastAsia="Times New Roman" w:hAnsi="Times New Roman" w:cs="Times New Roman"/>
        </w:rPr>
        <w:t xml:space="preserve"> dos (as) estudantes em relação à novas metodologias de ensino e apr</w:t>
      </w:r>
      <w:r>
        <w:rPr>
          <w:rFonts w:ascii="Times New Roman" w:eastAsia="Times New Roman" w:hAnsi="Times New Roman" w:cs="Times New Roman"/>
        </w:rPr>
        <w:t xml:space="preserve">endizagem,  a avaliação da receptividade dos (as) alunos em relação a </w:t>
      </w:r>
      <w:proofErr w:type="spellStart"/>
      <w:r>
        <w:rPr>
          <w:rFonts w:ascii="Times New Roman" w:eastAsia="Times New Roman" w:hAnsi="Times New Roman" w:cs="Times New Roman"/>
        </w:rPr>
        <w:t>gamificação</w:t>
      </w:r>
      <w:proofErr w:type="spellEnd"/>
      <w:r>
        <w:rPr>
          <w:rFonts w:ascii="Times New Roman" w:eastAsia="Times New Roman" w:hAnsi="Times New Roman" w:cs="Times New Roman"/>
        </w:rPr>
        <w:t xml:space="preserve"> do ensino, e, por fim, a mensuração do real aprendizado que o jogo propiciou. </w:t>
      </w:r>
    </w:p>
    <w:p w:rsidR="002224C8" w:rsidRDefault="00571881">
      <w:pPr>
        <w:pBdr>
          <w:top w:val="single" w:sz="8" w:space="1" w:color="800000"/>
          <w:left w:val="single" w:sz="8" w:space="1" w:color="800000"/>
          <w:bottom w:val="single" w:sz="8" w:space="1" w:color="800000"/>
          <w:right w:val="single" w:sz="8" w:space="1" w:color="800000"/>
          <w:between w:val="nil"/>
        </w:pBdr>
        <w:shd w:val="clear" w:color="auto" w:fill="323E4F"/>
        <w:spacing w:before="200" w:after="120" w:line="288" w:lineRule="auto"/>
        <w:rPr>
          <w:rFonts w:ascii="Times New Roman" w:eastAsia="Times New Roman" w:hAnsi="Times New Roman" w:cs="Times New Roman"/>
          <w:b/>
          <w:color w:val="FFFFFF"/>
        </w:rPr>
      </w:pPr>
      <w:r>
        <w:rPr>
          <w:rFonts w:ascii="Times New Roman" w:eastAsia="Times New Roman" w:hAnsi="Times New Roman" w:cs="Times New Roman"/>
          <w:b/>
          <w:color w:val="FFFFFF"/>
        </w:rPr>
        <w:t>REFERÊNCIA</w:t>
      </w:r>
      <w:r>
        <w:rPr>
          <w:rFonts w:ascii="Times New Roman" w:eastAsia="Times New Roman" w:hAnsi="Times New Roman" w:cs="Times New Roman"/>
          <w:b/>
          <w:color w:val="FFFFFF"/>
        </w:rPr>
        <w:t>S</w:t>
      </w:r>
    </w:p>
    <w:p w:rsidR="002224C8" w:rsidRDefault="002224C8">
      <w:pPr>
        <w:tabs>
          <w:tab w:val="left" w:pos="2625"/>
        </w:tabs>
        <w:rPr>
          <w:rFonts w:ascii="Times New Roman" w:eastAsia="Times New Roman" w:hAnsi="Times New Roman" w:cs="Times New Roman"/>
        </w:rPr>
      </w:pPr>
    </w:p>
    <w:p w:rsidR="002224C8" w:rsidRDefault="00571881">
      <w:pPr>
        <w:widowControl/>
        <w:spacing w:line="327" w:lineRule="auto"/>
        <w:jc w:val="both"/>
        <w:rPr>
          <w:rFonts w:ascii="Times New Roman" w:eastAsia="Times New Roman" w:hAnsi="Times New Roman" w:cs="Times New Roman"/>
          <w:color w:val="3C4043"/>
          <w:sz w:val="14"/>
          <w:szCs w:val="14"/>
          <w:highlight w:val="white"/>
        </w:rPr>
      </w:pPr>
      <w:r>
        <w:rPr>
          <w:rFonts w:ascii="Times New Roman" w:eastAsia="Times New Roman" w:hAnsi="Times New Roman" w:cs="Times New Roman"/>
          <w:color w:val="3C4043"/>
          <w:sz w:val="14"/>
          <w:szCs w:val="14"/>
          <w:highlight w:val="white"/>
        </w:rPr>
        <w:t xml:space="preserve">  </w:t>
      </w:r>
    </w:p>
    <w:p w:rsidR="002224C8" w:rsidRDefault="0057188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ANDRADE, L. G. N.; SILVEIRA, P. V.; LEITE, J. J. G.; “BE </w:t>
      </w:r>
      <w:proofErr w:type="gramStart"/>
      <w:r>
        <w:rPr>
          <w:rFonts w:ascii="Times New Roman" w:eastAsia="Times New Roman" w:hAnsi="Times New Roman" w:cs="Times New Roman"/>
        </w:rPr>
        <w:t>SAFE!”</w:t>
      </w:r>
      <w:proofErr w:type="gramEnd"/>
      <w:r>
        <w:rPr>
          <w:rFonts w:ascii="Times New Roman" w:eastAsia="Times New Roman" w:hAnsi="Times New Roman" w:cs="Times New Roman"/>
        </w:rPr>
        <w:t xml:space="preserve"> UMA ESTRATÉGIA </w:t>
      </w:r>
      <w:r>
        <w:rPr>
          <w:rFonts w:ascii="Times New Roman" w:eastAsia="Times New Roman" w:hAnsi="Times New Roman" w:cs="Times New Roman"/>
        </w:rPr>
        <w:t xml:space="preserve">LÚDICA PARA O ENSINO DE BIOSSEGURANÇA E ERGONOMIA. In: Conexão </w:t>
      </w:r>
      <w:proofErr w:type="spellStart"/>
      <w:r>
        <w:rPr>
          <w:rFonts w:ascii="Times New Roman" w:eastAsia="Times New Roman" w:hAnsi="Times New Roman" w:cs="Times New Roman"/>
        </w:rPr>
        <w:t>Fametro</w:t>
      </w:r>
      <w:proofErr w:type="spellEnd"/>
      <w:r>
        <w:rPr>
          <w:rFonts w:ascii="Times New Roman" w:eastAsia="Times New Roman" w:hAnsi="Times New Roman" w:cs="Times New Roman"/>
        </w:rPr>
        <w:t xml:space="preserve"> 2017 - Fortaleza/CE, 2018. Disponível em: &lt;https://www.doity.com.br/anais/conexaofametro2017/trabalho/38371&gt;. Acesso em: 13/09/2018 às 15:17</w:t>
      </w:r>
    </w:p>
    <w:p w:rsidR="002224C8" w:rsidRDefault="002224C8">
      <w:pPr>
        <w:ind w:left="720"/>
        <w:rPr>
          <w:rFonts w:ascii="Times New Roman" w:eastAsia="Times New Roman" w:hAnsi="Times New Roman" w:cs="Times New Roman"/>
        </w:rPr>
      </w:pPr>
    </w:p>
    <w:p w:rsidR="002224C8" w:rsidRDefault="0057188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 SILVA, J.K.D; </w:t>
      </w:r>
      <w:proofErr w:type="gramStart"/>
      <w:r>
        <w:rPr>
          <w:rFonts w:ascii="Times New Roman" w:eastAsia="Times New Roman" w:hAnsi="Times New Roman" w:cs="Times New Roman"/>
        </w:rPr>
        <w:t>ZAMBERLAN,  L.</w:t>
      </w:r>
      <w:proofErr w:type="gramEnd"/>
      <w:r>
        <w:rPr>
          <w:rFonts w:ascii="Times New Roman" w:eastAsia="Times New Roman" w:hAnsi="Times New Roman" w:cs="Times New Roman"/>
        </w:rPr>
        <w:t>; CAPPELLARI, G.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Gestión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Joven</w:t>
      </w:r>
      <w:proofErr w:type="spellEnd"/>
      <w:r>
        <w:rPr>
          <w:rFonts w:ascii="Times New Roman" w:eastAsia="Times New Roman" w:hAnsi="Times New Roman" w:cs="Times New Roman"/>
        </w:rPr>
        <w:t>, v. 156, n. 19, p. 154-173., 2018.</w:t>
      </w:r>
    </w:p>
    <w:p w:rsidR="002224C8" w:rsidRDefault="002224C8">
      <w:pPr>
        <w:ind w:left="720"/>
        <w:rPr>
          <w:rFonts w:ascii="Times New Roman" w:eastAsia="Times New Roman" w:hAnsi="Times New Roman" w:cs="Times New Roman"/>
        </w:rPr>
      </w:pPr>
    </w:p>
    <w:p w:rsidR="002224C8" w:rsidRDefault="0057188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FRANÇA, S.R.D; ALENCAR, E. A.; BACELAR, S. A.; RODRIGUES L., NASCIMENTO, A. L. A. FERREIRA, P. R.; CARVALHO S. T. R. F. Percepção de clientes em relação às normas de biossegurança utilizadas nos centros de embelezamento e estética. </w:t>
      </w:r>
      <w:r>
        <w:rPr>
          <w:rFonts w:ascii="Times New Roman" w:eastAsia="Times New Roman" w:hAnsi="Times New Roman" w:cs="Times New Roman"/>
          <w:b/>
        </w:rPr>
        <w:t xml:space="preserve">Revista </w:t>
      </w:r>
      <w:proofErr w:type="spellStart"/>
      <w:r>
        <w:rPr>
          <w:rFonts w:ascii="Times New Roman" w:eastAsia="Times New Roman" w:hAnsi="Times New Roman" w:cs="Times New Roman"/>
          <w:b/>
        </w:rPr>
        <w:t>Ceuma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Perspectiv</w:t>
      </w:r>
      <w:r>
        <w:rPr>
          <w:rFonts w:ascii="Times New Roman" w:eastAsia="Times New Roman" w:hAnsi="Times New Roman" w:cs="Times New Roman"/>
          <w:b/>
        </w:rPr>
        <w:t>as</w:t>
      </w:r>
      <w:r>
        <w:rPr>
          <w:rFonts w:ascii="Times New Roman" w:eastAsia="Times New Roman" w:hAnsi="Times New Roman" w:cs="Times New Roman"/>
        </w:rPr>
        <w:t>, v. 30, n. 2, p. 101-114, 2017.</w:t>
      </w:r>
    </w:p>
    <w:p w:rsidR="002224C8" w:rsidRDefault="002224C8">
      <w:pPr>
        <w:ind w:left="720"/>
        <w:rPr>
          <w:rFonts w:ascii="Times New Roman" w:eastAsia="Times New Roman" w:hAnsi="Times New Roman" w:cs="Times New Roman"/>
        </w:rPr>
      </w:pPr>
    </w:p>
    <w:p w:rsidR="002224C8" w:rsidRDefault="0057188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NEVES, T. P.; CORTES, E.A.; MOREIRA, C.O.F. Biossegurança como ação educativa: contribuições à saúde do trabalhador. </w:t>
      </w:r>
      <w:proofErr w:type="spellStart"/>
      <w:r>
        <w:rPr>
          <w:rFonts w:ascii="Times New Roman" w:eastAsia="Times New Roman" w:hAnsi="Times New Roman" w:cs="Times New Roman"/>
          <w:b/>
        </w:rPr>
        <w:t>Cogitare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Enfermagem</w:t>
      </w:r>
      <w:r>
        <w:rPr>
          <w:rFonts w:ascii="Times New Roman" w:eastAsia="Times New Roman" w:hAnsi="Times New Roman" w:cs="Times New Roman"/>
        </w:rPr>
        <w:t>, v. 11, n. 1, p. 50-55, 2006.</w:t>
      </w:r>
    </w:p>
    <w:p w:rsidR="002224C8" w:rsidRDefault="002224C8">
      <w:pPr>
        <w:ind w:left="720"/>
        <w:rPr>
          <w:rFonts w:ascii="Times New Roman" w:eastAsia="Times New Roman" w:hAnsi="Times New Roman" w:cs="Times New Roman"/>
        </w:rPr>
      </w:pPr>
    </w:p>
    <w:p w:rsidR="002224C8" w:rsidRDefault="0057188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PENNA, P.M.M; AQUINO, C.F.; CASTANHEIRA, D.D.; BRAND</w:t>
      </w:r>
      <w:r>
        <w:rPr>
          <w:rFonts w:ascii="Times New Roman" w:eastAsia="Times New Roman" w:hAnsi="Times New Roman" w:cs="Times New Roman"/>
        </w:rPr>
        <w:t xml:space="preserve">I, I.V.; CANGUSSU, A.S.R.; MACEDO SOBRINHO, E.; SARI, R.S.; DA SILVA, M.P.; MIGUEL, Â.S.M. Biossegurança: uma revisão. </w:t>
      </w:r>
      <w:r>
        <w:rPr>
          <w:rFonts w:ascii="Times New Roman" w:eastAsia="Times New Roman" w:hAnsi="Times New Roman" w:cs="Times New Roman"/>
          <w:b/>
        </w:rPr>
        <w:t>Arquivos do Instituto Biológico</w:t>
      </w:r>
      <w:r>
        <w:rPr>
          <w:rFonts w:ascii="Times New Roman" w:eastAsia="Times New Roman" w:hAnsi="Times New Roman" w:cs="Times New Roman"/>
        </w:rPr>
        <w:t>, v.77, n.3, p.555-465, 2010.</w:t>
      </w:r>
    </w:p>
    <w:p w:rsidR="002224C8" w:rsidRDefault="002224C8">
      <w:pPr>
        <w:ind w:left="720"/>
        <w:rPr>
          <w:rFonts w:ascii="Times New Roman" w:eastAsia="Times New Roman" w:hAnsi="Times New Roman" w:cs="Times New Roman"/>
        </w:rPr>
      </w:pPr>
    </w:p>
    <w:p w:rsidR="002224C8" w:rsidRDefault="0057188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SOARES, T. C. S.; SILVA, R. O. L.; VERCILLO, L. A. OLIVEIRA, S. M. L; NATAL</w:t>
      </w:r>
      <w:r>
        <w:rPr>
          <w:rFonts w:ascii="Times New Roman" w:eastAsia="Times New Roman" w:hAnsi="Times New Roman" w:cs="Times New Roman"/>
        </w:rPr>
        <w:t xml:space="preserve">E, J. C. A Utilização da </w:t>
      </w:r>
      <w:proofErr w:type="spellStart"/>
      <w:r>
        <w:rPr>
          <w:rFonts w:ascii="Times New Roman" w:eastAsia="Times New Roman" w:hAnsi="Times New Roman" w:cs="Times New Roman"/>
        </w:rPr>
        <w:t>gamificação</w:t>
      </w:r>
      <w:proofErr w:type="spellEnd"/>
      <w:r>
        <w:rPr>
          <w:rFonts w:ascii="Times New Roman" w:eastAsia="Times New Roman" w:hAnsi="Times New Roman" w:cs="Times New Roman"/>
        </w:rPr>
        <w:t xml:space="preserve"> como estratégia de aprendizagem aos alunos de graduação em enfermagem da disciplina </w:t>
      </w:r>
      <w:proofErr w:type="spellStart"/>
      <w:r>
        <w:rPr>
          <w:rFonts w:ascii="Times New Roman" w:eastAsia="Times New Roman" w:hAnsi="Times New Roman" w:cs="Times New Roman"/>
        </w:rPr>
        <w:t>sae</w:t>
      </w:r>
      <w:proofErr w:type="spellEnd"/>
      <w:r>
        <w:rPr>
          <w:rFonts w:ascii="Times New Roman" w:eastAsia="Times New Roman" w:hAnsi="Times New Roman" w:cs="Times New Roman"/>
        </w:rPr>
        <w:t xml:space="preserve"> III. </w:t>
      </w:r>
      <w:r>
        <w:rPr>
          <w:rFonts w:ascii="Times New Roman" w:eastAsia="Times New Roman" w:hAnsi="Times New Roman" w:cs="Times New Roman"/>
          <w:b/>
        </w:rPr>
        <w:t>Ciência Atua</w:t>
      </w:r>
      <w:r>
        <w:rPr>
          <w:rFonts w:ascii="Times New Roman" w:eastAsia="Times New Roman" w:hAnsi="Times New Roman" w:cs="Times New Roman"/>
        </w:rPr>
        <w:t>l, v. 13, n. 1. p. 02-09, 2019.0</w:t>
      </w:r>
    </w:p>
    <w:p w:rsidR="002224C8" w:rsidRDefault="002224C8">
      <w:pPr>
        <w:ind w:left="720"/>
        <w:rPr>
          <w:rFonts w:ascii="Times New Roman" w:eastAsia="Times New Roman" w:hAnsi="Times New Roman" w:cs="Times New Roman"/>
        </w:rPr>
      </w:pPr>
    </w:p>
    <w:p w:rsidR="002224C8" w:rsidRDefault="0057188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/SILVA. C; PIRES. G. C.; SILVA. T. G.; ALMEIDA. D.; TEIXEIRA. G.; e ALMEIDA. I. </w:t>
      </w:r>
      <w:r>
        <w:rPr>
          <w:rFonts w:ascii="Times New Roman" w:eastAsia="Times New Roman" w:hAnsi="Times New Roman" w:cs="Times New Roman"/>
        </w:rPr>
        <w:t xml:space="preserve">Jogo educativo </w:t>
      </w:r>
      <w:proofErr w:type="gramStart"/>
      <w:r>
        <w:rPr>
          <w:rFonts w:ascii="Times New Roman" w:eastAsia="Times New Roman" w:hAnsi="Times New Roman" w:cs="Times New Roman"/>
        </w:rPr>
        <w:t>como estratégia didático</w:t>
      </w:r>
      <w:proofErr w:type="gramEnd"/>
      <w:r>
        <w:rPr>
          <w:rFonts w:ascii="Times New Roman" w:eastAsia="Times New Roman" w:hAnsi="Times New Roman" w:cs="Times New Roman"/>
        </w:rPr>
        <w:t xml:space="preserve"> pedagógica em um curso de graduação em enfermagem: um relato de experiência. </w:t>
      </w:r>
      <w:r>
        <w:rPr>
          <w:rFonts w:ascii="Times New Roman" w:eastAsia="Times New Roman" w:hAnsi="Times New Roman" w:cs="Times New Roman"/>
          <w:b/>
        </w:rPr>
        <w:t>Atas Congresso Ibero-Americano em Investigação Qualitativa</w:t>
      </w:r>
      <w:r>
        <w:rPr>
          <w:rFonts w:ascii="Times New Roman" w:eastAsia="Times New Roman" w:hAnsi="Times New Roman" w:cs="Times New Roman"/>
        </w:rPr>
        <w:t>, v. 2, p. 987-992, 2017.</w:t>
      </w:r>
    </w:p>
    <w:sectPr w:rsidR="002224C8">
      <w:headerReference w:type="first" r:id="rId11"/>
      <w:footerReference w:type="first" r:id="rId12"/>
      <w:pgSz w:w="11906" w:h="16838"/>
      <w:pgMar w:top="1701" w:right="1134" w:bottom="1134" w:left="1701" w:header="567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881" w:rsidRDefault="00571881">
      <w:r>
        <w:separator/>
      </w:r>
    </w:p>
  </w:endnote>
  <w:endnote w:type="continuationSeparator" w:id="0">
    <w:p w:rsidR="00571881" w:rsidRDefault="00571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4C8" w:rsidRDefault="005718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5815965</wp:posOffset>
          </wp:positionH>
          <wp:positionV relativeFrom="paragraph">
            <wp:posOffset>370205</wp:posOffset>
          </wp:positionV>
          <wp:extent cx="7560310" cy="26543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265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-1756409</wp:posOffset>
          </wp:positionH>
          <wp:positionV relativeFrom="paragraph">
            <wp:posOffset>367030</wp:posOffset>
          </wp:positionV>
          <wp:extent cx="7560310" cy="26543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265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881" w:rsidRDefault="00571881">
      <w:r>
        <w:separator/>
      </w:r>
    </w:p>
  </w:footnote>
  <w:footnote w:type="continuationSeparator" w:id="0">
    <w:p w:rsidR="00571881" w:rsidRDefault="00571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4C8" w:rsidRDefault="005718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2285365</wp:posOffset>
          </wp:positionH>
          <wp:positionV relativeFrom="paragraph">
            <wp:posOffset>136525</wp:posOffset>
          </wp:positionV>
          <wp:extent cx="73660" cy="75628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26548" t="54395"/>
                  <a:stretch>
                    <a:fillRect/>
                  </a:stretch>
                </pic:blipFill>
                <pic:spPr>
                  <a:xfrm>
                    <a:off x="0" y="0"/>
                    <a:ext cx="73660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-314324</wp:posOffset>
          </wp:positionH>
          <wp:positionV relativeFrom="paragraph">
            <wp:posOffset>47625</wp:posOffset>
          </wp:positionV>
          <wp:extent cx="2232025" cy="700405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32025" cy="700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224C8" w:rsidRDefault="00571881">
    <w:pPr>
      <w:widowControl/>
      <w:pBdr>
        <w:top w:val="nil"/>
        <w:left w:val="nil"/>
        <w:bottom w:val="nil"/>
        <w:right w:val="nil"/>
        <w:between w:val="nil"/>
      </w:pBdr>
      <w:tabs>
        <w:tab w:val="right" w:pos="9214"/>
      </w:tabs>
      <w:spacing w:after="120"/>
      <w:ind w:left="3969" w:right="-143"/>
      <w:rPr>
        <w:rFonts w:ascii="Times New Roman" w:eastAsia="Times New Roman" w:hAnsi="Times New Roman" w:cs="Times New Roman"/>
        <w:color w:val="000000"/>
        <w:sz w:val="12"/>
        <w:szCs w:val="12"/>
      </w:rPr>
    </w:pPr>
    <w:r>
      <w:rPr>
        <w:rFonts w:ascii="Arial" w:eastAsia="Arial" w:hAnsi="Arial" w:cs="Arial"/>
        <w:b/>
        <w:color w:val="000000"/>
        <w:sz w:val="20"/>
        <w:szCs w:val="20"/>
      </w:rPr>
      <w:t>CONEXÃO UNIFAMETRO 2019: DIVERSIDADES TECNOLÓGICAS E SEUS IMPACTOS SUSTENTÁVEIS</w:t>
    </w:r>
  </w:p>
  <w:p w:rsidR="002224C8" w:rsidRDefault="00571881">
    <w:pPr>
      <w:widowControl/>
      <w:pBdr>
        <w:top w:val="nil"/>
        <w:left w:val="nil"/>
        <w:bottom w:val="nil"/>
        <w:right w:val="nil"/>
        <w:between w:val="nil"/>
      </w:pBdr>
      <w:tabs>
        <w:tab w:val="right" w:pos="9214"/>
      </w:tabs>
      <w:spacing w:after="120"/>
      <w:ind w:left="3969" w:right="-143"/>
      <w:rPr>
        <w:rFonts w:ascii="Times New Roman" w:eastAsia="Times New Roman" w:hAnsi="Times New Roman" w:cs="Times New Roman"/>
        <w:color w:val="000000"/>
        <w:sz w:val="12"/>
        <w:szCs w:val="12"/>
      </w:rPr>
    </w:pPr>
    <w:r>
      <w:rPr>
        <w:rFonts w:ascii="Arial" w:eastAsia="Arial" w:hAnsi="Arial" w:cs="Arial"/>
        <w:b/>
        <w:color w:val="000000"/>
        <w:sz w:val="20"/>
        <w:szCs w:val="20"/>
      </w:rPr>
      <w:t>XV SEMANA ACADÊMICA</w:t>
    </w:r>
  </w:p>
  <w:p w:rsidR="002224C8" w:rsidRDefault="00571881">
    <w:pPr>
      <w:widowControl/>
      <w:pBdr>
        <w:top w:val="nil"/>
        <w:left w:val="nil"/>
        <w:bottom w:val="nil"/>
        <w:right w:val="nil"/>
        <w:between w:val="nil"/>
      </w:pBdr>
      <w:tabs>
        <w:tab w:val="right" w:pos="9214"/>
      </w:tabs>
      <w:spacing w:after="120"/>
      <w:ind w:left="3969" w:right="-143"/>
      <w:rPr>
        <w:rFonts w:ascii="Times New Roman" w:eastAsia="Times New Roman" w:hAnsi="Times New Roman" w:cs="Times New Roman"/>
        <w:color w:val="000000"/>
      </w:rPr>
    </w:pPr>
    <w:r>
      <w:rPr>
        <w:rFonts w:ascii="Arial" w:eastAsia="Arial" w:hAnsi="Arial" w:cs="Arial"/>
        <w:b/>
        <w:color w:val="000000"/>
        <w:sz w:val="20"/>
        <w:szCs w:val="20"/>
      </w:rPr>
      <w:t>ISSN: 2357-8645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C3B0B"/>
    <w:multiLevelType w:val="multilevel"/>
    <w:tmpl w:val="9C54CE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4C8"/>
    <w:rsid w:val="002224C8"/>
    <w:rsid w:val="0031292F"/>
    <w:rsid w:val="00571881"/>
    <w:rsid w:val="0062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829D20-825F-4123-8F3C-574E17A10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2136</Words>
  <Characters>11536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Avell</dc:creator>
  <cp:lastModifiedBy>evilaniacchaves@gmail.com</cp:lastModifiedBy>
  <cp:revision>2</cp:revision>
  <dcterms:created xsi:type="dcterms:W3CDTF">2019-10-15T02:03:00Z</dcterms:created>
  <dcterms:modified xsi:type="dcterms:W3CDTF">2019-10-15T02:03:00Z</dcterms:modified>
</cp:coreProperties>
</file>