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956F87" w14:textId="77777777" w:rsidR="009A282E" w:rsidRDefault="009A282E" w:rsidP="006543EE">
      <w:pPr>
        <w:pStyle w:val="Corpodetexto"/>
        <w:spacing w:after="0" w:line="360" w:lineRule="atLeast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42DBC" w14:textId="77777777" w:rsidR="00E12899" w:rsidRDefault="00E12899" w:rsidP="004C0677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B7F21" w14:textId="35B2D912" w:rsidR="004A2802" w:rsidRPr="0019190C" w:rsidRDefault="00407CC9" w:rsidP="004C0677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INFLUÊNCIA DAS ATIVIDADES DE MONITORIA </w:t>
      </w:r>
      <w:r w:rsidR="005F41EC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C93565">
        <w:rPr>
          <w:rFonts w:ascii="Times New Roman" w:hAnsi="Times New Roman" w:cs="Times New Roman"/>
          <w:b/>
          <w:bCs/>
          <w:sz w:val="28"/>
          <w:szCs w:val="28"/>
        </w:rPr>
        <w:t xml:space="preserve"> REDE SOCIAL DE COMPARTILHAMENTO DURANTE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C93565">
        <w:rPr>
          <w:rFonts w:ascii="Times New Roman" w:hAnsi="Times New Roman" w:cs="Times New Roman"/>
          <w:b/>
          <w:bCs/>
          <w:sz w:val="28"/>
          <w:szCs w:val="28"/>
        </w:rPr>
        <w:t xml:space="preserve">DISCIPLINA DE </w:t>
      </w:r>
      <w:r w:rsidR="003523F3">
        <w:rPr>
          <w:rFonts w:ascii="Times New Roman" w:hAnsi="Times New Roman" w:cs="Times New Roman"/>
          <w:b/>
          <w:bCs/>
          <w:sz w:val="28"/>
          <w:szCs w:val="28"/>
        </w:rPr>
        <w:t>BIOQUIMICA BÁSICA</w:t>
      </w:r>
      <w:r w:rsidR="00BF27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70907B5" w14:textId="77777777" w:rsidR="004A2802" w:rsidRPr="0019190C" w:rsidRDefault="004A2802" w:rsidP="00C93565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</w:p>
    <w:p w14:paraId="051427DF" w14:textId="36F82580" w:rsidR="00E04E21" w:rsidRPr="009C2584" w:rsidRDefault="00E04E21" w:rsidP="009C2584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</w:p>
    <w:p w14:paraId="714A3A46" w14:textId="77777777" w:rsidR="007728C0" w:rsidRPr="00E04E21" w:rsidRDefault="009A282E" w:rsidP="00E04E21">
      <w:pPr>
        <w:pStyle w:val="Corpodetexto"/>
        <w:spacing w:after="0" w:line="360" w:lineRule="atLeast"/>
        <w:jc w:val="right"/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 xml:space="preserve">  </w:t>
      </w:r>
      <w:r w:rsidR="00BB78F7">
        <w:rPr>
          <w:rFonts w:ascii="Times New Roman" w:hAnsi="Times New Roman" w:cs="Times New Roman"/>
        </w:rPr>
        <w:t xml:space="preserve"> </w:t>
      </w:r>
      <w:r w:rsidR="00774C55">
        <w:rPr>
          <w:rFonts w:ascii="Times New Roman" w:hAnsi="Times New Roman" w:cs="Times New Roman"/>
        </w:rPr>
        <w:t xml:space="preserve"> </w:t>
      </w:r>
      <w:r w:rsidR="003523F3" w:rsidRPr="00E04E21">
        <w:rPr>
          <w:rFonts w:ascii="Times New Roman" w:hAnsi="Times New Roman" w:cs="Times New Roman"/>
        </w:rPr>
        <w:t>Desenvolvimento de Produtos e Projetos.</w:t>
      </w:r>
    </w:p>
    <w:p w14:paraId="47AA8C56" w14:textId="77777777" w:rsidR="003D6F98" w:rsidRDefault="00A1173C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E04E21">
        <w:rPr>
          <w:rFonts w:ascii="Times New Roman" w:hAnsi="Times New Roman" w:cs="Times New Roman"/>
          <w:bCs/>
        </w:rPr>
        <w:t>Evento:</w:t>
      </w:r>
      <w:r>
        <w:rPr>
          <w:rFonts w:ascii="Times New Roman" w:hAnsi="Times New Roman" w:cs="Times New Roman"/>
          <w:bCs/>
        </w:rPr>
        <w:t xml:space="preserve"> </w:t>
      </w:r>
      <w:r w:rsidR="003523F3">
        <w:rPr>
          <w:rFonts w:ascii="Times New Roman" w:hAnsi="Times New Roman" w:cs="Times New Roman"/>
          <w:bCs/>
        </w:rPr>
        <w:t>VII Encontro de Monitoria e Iniciação Científica.</w:t>
      </w:r>
    </w:p>
    <w:p w14:paraId="74D69149" w14:textId="77777777" w:rsidR="009521A2" w:rsidRPr="00A1173C" w:rsidRDefault="009521A2" w:rsidP="003D6F9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669099C0" w14:textId="77777777" w:rsidR="003D6F98" w:rsidRPr="0019190C" w:rsidRDefault="003D6F98" w:rsidP="00F85DE4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bookmarkStart w:id="0" w:name="Texto3"/>
      <w:bookmarkEnd w:id="0"/>
      <w:r w:rsidRPr="0019190C">
        <w:rPr>
          <w:rFonts w:ascii="Times New Roman" w:hAnsi="Times New Roman" w:cs="Times New Roman"/>
          <w:b/>
          <w:bCs/>
          <w:color w:val="FFFFFF"/>
        </w:rPr>
        <w:t>RESUMO</w:t>
      </w:r>
    </w:p>
    <w:p w14:paraId="54673AE2" w14:textId="76FC3891" w:rsidR="005A0611" w:rsidRPr="005A0611" w:rsidRDefault="00A360BF" w:rsidP="005A0611">
      <w:pPr>
        <w:pStyle w:val="Default"/>
        <w:ind w:firstLine="1134"/>
        <w:jc w:val="both"/>
        <w:rPr>
          <w:rFonts w:ascii="Times New Roman" w:hAnsi="Times New Roman" w:cs="Times New Roman"/>
        </w:rPr>
      </w:pPr>
      <w:r w:rsidRPr="005A0611">
        <w:rPr>
          <w:rFonts w:ascii="Times New Roman" w:hAnsi="Times New Roman" w:cs="Times New Roman"/>
          <w:bCs/>
        </w:rPr>
        <w:t xml:space="preserve">A monitoria é uma forma de ensino e aprendizagem que auxilia na formação integrada do acadêmico dos cursos de graduação. É um instrumento usado cujo objetivo é melhorar o ensino através de práticas e experiências </w:t>
      </w:r>
      <w:r w:rsidR="006309BE" w:rsidRPr="005A0611">
        <w:rPr>
          <w:rFonts w:ascii="Times New Roman" w:hAnsi="Times New Roman" w:cs="Times New Roman"/>
          <w:bCs/>
        </w:rPr>
        <w:t>pedagógicas</w:t>
      </w:r>
      <w:r w:rsidRPr="005A0611">
        <w:rPr>
          <w:rFonts w:ascii="Times New Roman" w:hAnsi="Times New Roman" w:cs="Times New Roman"/>
          <w:bCs/>
        </w:rPr>
        <w:t xml:space="preserve">. </w:t>
      </w:r>
      <w:r w:rsidRPr="005A0611">
        <w:rPr>
          <w:rFonts w:ascii="Times New Roman" w:hAnsi="Times New Roman" w:cs="Times New Roman"/>
        </w:rPr>
        <w:t>O processo de aprendizagem atual requer</w:t>
      </w:r>
      <w:r w:rsidR="006309BE">
        <w:rPr>
          <w:rFonts w:ascii="Times New Roman" w:hAnsi="Times New Roman" w:cs="Times New Roman"/>
        </w:rPr>
        <w:t>,</w:t>
      </w:r>
      <w:r w:rsidRPr="005A0611">
        <w:rPr>
          <w:rFonts w:ascii="Times New Roman" w:hAnsi="Times New Roman" w:cs="Times New Roman"/>
        </w:rPr>
        <w:t xml:space="preserve"> dos envolvidos</w:t>
      </w:r>
      <w:r w:rsidR="006309BE">
        <w:rPr>
          <w:rFonts w:ascii="Times New Roman" w:hAnsi="Times New Roman" w:cs="Times New Roman"/>
        </w:rPr>
        <w:t>,</w:t>
      </w:r>
      <w:r w:rsidRPr="005A0611">
        <w:rPr>
          <w:rFonts w:ascii="Times New Roman" w:hAnsi="Times New Roman" w:cs="Times New Roman"/>
        </w:rPr>
        <w:t xml:space="preserve"> atitudes como corresponsabilidade e autogestão, então se faz necessário o uso de inovações didáticas para tornarem esse fenômeno relevante. O objetivo deste trabalho é relatar a experiência adqui</w:t>
      </w:r>
      <w:r w:rsidR="006309BE">
        <w:rPr>
          <w:rFonts w:ascii="Times New Roman" w:hAnsi="Times New Roman" w:cs="Times New Roman"/>
        </w:rPr>
        <w:t>ri</w:t>
      </w:r>
      <w:r w:rsidRPr="005A0611">
        <w:rPr>
          <w:rFonts w:ascii="Times New Roman" w:hAnsi="Times New Roman" w:cs="Times New Roman"/>
        </w:rPr>
        <w:t xml:space="preserve">da </w:t>
      </w:r>
      <w:r w:rsidR="005A0611" w:rsidRPr="005A0611">
        <w:rPr>
          <w:rFonts w:ascii="Times New Roman" w:hAnsi="Times New Roman" w:cs="Times New Roman"/>
        </w:rPr>
        <w:t xml:space="preserve">a partir da prática da monitoria na disciplina de </w:t>
      </w:r>
      <w:r w:rsidR="006309BE" w:rsidRPr="005A0611">
        <w:rPr>
          <w:rFonts w:ascii="Times New Roman" w:hAnsi="Times New Roman" w:cs="Times New Roman"/>
        </w:rPr>
        <w:t>Bioquímica</w:t>
      </w:r>
      <w:r w:rsidR="005A0611" w:rsidRPr="005A0611">
        <w:rPr>
          <w:rFonts w:ascii="Times New Roman" w:hAnsi="Times New Roman" w:cs="Times New Roman"/>
        </w:rPr>
        <w:t xml:space="preserve"> Básica. Dos 42 alunos matriculados na disciplina em média 9 (21,42%) compareciam semanalmente aos encontros de monitoria antes da AP1. A média de frequência dos alunos nos encontros de monitoria para Avaliação Parcial 2 foi 15 (35,71%), sendo 10 (23,80%)</w:t>
      </w:r>
      <w:r w:rsidR="00020ADD">
        <w:rPr>
          <w:rFonts w:ascii="Times New Roman" w:hAnsi="Times New Roman" w:cs="Times New Roman"/>
        </w:rPr>
        <w:t xml:space="preserve"> alunos do curso de farmácia e 5 (33,3</w:t>
      </w:r>
      <w:r w:rsidR="005A0611" w:rsidRPr="005A0611">
        <w:rPr>
          <w:rFonts w:ascii="Times New Roman" w:hAnsi="Times New Roman" w:cs="Times New Roman"/>
        </w:rPr>
        <w:t>%) alunos do curso de educação física. O número maior de alunos que aderiam aos encontros de monitoria se deu diante não só p</w:t>
      </w:r>
      <w:r w:rsidR="006309BE">
        <w:rPr>
          <w:rFonts w:ascii="Times New Roman" w:hAnsi="Times New Roman" w:cs="Times New Roman"/>
        </w:rPr>
        <w:t>elo insucesso obtido na AP1, ma</w:t>
      </w:r>
      <w:r w:rsidR="005A0611" w:rsidRPr="005A0611">
        <w:rPr>
          <w:rFonts w:ascii="Times New Roman" w:hAnsi="Times New Roman" w:cs="Times New Roman"/>
        </w:rPr>
        <w:t>s também pelo despertar da relevância da monitoria para o desempenho na disciplina, bem como relatado pelos próprios alunos que participa</w:t>
      </w:r>
      <w:r w:rsidR="005A0611">
        <w:rPr>
          <w:rFonts w:ascii="Times New Roman" w:hAnsi="Times New Roman" w:cs="Times New Roman"/>
        </w:rPr>
        <w:t xml:space="preserve">vam dos encontros semanalmente. A participação dos alunos nos encontros de </w:t>
      </w:r>
      <w:r w:rsidR="006309BE">
        <w:rPr>
          <w:rFonts w:ascii="Times New Roman" w:hAnsi="Times New Roman" w:cs="Times New Roman"/>
        </w:rPr>
        <w:t>monitoria</w:t>
      </w:r>
      <w:r w:rsidR="005A0611">
        <w:rPr>
          <w:rFonts w:ascii="Times New Roman" w:hAnsi="Times New Roman" w:cs="Times New Roman"/>
        </w:rPr>
        <w:t xml:space="preserve"> da disciplina de </w:t>
      </w:r>
      <w:r w:rsidR="006309BE">
        <w:rPr>
          <w:rFonts w:ascii="Times New Roman" w:hAnsi="Times New Roman" w:cs="Times New Roman"/>
        </w:rPr>
        <w:t>Bioquímica</w:t>
      </w:r>
      <w:r w:rsidR="005A0611">
        <w:rPr>
          <w:rFonts w:ascii="Times New Roman" w:hAnsi="Times New Roman" w:cs="Times New Roman"/>
        </w:rPr>
        <w:t xml:space="preserve"> Básica mostrou-se bastante proveitosa para os acadêmicos e para o aluno-monitor, servindo como um ponto de apoio para o esclarecimento das principais dúvidas nos assuntos que remetem aos conteúdos da disciplina. E incentivando o monitor na iniciação </w:t>
      </w:r>
      <w:r w:rsidR="006309BE">
        <w:rPr>
          <w:rFonts w:ascii="Times New Roman" w:hAnsi="Times New Roman" w:cs="Times New Roman"/>
        </w:rPr>
        <w:t>acadêmica e</w:t>
      </w:r>
      <w:r w:rsidR="005A0611">
        <w:rPr>
          <w:rFonts w:ascii="Times New Roman" w:hAnsi="Times New Roman" w:cs="Times New Roman"/>
        </w:rPr>
        <w:t xml:space="preserve"> fomentando neste a importância do processo aprendizado para a construção de uma educação superior adequada.</w:t>
      </w:r>
    </w:p>
    <w:p w14:paraId="174ACBAB" w14:textId="77777777" w:rsidR="003D6F98" w:rsidRPr="0019190C" w:rsidRDefault="003D6F98">
      <w:pPr>
        <w:pStyle w:val="Corpodetexto"/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</w:rPr>
        <w:t xml:space="preserve">Palavras-chave: </w:t>
      </w:r>
      <w:r w:rsidR="00FF7E5D">
        <w:rPr>
          <w:rFonts w:ascii="Times New Roman" w:hAnsi="Times New Roman" w:cs="Times New Roman"/>
        </w:rPr>
        <w:t>Bioquímica</w:t>
      </w:r>
      <w:r w:rsidR="00774C55">
        <w:rPr>
          <w:rFonts w:ascii="Times New Roman" w:hAnsi="Times New Roman" w:cs="Times New Roman"/>
        </w:rPr>
        <w:t>.</w:t>
      </w:r>
      <w:r w:rsidR="00FF7E5D">
        <w:rPr>
          <w:rFonts w:ascii="Times New Roman" w:hAnsi="Times New Roman" w:cs="Times New Roman"/>
        </w:rPr>
        <w:t xml:space="preserve"> Educação Superior. </w:t>
      </w:r>
      <w:r w:rsidR="00BF270F">
        <w:rPr>
          <w:rFonts w:ascii="Times New Roman" w:hAnsi="Times New Roman" w:cs="Times New Roman"/>
        </w:rPr>
        <w:t>Rede Social</w:t>
      </w:r>
      <w:r w:rsidR="00BB78F7">
        <w:rPr>
          <w:rFonts w:ascii="Times New Roman" w:hAnsi="Times New Roman" w:cs="Times New Roman"/>
        </w:rPr>
        <w:t>.</w:t>
      </w:r>
      <w:r w:rsidRPr="0019190C">
        <w:rPr>
          <w:rFonts w:ascii="Times New Roman" w:hAnsi="Times New Roman" w:cs="Times New Roman"/>
        </w:rPr>
        <w:t xml:space="preserve"> </w:t>
      </w:r>
    </w:p>
    <w:p w14:paraId="2B741140" w14:textId="77777777" w:rsidR="003D6F98" w:rsidRPr="0019190C" w:rsidRDefault="005A3199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INTRODU</w:t>
      </w:r>
      <w:r w:rsidR="00551147" w:rsidRPr="0019190C">
        <w:rPr>
          <w:rFonts w:ascii="Times New Roman" w:hAnsi="Times New Roman" w:cs="Times New Roman"/>
          <w:b/>
          <w:bCs/>
          <w:color w:val="FFFFFF"/>
        </w:rPr>
        <w:t>ÇÃO</w:t>
      </w:r>
    </w:p>
    <w:p w14:paraId="1EC68B96" w14:textId="77777777" w:rsidR="006D757B" w:rsidRDefault="007D39DF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disciplina de Bioquímica Básica é ofertada dentre as disciplinas do </w:t>
      </w:r>
      <w:r w:rsidR="009D0A5F">
        <w:rPr>
          <w:rFonts w:ascii="Times New Roman" w:hAnsi="Times New Roman" w:cs="Times New Roman"/>
        </w:rPr>
        <w:t xml:space="preserve">ciclo básico </w:t>
      </w:r>
      <w:r w:rsidR="006309BE">
        <w:rPr>
          <w:rFonts w:ascii="Times New Roman" w:hAnsi="Times New Roman" w:cs="Times New Roman"/>
        </w:rPr>
        <w:t>dos cursos da saúde. S</w:t>
      </w:r>
      <w:r>
        <w:rPr>
          <w:rFonts w:ascii="Times New Roman" w:hAnsi="Times New Roman" w:cs="Times New Roman"/>
        </w:rPr>
        <w:t>ua importância ne</w:t>
      </w:r>
      <w:r w:rsidR="0069044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 </w:t>
      </w:r>
      <w:r w:rsidR="009D0A5F">
        <w:rPr>
          <w:rFonts w:ascii="Times New Roman" w:hAnsi="Times New Roman" w:cs="Times New Roman"/>
        </w:rPr>
        <w:t>área está embasada diante da</w:t>
      </w:r>
      <w:r>
        <w:rPr>
          <w:rFonts w:ascii="Times New Roman" w:hAnsi="Times New Roman" w:cs="Times New Roman"/>
        </w:rPr>
        <w:t xml:space="preserve"> possibilidade de aplicação quando observamos as variadas áreas </w:t>
      </w:r>
      <w:r w:rsidR="006D757B">
        <w:rPr>
          <w:rFonts w:ascii="Times New Roman" w:hAnsi="Times New Roman" w:cs="Times New Roman"/>
        </w:rPr>
        <w:t xml:space="preserve">de atuação desses </w:t>
      </w:r>
      <w:r>
        <w:rPr>
          <w:rFonts w:ascii="Times New Roman" w:hAnsi="Times New Roman" w:cs="Times New Roman"/>
        </w:rPr>
        <w:t>profissionais.</w:t>
      </w:r>
      <w:r w:rsidR="006D757B">
        <w:rPr>
          <w:rFonts w:ascii="Times New Roman" w:hAnsi="Times New Roman" w:cs="Times New Roman"/>
        </w:rPr>
        <w:t xml:space="preserve"> Apesar desta disciplina ser mais um ciclo para a formação do discente, deve ter sua relevância </w:t>
      </w:r>
      <w:r w:rsidR="00FF7C41">
        <w:rPr>
          <w:rFonts w:ascii="Times New Roman" w:hAnsi="Times New Roman" w:cs="Times New Roman"/>
        </w:rPr>
        <w:t xml:space="preserve">rotineiramente citada </w:t>
      </w:r>
      <w:r w:rsidR="003053C3">
        <w:rPr>
          <w:rFonts w:ascii="Times New Roman" w:hAnsi="Times New Roman" w:cs="Times New Roman"/>
        </w:rPr>
        <w:t xml:space="preserve">(ALBUQUERQUE et al., 2012). </w:t>
      </w:r>
    </w:p>
    <w:p w14:paraId="41E5A9F9" w14:textId="77777777" w:rsidR="006C4D08" w:rsidRDefault="00111960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Independentemente </w:t>
      </w:r>
      <w:r w:rsidR="00465AD8">
        <w:rPr>
          <w:rFonts w:ascii="Times New Roman" w:hAnsi="Times New Roman" w:cs="Times New Roman"/>
        </w:rPr>
        <w:t>de ser básica a doutrina</w:t>
      </w:r>
      <w:r>
        <w:rPr>
          <w:rFonts w:ascii="Times New Roman" w:hAnsi="Times New Roman" w:cs="Times New Roman"/>
        </w:rPr>
        <w:t xml:space="preserve"> de </w:t>
      </w:r>
      <w:r w:rsidR="00465AD8">
        <w:rPr>
          <w:rFonts w:ascii="Times New Roman" w:hAnsi="Times New Roman" w:cs="Times New Roman"/>
        </w:rPr>
        <w:t>Bioquímica</w:t>
      </w:r>
      <w:r w:rsidR="003053C3">
        <w:rPr>
          <w:rFonts w:ascii="Times New Roman" w:hAnsi="Times New Roman" w:cs="Times New Roman"/>
        </w:rPr>
        <w:t xml:space="preserve"> se destaca na grade </w:t>
      </w:r>
      <w:r w:rsidR="00465AD8">
        <w:rPr>
          <w:rFonts w:ascii="Times New Roman" w:hAnsi="Times New Roman" w:cs="Times New Roman"/>
        </w:rPr>
        <w:t xml:space="preserve">curricular por servir como alicerce para outras disciplinas como Farmacologia, Fisiologia e </w:t>
      </w:r>
      <w:r w:rsidR="00465AD8">
        <w:rPr>
          <w:rFonts w:ascii="Times New Roman" w:hAnsi="Times New Roman" w:cs="Times New Roman"/>
        </w:rPr>
        <w:lastRenderedPageBreak/>
        <w:t>Patologia. Então,</w:t>
      </w:r>
      <w:r w:rsidR="00900013">
        <w:rPr>
          <w:rFonts w:ascii="Times New Roman" w:hAnsi="Times New Roman" w:cs="Times New Roman"/>
        </w:rPr>
        <w:t xml:space="preserve"> a dedicação e o interesse na realização da matéria deve ser ao máximo, com a finalidade de se conseguir adquirir as habilidades e competências necessárias para </w:t>
      </w:r>
      <w:r w:rsidR="006309BE">
        <w:rPr>
          <w:rFonts w:ascii="Times New Roman" w:hAnsi="Times New Roman" w:cs="Times New Roman"/>
        </w:rPr>
        <w:t xml:space="preserve">alinhar </w:t>
      </w:r>
      <w:r w:rsidR="00900013">
        <w:rPr>
          <w:rFonts w:ascii="Times New Roman" w:hAnsi="Times New Roman" w:cs="Times New Roman"/>
        </w:rPr>
        <w:t>a prática</w:t>
      </w:r>
      <w:r w:rsidR="006309BE">
        <w:rPr>
          <w:rFonts w:ascii="Times New Roman" w:hAnsi="Times New Roman" w:cs="Times New Roman"/>
        </w:rPr>
        <w:t xml:space="preserve"> profissional</w:t>
      </w:r>
      <w:r w:rsidR="00900013">
        <w:rPr>
          <w:rFonts w:ascii="Times New Roman" w:hAnsi="Times New Roman" w:cs="Times New Roman"/>
        </w:rPr>
        <w:t xml:space="preserve"> (</w:t>
      </w:r>
      <w:r w:rsidR="003403E4">
        <w:rPr>
          <w:rFonts w:ascii="Times New Roman" w:hAnsi="Times New Roman" w:cs="Times New Roman"/>
        </w:rPr>
        <w:t>LONDERO; PRIGOL, 2019</w:t>
      </w:r>
      <w:r w:rsidR="00900013">
        <w:rPr>
          <w:rFonts w:ascii="Times New Roman" w:hAnsi="Times New Roman" w:cs="Times New Roman"/>
        </w:rPr>
        <w:t xml:space="preserve">). </w:t>
      </w:r>
    </w:p>
    <w:p w14:paraId="22B67CF1" w14:textId="77777777" w:rsidR="00111960" w:rsidRDefault="006C4D08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Diante dos pilare</w:t>
      </w:r>
      <w:r w:rsidR="002663AF">
        <w:rPr>
          <w:rFonts w:ascii="Times New Roman" w:hAnsi="Times New Roman" w:cs="Times New Roman"/>
        </w:rPr>
        <w:t xml:space="preserve">s que sustenta a universidade, </w:t>
      </w:r>
      <w:r>
        <w:rPr>
          <w:rFonts w:ascii="Times New Roman" w:hAnsi="Times New Roman" w:cs="Times New Roman"/>
        </w:rPr>
        <w:t>o ensino envolve uma metodologia pedagógica com coparticipação entre instituição, docente e estudante, com a finalidade de</w:t>
      </w:r>
      <w:r w:rsidR="003F783E">
        <w:rPr>
          <w:rFonts w:ascii="Times New Roman" w:hAnsi="Times New Roman" w:cs="Times New Roman"/>
        </w:rPr>
        <w:t>ntre outras de auxiliar no desenvolvimento intelectual.</w:t>
      </w:r>
      <w:r w:rsidR="003448C8">
        <w:rPr>
          <w:rFonts w:ascii="Times New Roman" w:hAnsi="Times New Roman" w:cs="Times New Roman"/>
        </w:rPr>
        <w:t xml:space="preserve"> Então as monitorias, atualmente, vêm sendo muito utiliza</w:t>
      </w:r>
      <w:r w:rsidR="002663AF">
        <w:rPr>
          <w:rFonts w:ascii="Times New Roman" w:hAnsi="Times New Roman" w:cs="Times New Roman"/>
        </w:rPr>
        <w:t>das pelas instituições</w:t>
      </w:r>
      <w:r w:rsidR="003448C8">
        <w:rPr>
          <w:rFonts w:ascii="Times New Roman" w:hAnsi="Times New Roman" w:cs="Times New Roman"/>
        </w:rPr>
        <w:t>, como métodos</w:t>
      </w:r>
      <w:r w:rsidR="0032526C">
        <w:rPr>
          <w:rFonts w:ascii="Times New Roman" w:hAnsi="Times New Roman" w:cs="Times New Roman"/>
        </w:rPr>
        <w:t xml:space="preserve"> complementares</w:t>
      </w:r>
      <w:r w:rsidR="003448C8">
        <w:rPr>
          <w:rFonts w:ascii="Times New Roman" w:hAnsi="Times New Roman" w:cs="Times New Roman"/>
        </w:rPr>
        <w:t>.</w:t>
      </w:r>
      <w:r w:rsidR="0032526C">
        <w:rPr>
          <w:rFonts w:ascii="Times New Roman" w:hAnsi="Times New Roman" w:cs="Times New Roman"/>
        </w:rPr>
        <w:t xml:space="preserve"> E</w:t>
      </w:r>
      <w:r w:rsidR="003448C8">
        <w:rPr>
          <w:rFonts w:ascii="Times New Roman" w:hAnsi="Times New Roman" w:cs="Times New Roman"/>
        </w:rPr>
        <w:t>ssa modalidade colabora para a formação integrada dos alunos durante as atividades</w:t>
      </w:r>
      <w:r w:rsidR="0032526C">
        <w:rPr>
          <w:rFonts w:ascii="Times New Roman" w:hAnsi="Times New Roman" w:cs="Times New Roman"/>
        </w:rPr>
        <w:t xml:space="preserve"> dos cursos de graduação, porque a implantação de práticas e experiências pedagógicas </w:t>
      </w:r>
      <w:r w:rsidR="003C76DF">
        <w:rPr>
          <w:rFonts w:ascii="Times New Roman" w:hAnsi="Times New Roman" w:cs="Times New Roman"/>
        </w:rPr>
        <w:t>favorecem a aproximação do real</w:t>
      </w:r>
      <w:r w:rsidR="003053C3" w:rsidRPr="003053C3">
        <w:rPr>
          <w:rFonts w:ascii="Times New Roman" w:hAnsi="Times New Roman" w:cs="Times New Roman"/>
        </w:rPr>
        <w:t xml:space="preserve"> </w:t>
      </w:r>
      <w:r w:rsidR="009D0A5F">
        <w:rPr>
          <w:rFonts w:ascii="Times New Roman" w:hAnsi="Times New Roman" w:cs="Times New Roman"/>
        </w:rPr>
        <w:t>(</w:t>
      </w:r>
      <w:r w:rsidR="009D0A5F">
        <w:rPr>
          <w:rFonts w:ascii="Times New Roman" w:hAnsi="Times New Roman" w:cs="Times New Roman"/>
          <w:noProof/>
        </w:rPr>
        <w:t>SANTOS;</w:t>
      </w:r>
      <w:r w:rsidR="009D0A5F" w:rsidRPr="00875C58">
        <w:rPr>
          <w:rFonts w:ascii="Times New Roman" w:hAnsi="Times New Roman" w:cs="Times New Roman"/>
          <w:noProof/>
        </w:rPr>
        <w:t xml:space="preserve"> ANACLETO, 2007</w:t>
      </w:r>
      <w:r w:rsidR="009D0A5F">
        <w:rPr>
          <w:rFonts w:ascii="Times New Roman" w:hAnsi="Times New Roman" w:cs="Times New Roman"/>
          <w:noProof/>
        </w:rPr>
        <w:t xml:space="preserve">). </w:t>
      </w:r>
    </w:p>
    <w:p w14:paraId="4DE3E7F7" w14:textId="77777777" w:rsidR="002663AF" w:rsidRDefault="002663AF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Este projeto busca promover possibilidades ao monitor de modo que o este consiga através de sua</w:t>
      </w:r>
      <w:r w:rsidR="00073BF9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  <w:noProof/>
        </w:rPr>
        <w:t xml:space="preserve"> pesquisas</w:t>
      </w:r>
      <w:r w:rsidR="00073BF9">
        <w:rPr>
          <w:rFonts w:ascii="Times New Roman" w:hAnsi="Times New Roman" w:cs="Times New Roman"/>
          <w:noProof/>
        </w:rPr>
        <w:t xml:space="preserve">, dinâmicas e atividades ampliar os conhecimentos e obter práticas que incrementem a vida acadêmica (MATOSO, 2014).  </w:t>
      </w:r>
    </w:p>
    <w:p w14:paraId="3B46D455" w14:textId="77777777" w:rsidR="00130A18" w:rsidRDefault="008B47D9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envolvimento de várias disciplinas e conteúdo </w:t>
      </w:r>
      <w:r w:rsidR="00FA27CF">
        <w:rPr>
          <w:rFonts w:ascii="Times New Roman" w:hAnsi="Times New Roman" w:cs="Times New Roman"/>
        </w:rPr>
        <w:t>mais abrangentes na disciplina de Bioquímica pode gerar dificuldades no aprendizado</w:t>
      </w:r>
      <w:r>
        <w:rPr>
          <w:rFonts w:ascii="Times New Roman" w:hAnsi="Times New Roman" w:cs="Times New Roman"/>
        </w:rPr>
        <w:t>, diante disso</w:t>
      </w:r>
      <w:r w:rsidR="00130A18">
        <w:rPr>
          <w:rFonts w:ascii="Times New Roman" w:hAnsi="Times New Roman" w:cs="Times New Roman"/>
        </w:rPr>
        <w:t xml:space="preserve"> a monitoria é uma ferramenta rotineiramente usada para auxil</w:t>
      </w:r>
      <w:r w:rsidR="00FA27CF">
        <w:rPr>
          <w:rFonts w:ascii="Times New Roman" w:hAnsi="Times New Roman" w:cs="Times New Roman"/>
        </w:rPr>
        <w:t xml:space="preserve">iar ao aluno e professor, é </w:t>
      </w:r>
      <w:r w:rsidR="00130A18">
        <w:rPr>
          <w:rFonts w:ascii="Times New Roman" w:hAnsi="Times New Roman" w:cs="Times New Roman"/>
        </w:rPr>
        <w:t>alternativa para esclarecer as principais dúvidas que, na maioria das vezes, não são expostas durante a sala de aula</w:t>
      </w:r>
      <w:r w:rsidR="00873DA0">
        <w:rPr>
          <w:rFonts w:ascii="Times New Roman" w:hAnsi="Times New Roman" w:cs="Times New Roman"/>
        </w:rPr>
        <w:t xml:space="preserve"> (LAVACH et al., 2017)</w:t>
      </w:r>
      <w:r w:rsidR="00130A18">
        <w:rPr>
          <w:rFonts w:ascii="Times New Roman" w:hAnsi="Times New Roman" w:cs="Times New Roman"/>
        </w:rPr>
        <w:t xml:space="preserve">.   </w:t>
      </w:r>
    </w:p>
    <w:p w14:paraId="274CA669" w14:textId="77777777" w:rsidR="00690441" w:rsidRDefault="008B47D9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Entretanto, as</w:t>
      </w:r>
      <w:r w:rsidR="00690441">
        <w:rPr>
          <w:rFonts w:ascii="Times New Roman" w:hAnsi="Times New Roman" w:cs="Times New Roman"/>
        </w:rPr>
        <w:t xml:space="preserve"> atividades desenvolvidas pelos monitores é de extrema </w:t>
      </w:r>
      <w:r>
        <w:rPr>
          <w:rFonts w:ascii="Times New Roman" w:hAnsi="Times New Roman" w:cs="Times New Roman"/>
        </w:rPr>
        <w:t>relevância para a sua própria formação</w:t>
      </w:r>
      <w:r w:rsidR="00690441">
        <w:rPr>
          <w:rFonts w:ascii="Times New Roman" w:hAnsi="Times New Roman" w:cs="Times New Roman"/>
        </w:rPr>
        <w:t>, uma vez</w:t>
      </w:r>
      <w:r w:rsidR="00111960">
        <w:rPr>
          <w:rFonts w:ascii="Times New Roman" w:hAnsi="Times New Roman" w:cs="Times New Roman"/>
        </w:rPr>
        <w:t xml:space="preserve"> que ajuda na atuação da construção do conhecimento</w:t>
      </w:r>
      <w:r w:rsidR="00FA27CF">
        <w:rPr>
          <w:rFonts w:ascii="Times New Roman" w:hAnsi="Times New Roman" w:cs="Times New Roman"/>
        </w:rPr>
        <w:t xml:space="preserve"> ao revisar conteúdos já estudados anteriormente</w:t>
      </w:r>
      <w:r w:rsidR="00111960">
        <w:rPr>
          <w:rFonts w:ascii="Times New Roman" w:hAnsi="Times New Roman" w:cs="Times New Roman"/>
        </w:rPr>
        <w:t xml:space="preserve">. Isso </w:t>
      </w:r>
      <w:r w:rsidR="00FA27CF">
        <w:rPr>
          <w:rFonts w:ascii="Times New Roman" w:hAnsi="Times New Roman" w:cs="Times New Roman"/>
        </w:rPr>
        <w:t xml:space="preserve">também </w:t>
      </w:r>
      <w:r w:rsidR="00111960">
        <w:rPr>
          <w:rFonts w:ascii="Times New Roman" w:hAnsi="Times New Roman" w:cs="Times New Roman"/>
        </w:rPr>
        <w:t>ocorre quando esses auxiliam e são auxiliados por seus docentes não só com fi</w:t>
      </w:r>
      <w:r w:rsidR="00FA27CF">
        <w:rPr>
          <w:rFonts w:ascii="Times New Roman" w:hAnsi="Times New Roman" w:cs="Times New Roman"/>
        </w:rPr>
        <w:t>nalidade de ensino,</w:t>
      </w:r>
      <w:r w:rsidR="00111960">
        <w:rPr>
          <w:rFonts w:ascii="Times New Roman" w:hAnsi="Times New Roman" w:cs="Times New Roman"/>
        </w:rPr>
        <w:t xml:space="preserve"> pesquisa e extensão</w:t>
      </w:r>
      <w:r w:rsidR="005C63ED">
        <w:rPr>
          <w:rFonts w:ascii="Times New Roman" w:hAnsi="Times New Roman" w:cs="Times New Roman"/>
        </w:rPr>
        <w:t xml:space="preserve"> </w:t>
      </w:r>
      <w:r w:rsidR="003053C3">
        <w:rPr>
          <w:rFonts w:ascii="Times New Roman" w:hAnsi="Times New Roman" w:cs="Times New Roman"/>
        </w:rPr>
        <w:t>(ALBUQUERQUE et al., 2012).</w:t>
      </w:r>
    </w:p>
    <w:p w14:paraId="4298C257" w14:textId="77777777" w:rsidR="008234BA" w:rsidRDefault="00ED25B1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processo de aprendizagem atual requer</w:t>
      </w:r>
      <w:r w:rsidR="006309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dos envolvidos</w:t>
      </w:r>
      <w:r w:rsidR="006309BE">
        <w:rPr>
          <w:rFonts w:ascii="Times New Roman" w:hAnsi="Times New Roman" w:cs="Times New Roman"/>
        </w:rPr>
        <w:t>,</w:t>
      </w:r>
      <w:r w:rsidR="00FA2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atitudes como corresponsabilidade e autogestão, então se faz necessário o uso de inovações didáticas para tornarem esse fenômeno relevante</w:t>
      </w:r>
      <w:r w:rsidR="00FA27CF">
        <w:rPr>
          <w:rFonts w:ascii="Times New Roman" w:hAnsi="Times New Roman" w:cs="Times New Roman"/>
        </w:rPr>
        <w:t>. Essas inovações quando aliada</w:t>
      </w:r>
      <w:r w:rsidR="00694F68">
        <w:rPr>
          <w:rFonts w:ascii="Times New Roman" w:hAnsi="Times New Roman" w:cs="Times New Roman"/>
        </w:rPr>
        <w:t xml:space="preserve">s a atividade de monitoria vêm </w:t>
      </w:r>
      <w:r w:rsidR="00717EA1">
        <w:rPr>
          <w:rFonts w:ascii="Times New Roman" w:hAnsi="Times New Roman" w:cs="Times New Roman"/>
        </w:rPr>
        <w:t>auxiliando nessa promoção da construção do conhecimento</w:t>
      </w:r>
      <w:r>
        <w:rPr>
          <w:rFonts w:ascii="Times New Roman" w:hAnsi="Times New Roman" w:cs="Times New Roman"/>
        </w:rPr>
        <w:t xml:space="preserve"> (DA SILVA et al., 2018).  </w:t>
      </w:r>
    </w:p>
    <w:p w14:paraId="79646648" w14:textId="77777777" w:rsidR="00717EA1" w:rsidRDefault="00310DBA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Umas das ferramentas atualmente usada são as redes sociais, diante da rapidez dos seus avanços </w:t>
      </w:r>
      <w:r w:rsidR="00F873A0">
        <w:rPr>
          <w:rFonts w:ascii="Times New Roman" w:hAnsi="Times New Roman" w:cs="Times New Roman"/>
        </w:rPr>
        <w:t xml:space="preserve">tecnológicos, estas </w:t>
      </w:r>
      <w:r>
        <w:rPr>
          <w:rFonts w:ascii="Times New Roman" w:hAnsi="Times New Roman" w:cs="Times New Roman"/>
        </w:rPr>
        <w:t xml:space="preserve">passaram a fazer parte da rotina diária dos alunos. </w:t>
      </w:r>
      <w:r w:rsidR="009D0A5F">
        <w:rPr>
          <w:rFonts w:ascii="Times New Roman" w:hAnsi="Times New Roman" w:cs="Times New Roman"/>
        </w:rPr>
        <w:t>Segundo Leka e Grinkraut por meio das redes sociais é possível o compartilhamento de informações educacionais como</w:t>
      </w:r>
      <w:r w:rsidR="00F873A0">
        <w:rPr>
          <w:rFonts w:ascii="Times New Roman" w:hAnsi="Times New Roman" w:cs="Times New Roman"/>
        </w:rPr>
        <w:t>:</w:t>
      </w:r>
      <w:r w:rsidR="009D0A5F">
        <w:rPr>
          <w:rFonts w:ascii="Times New Roman" w:hAnsi="Times New Roman" w:cs="Times New Roman"/>
        </w:rPr>
        <w:t xml:space="preserve"> temas estudados, troca de materiais de leitura e apresentação didática dos conteúdos. Tornando se uma opção eficaz de construção do relacionamento entre aluno-monitor-professor (LEKA; GRINKRAUT, 2014) </w:t>
      </w:r>
    </w:p>
    <w:p w14:paraId="1BB4E0D4" w14:textId="77777777" w:rsidR="00717EA1" w:rsidRDefault="00717EA1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Assim a monitoria é essencial para a aproximação entre teoria e prática, maximização da construção do conhecimento e facilitação da formação de um ambiente em que o acadêmico possa criar, questionar, praticar, revisar e refletir sobre os conteúdos trabalhados pelo docente (JUNIOR et al., 2017). </w:t>
      </w:r>
      <w:bookmarkStart w:id="1" w:name="_GoBack"/>
      <w:bookmarkEnd w:id="1"/>
    </w:p>
    <w:p w14:paraId="0521E47C" w14:textId="77777777" w:rsidR="00774C55" w:rsidRDefault="00073BF9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a monitoria é de extrema importância para a formação dos alunos, o</w:t>
      </w:r>
      <w:r w:rsidR="00BB78F7">
        <w:rPr>
          <w:rFonts w:ascii="Times New Roman" w:hAnsi="Times New Roman" w:cs="Times New Roman"/>
        </w:rPr>
        <w:t xml:space="preserve"> objetivo deste trabalho é relatar </w:t>
      </w:r>
      <w:r w:rsidR="008234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</w:t>
      </w:r>
      <w:r w:rsidR="008234BA">
        <w:rPr>
          <w:rFonts w:ascii="Times New Roman" w:hAnsi="Times New Roman" w:cs="Times New Roman"/>
        </w:rPr>
        <w:t xml:space="preserve"> experiência</w:t>
      </w:r>
      <w:r>
        <w:rPr>
          <w:rFonts w:ascii="Times New Roman" w:hAnsi="Times New Roman" w:cs="Times New Roman"/>
        </w:rPr>
        <w:t>s</w:t>
      </w:r>
      <w:r w:rsidR="008234BA">
        <w:rPr>
          <w:rFonts w:ascii="Times New Roman" w:hAnsi="Times New Roman" w:cs="Times New Roman"/>
        </w:rPr>
        <w:t xml:space="preserve"> adquirid</w:t>
      </w:r>
      <w:r w:rsidR="00ED32E6">
        <w:rPr>
          <w:rFonts w:ascii="Times New Roman" w:hAnsi="Times New Roman" w:cs="Times New Roman"/>
        </w:rPr>
        <w:t>as na monitoria d</w:t>
      </w:r>
      <w:r w:rsidR="00BB78F7">
        <w:rPr>
          <w:rFonts w:ascii="Times New Roman" w:hAnsi="Times New Roman" w:cs="Times New Roman"/>
        </w:rPr>
        <w:t>a d</w:t>
      </w:r>
      <w:r w:rsidR="00875C58">
        <w:rPr>
          <w:rFonts w:ascii="Times New Roman" w:hAnsi="Times New Roman" w:cs="Times New Roman"/>
        </w:rPr>
        <w:t>isciplina de Bioquímica Básica do Curso de Farmácia do Centro Univers</w:t>
      </w:r>
      <w:r w:rsidR="00F873A0">
        <w:rPr>
          <w:rFonts w:ascii="Times New Roman" w:hAnsi="Times New Roman" w:cs="Times New Roman"/>
        </w:rPr>
        <w:t xml:space="preserve">itário </w:t>
      </w:r>
      <w:r w:rsidR="006309BE">
        <w:rPr>
          <w:rFonts w:ascii="Times New Roman" w:hAnsi="Times New Roman" w:cs="Times New Roman"/>
        </w:rPr>
        <w:t>em Fortaleza</w:t>
      </w:r>
      <w:r w:rsidR="00F873A0">
        <w:rPr>
          <w:rFonts w:ascii="Times New Roman" w:hAnsi="Times New Roman" w:cs="Times New Roman"/>
        </w:rPr>
        <w:t>, bem como mostrar</w:t>
      </w:r>
      <w:r w:rsidR="00875C58">
        <w:rPr>
          <w:rFonts w:ascii="Times New Roman" w:hAnsi="Times New Roman" w:cs="Times New Roman"/>
        </w:rPr>
        <w:t xml:space="preserve"> o desenvolvimento de uma rede social que envolve os principais assuntos abordados na disciplina.</w:t>
      </w:r>
    </w:p>
    <w:p w14:paraId="004716C2" w14:textId="77777777" w:rsidR="003D6F98" w:rsidRPr="0019190C" w:rsidRDefault="0019190C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jc w:val="both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METODOLOGIA</w:t>
      </w:r>
    </w:p>
    <w:p w14:paraId="4240BC4F" w14:textId="77777777" w:rsidR="006309BE" w:rsidRDefault="00ED32E6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um estudo descritivo, do tipo relato de experiência, elaborado a partir da prática da monitora da disciplina de Bioquímica Básica do curso de farmácia referente ao primeiro semestre</w:t>
      </w:r>
      <w:r w:rsidR="00C63A83">
        <w:rPr>
          <w:rFonts w:ascii="Times New Roman" w:hAnsi="Times New Roman" w:cs="Times New Roman"/>
        </w:rPr>
        <w:t xml:space="preserve"> da matriz curricular. Os métodos de ensino utilizados foram: elaboração de materiais resumidos, resolução de estudos dirigidos, dinâmicas introdutórias que aconteceram no primeiro encontro semestral da monitoria</w:t>
      </w:r>
      <w:r w:rsidR="00BE718F">
        <w:rPr>
          <w:rFonts w:ascii="Times New Roman" w:hAnsi="Times New Roman" w:cs="Times New Roman"/>
        </w:rPr>
        <w:t xml:space="preserve"> com o desenvolvimento e aplicação de jogos educativos</w:t>
      </w:r>
      <w:r w:rsidR="00C63A83">
        <w:rPr>
          <w:rFonts w:ascii="Times New Roman" w:hAnsi="Times New Roman" w:cs="Times New Roman"/>
        </w:rPr>
        <w:t xml:space="preserve">, </w:t>
      </w:r>
      <w:r w:rsidR="00B07DF6">
        <w:rPr>
          <w:rFonts w:ascii="Times New Roman" w:hAnsi="Times New Roman" w:cs="Times New Roman"/>
        </w:rPr>
        <w:t xml:space="preserve">criação de um grupo no </w:t>
      </w:r>
      <w:r w:rsidR="00B07DF6" w:rsidRPr="00865202">
        <w:rPr>
          <w:rFonts w:ascii="Times New Roman" w:hAnsi="Times New Roman" w:cs="Times New Roman"/>
          <w:i/>
        </w:rPr>
        <w:t>WhatsApp</w:t>
      </w:r>
      <w:r w:rsidR="00B07DF6">
        <w:rPr>
          <w:rFonts w:ascii="Times New Roman" w:hAnsi="Times New Roman" w:cs="Times New Roman"/>
        </w:rPr>
        <w:t xml:space="preserve"> e criação de uma página no Instagram. A monitoria ocorreu no período de </w:t>
      </w:r>
      <w:r w:rsidR="0022594D">
        <w:rPr>
          <w:rFonts w:ascii="Times New Roman" w:hAnsi="Times New Roman" w:cs="Times New Roman"/>
        </w:rPr>
        <w:t>fevereiro a agosto de 2019, os encontros eram semanalmente com duração máxima de duas horas</w:t>
      </w:r>
      <w:r w:rsidR="00B07DF6">
        <w:rPr>
          <w:rFonts w:ascii="Times New Roman" w:hAnsi="Times New Roman" w:cs="Times New Roman"/>
        </w:rPr>
        <w:t>.</w:t>
      </w:r>
      <w:r w:rsidR="0022594D">
        <w:rPr>
          <w:rFonts w:ascii="Times New Roman" w:hAnsi="Times New Roman" w:cs="Times New Roman"/>
        </w:rPr>
        <w:t xml:space="preserve"> Monitorias Online também eram realizadas, dependendo da demanda dos alunos. Ao final de cada mês eram entregues ao Programa de Monitoria </w:t>
      </w:r>
      <w:r w:rsidR="00113D4E">
        <w:rPr>
          <w:rFonts w:ascii="Times New Roman" w:hAnsi="Times New Roman" w:cs="Times New Roman"/>
        </w:rPr>
        <w:t>as frequências assinadas pelos alunos e o relatório das atividades desenvolvidas no mês.</w:t>
      </w:r>
      <w:r w:rsidR="00B07DF6">
        <w:rPr>
          <w:rFonts w:ascii="Times New Roman" w:hAnsi="Times New Roman" w:cs="Times New Roman"/>
        </w:rPr>
        <w:t xml:space="preserve"> </w:t>
      </w:r>
    </w:p>
    <w:p w14:paraId="48850681" w14:textId="77777777" w:rsidR="0019190C" w:rsidRDefault="00B07DF6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Foi realizado um comparativo entre a quantidade de alunos matriculados e as frequências nos encontros da monitoria. </w:t>
      </w:r>
      <w:r w:rsidR="00407CC9">
        <w:rPr>
          <w:rFonts w:ascii="Times New Roman" w:hAnsi="Times New Roman" w:cs="Times New Roman"/>
        </w:rPr>
        <w:t>O envolvimento</w:t>
      </w:r>
      <w:r w:rsidR="008A39C6">
        <w:rPr>
          <w:rFonts w:ascii="Times New Roman" w:hAnsi="Times New Roman" w:cs="Times New Roman"/>
        </w:rPr>
        <w:t xml:space="preserve"> dos alunos</w:t>
      </w:r>
      <w:r w:rsidR="00407CC9">
        <w:rPr>
          <w:rFonts w:ascii="Times New Roman" w:hAnsi="Times New Roman" w:cs="Times New Roman"/>
        </w:rPr>
        <w:t xml:space="preserve"> foi intensificado</w:t>
      </w:r>
      <w:r w:rsidR="008A39C6">
        <w:rPr>
          <w:rFonts w:ascii="Times New Roman" w:hAnsi="Times New Roman" w:cs="Times New Roman"/>
        </w:rPr>
        <w:t xml:space="preserve"> através da rede social </w:t>
      </w:r>
      <w:r w:rsidR="0022594D">
        <w:rPr>
          <w:rFonts w:ascii="Times New Roman" w:hAnsi="Times New Roman" w:cs="Times New Roman"/>
        </w:rPr>
        <w:t>Instagram</w:t>
      </w:r>
      <w:r w:rsidR="00407CC9">
        <w:rPr>
          <w:rFonts w:ascii="Times New Roman" w:hAnsi="Times New Roman" w:cs="Times New Roman"/>
        </w:rPr>
        <w:t xml:space="preserve"> e, </w:t>
      </w:r>
      <w:r w:rsidR="008A39C6">
        <w:rPr>
          <w:rFonts w:ascii="Times New Roman" w:hAnsi="Times New Roman" w:cs="Times New Roman"/>
        </w:rPr>
        <w:t xml:space="preserve">demostrados através das </w:t>
      </w:r>
      <w:r w:rsidR="00407CC9">
        <w:rPr>
          <w:rFonts w:ascii="Times New Roman" w:hAnsi="Times New Roman" w:cs="Times New Roman"/>
        </w:rPr>
        <w:t>curtidas e respostas das</w:t>
      </w:r>
      <w:r w:rsidR="0022594D">
        <w:rPr>
          <w:rFonts w:ascii="Times New Roman" w:hAnsi="Times New Roman" w:cs="Times New Roman"/>
        </w:rPr>
        <w:t xml:space="preserve"> </w:t>
      </w:r>
      <w:r w:rsidR="008A39C6">
        <w:rPr>
          <w:rFonts w:ascii="Times New Roman" w:hAnsi="Times New Roman" w:cs="Times New Roman"/>
        </w:rPr>
        <w:t>postagens</w:t>
      </w:r>
      <w:r w:rsidR="0055216A">
        <w:rPr>
          <w:rFonts w:ascii="Times New Roman" w:hAnsi="Times New Roman" w:cs="Times New Roman"/>
        </w:rPr>
        <w:t xml:space="preserve"> que continham conteúdos sobre a assuntos da disciplina</w:t>
      </w:r>
      <w:r w:rsidR="008A39C6">
        <w:rPr>
          <w:rFonts w:ascii="Times New Roman" w:hAnsi="Times New Roman" w:cs="Times New Roman"/>
        </w:rPr>
        <w:t xml:space="preserve">. </w:t>
      </w:r>
      <w:r w:rsidR="0022594D">
        <w:rPr>
          <w:rFonts w:ascii="Times New Roman" w:hAnsi="Times New Roman" w:cs="Times New Roman"/>
        </w:rPr>
        <w:t xml:space="preserve">Os resultados </w:t>
      </w:r>
      <w:r w:rsidR="00BE718F">
        <w:rPr>
          <w:rFonts w:ascii="Times New Roman" w:hAnsi="Times New Roman" w:cs="Times New Roman"/>
        </w:rPr>
        <w:t>com a frequência durant</w:t>
      </w:r>
      <w:r w:rsidR="00407CC9">
        <w:rPr>
          <w:rFonts w:ascii="Times New Roman" w:hAnsi="Times New Roman" w:cs="Times New Roman"/>
        </w:rPr>
        <w:t>e as monitorias antes e após a A</w:t>
      </w:r>
      <w:r w:rsidR="00BE718F">
        <w:rPr>
          <w:rFonts w:ascii="Times New Roman" w:hAnsi="Times New Roman" w:cs="Times New Roman"/>
        </w:rPr>
        <w:t>valiação</w:t>
      </w:r>
      <w:r w:rsidR="00407CC9">
        <w:rPr>
          <w:rFonts w:ascii="Times New Roman" w:hAnsi="Times New Roman" w:cs="Times New Roman"/>
        </w:rPr>
        <w:t xml:space="preserve"> Parcial</w:t>
      </w:r>
      <w:r w:rsidR="00BE718F">
        <w:rPr>
          <w:rFonts w:ascii="Times New Roman" w:hAnsi="Times New Roman" w:cs="Times New Roman"/>
        </w:rPr>
        <w:t xml:space="preserve"> 1</w:t>
      </w:r>
      <w:r w:rsidR="00407CC9">
        <w:rPr>
          <w:rFonts w:ascii="Times New Roman" w:hAnsi="Times New Roman" w:cs="Times New Roman"/>
        </w:rPr>
        <w:t xml:space="preserve"> (AP1)</w:t>
      </w:r>
      <w:r w:rsidR="00BE718F">
        <w:rPr>
          <w:rFonts w:ascii="Times New Roman" w:hAnsi="Times New Roman" w:cs="Times New Roman"/>
        </w:rPr>
        <w:t xml:space="preserve">, juntamente com a quantidade de alunos de outro curso da saúde </w:t>
      </w:r>
      <w:r w:rsidR="0022594D">
        <w:rPr>
          <w:rFonts w:ascii="Times New Roman" w:hAnsi="Times New Roman" w:cs="Times New Roman"/>
        </w:rPr>
        <w:t>foram compilados através do Programa Excel</w:t>
      </w:r>
      <w:r w:rsidR="00BE718F">
        <w:rPr>
          <w:rFonts w:ascii="Times New Roman" w:hAnsi="Times New Roman" w:cs="Times New Roman"/>
        </w:rPr>
        <w:t xml:space="preserve"> 2013 e demostrados em número.</w:t>
      </w:r>
      <w:r w:rsidR="006C51DD">
        <w:rPr>
          <w:rFonts w:ascii="Times New Roman" w:hAnsi="Times New Roman" w:cs="Times New Roman"/>
        </w:rPr>
        <w:t xml:space="preserve"> </w:t>
      </w:r>
    </w:p>
    <w:p w14:paraId="325768FE" w14:textId="77777777" w:rsidR="003D6F98" w:rsidRPr="0019190C" w:rsidRDefault="0019190C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RESULTADOS E DISCUSSÃO</w:t>
      </w:r>
    </w:p>
    <w:p w14:paraId="5E63A1DA" w14:textId="3C0348CD" w:rsidR="00C443B4" w:rsidRDefault="00BE718F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 42 alunos matriculados na disciplina</w:t>
      </w:r>
      <w:r w:rsidR="00407CC9">
        <w:rPr>
          <w:rFonts w:ascii="Times New Roman" w:hAnsi="Times New Roman" w:cs="Times New Roman"/>
        </w:rPr>
        <w:t xml:space="preserve"> em média</w:t>
      </w:r>
      <w:r>
        <w:rPr>
          <w:rFonts w:ascii="Times New Roman" w:hAnsi="Times New Roman" w:cs="Times New Roman"/>
        </w:rPr>
        <w:t xml:space="preserve"> 9 (21,42%) compareciam semanalmente aos encontros de monitori</w:t>
      </w:r>
      <w:r w:rsidR="00C75028">
        <w:rPr>
          <w:rFonts w:ascii="Times New Roman" w:hAnsi="Times New Roman" w:cs="Times New Roman"/>
        </w:rPr>
        <w:t>a antes da AP1. A média de frequência dos alunos nos encontros de monitoria para Avaliação Parcial 2 foi 15 (35,71%)</w:t>
      </w:r>
      <w:r w:rsidR="009B4F87">
        <w:rPr>
          <w:rFonts w:ascii="Times New Roman" w:hAnsi="Times New Roman" w:cs="Times New Roman"/>
        </w:rPr>
        <w:t>, sendo 10 (23,80%)</w:t>
      </w:r>
      <w:r w:rsidR="009C2584">
        <w:rPr>
          <w:rFonts w:ascii="Times New Roman" w:hAnsi="Times New Roman" w:cs="Times New Roman"/>
        </w:rPr>
        <w:t xml:space="preserve"> alunos do curso de farmácia e 5 (33,3</w:t>
      </w:r>
      <w:r w:rsidR="009B4F87">
        <w:rPr>
          <w:rFonts w:ascii="Times New Roman" w:hAnsi="Times New Roman" w:cs="Times New Roman"/>
        </w:rPr>
        <w:t xml:space="preserve">%) alunos do curso de educação física. </w:t>
      </w:r>
      <w:r w:rsidR="00E94C5D">
        <w:rPr>
          <w:rFonts w:ascii="Times New Roman" w:hAnsi="Times New Roman" w:cs="Times New Roman"/>
        </w:rPr>
        <w:t xml:space="preserve">O número maior de alunos </w:t>
      </w:r>
      <w:r w:rsidR="00E94C5D">
        <w:rPr>
          <w:rFonts w:ascii="Times New Roman" w:hAnsi="Times New Roman" w:cs="Times New Roman"/>
        </w:rPr>
        <w:lastRenderedPageBreak/>
        <w:t>que aderiam aos en</w:t>
      </w:r>
      <w:r w:rsidR="00407CC9">
        <w:rPr>
          <w:rFonts w:ascii="Times New Roman" w:hAnsi="Times New Roman" w:cs="Times New Roman"/>
        </w:rPr>
        <w:t>contros de monitoria se deu diante</w:t>
      </w:r>
      <w:r w:rsidR="00E94C5D">
        <w:rPr>
          <w:rFonts w:ascii="Times New Roman" w:hAnsi="Times New Roman" w:cs="Times New Roman"/>
        </w:rPr>
        <w:t xml:space="preserve"> n</w:t>
      </w:r>
      <w:r w:rsidR="00C75028">
        <w:rPr>
          <w:rFonts w:ascii="Times New Roman" w:hAnsi="Times New Roman" w:cs="Times New Roman"/>
        </w:rPr>
        <w:t>ão só pelo insucesso obtido</w:t>
      </w:r>
      <w:r w:rsidR="00E94C5D">
        <w:rPr>
          <w:rFonts w:ascii="Times New Roman" w:hAnsi="Times New Roman" w:cs="Times New Roman"/>
        </w:rPr>
        <w:t xml:space="preserve"> </w:t>
      </w:r>
      <w:r w:rsidR="00C75028">
        <w:rPr>
          <w:rFonts w:ascii="Times New Roman" w:hAnsi="Times New Roman" w:cs="Times New Roman"/>
        </w:rPr>
        <w:t>n</w:t>
      </w:r>
      <w:r w:rsidR="006309BE">
        <w:rPr>
          <w:rFonts w:ascii="Times New Roman" w:hAnsi="Times New Roman" w:cs="Times New Roman"/>
        </w:rPr>
        <w:t>a AP1, ma</w:t>
      </w:r>
      <w:r w:rsidR="00E94C5D">
        <w:rPr>
          <w:rFonts w:ascii="Times New Roman" w:hAnsi="Times New Roman" w:cs="Times New Roman"/>
        </w:rPr>
        <w:t>s também pelo despertar</w:t>
      </w:r>
      <w:r w:rsidR="00407CC9">
        <w:rPr>
          <w:rFonts w:ascii="Times New Roman" w:hAnsi="Times New Roman" w:cs="Times New Roman"/>
        </w:rPr>
        <w:t xml:space="preserve"> da relevância da monitoria para o desempenho na disciplina, </w:t>
      </w:r>
      <w:r w:rsidR="009B344F">
        <w:rPr>
          <w:rFonts w:ascii="Times New Roman" w:hAnsi="Times New Roman" w:cs="Times New Roman"/>
        </w:rPr>
        <w:t>bem como</w:t>
      </w:r>
      <w:r w:rsidR="00407CC9">
        <w:rPr>
          <w:rFonts w:ascii="Times New Roman" w:hAnsi="Times New Roman" w:cs="Times New Roman"/>
        </w:rPr>
        <w:t xml:space="preserve"> relatado</w:t>
      </w:r>
      <w:r w:rsidR="00E94C5D">
        <w:rPr>
          <w:rFonts w:ascii="Times New Roman" w:hAnsi="Times New Roman" w:cs="Times New Roman"/>
        </w:rPr>
        <w:t xml:space="preserve"> pelos </w:t>
      </w:r>
      <w:r w:rsidR="00407CC9">
        <w:rPr>
          <w:rFonts w:ascii="Times New Roman" w:hAnsi="Times New Roman" w:cs="Times New Roman"/>
        </w:rPr>
        <w:t xml:space="preserve">próprios </w:t>
      </w:r>
      <w:r w:rsidR="00E94C5D">
        <w:rPr>
          <w:rFonts w:ascii="Times New Roman" w:hAnsi="Times New Roman" w:cs="Times New Roman"/>
        </w:rPr>
        <w:t xml:space="preserve">alunos que participavam dos encontros semanalmente. </w:t>
      </w:r>
    </w:p>
    <w:p w14:paraId="2F451046" w14:textId="77777777" w:rsidR="006309BE" w:rsidRDefault="006309BE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078E0C60" w14:textId="77777777" w:rsidR="00781398" w:rsidRDefault="006309BE" w:rsidP="006309BE">
      <w:pPr>
        <w:pStyle w:val="Default"/>
        <w:jc w:val="both"/>
        <w:rPr>
          <w:rFonts w:ascii="Times New Roman" w:hAnsi="Times New Roman" w:cs="Times New Roman"/>
        </w:rPr>
      </w:pPr>
      <w:r w:rsidRPr="006309BE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AA089BE" wp14:editId="6BD0F4F2">
            <wp:simplePos x="0" y="0"/>
            <wp:positionH relativeFrom="margin">
              <wp:posOffset>-635</wp:posOffset>
            </wp:positionH>
            <wp:positionV relativeFrom="paragraph">
              <wp:posOffset>631190</wp:posOffset>
            </wp:positionV>
            <wp:extent cx="57340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528" y="21421"/>
                <wp:lineTo x="21528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DCC" w:rsidRPr="006309BE">
        <w:rPr>
          <w:rFonts w:ascii="Times New Roman" w:hAnsi="Times New Roman" w:cs="Times New Roman"/>
          <w:b/>
        </w:rPr>
        <w:t>Figura 1:</w:t>
      </w:r>
      <w:r w:rsidR="00323DCC">
        <w:rPr>
          <w:rFonts w:ascii="Times New Roman" w:hAnsi="Times New Roman" w:cs="Times New Roman"/>
        </w:rPr>
        <w:t xml:space="preserve"> Distribuição do número de alunos matriculados na disciplina de Bioquímica Básica do curso de Farmáci</w:t>
      </w:r>
      <w:r w:rsidR="00A550F6">
        <w:rPr>
          <w:rFonts w:ascii="Times New Roman" w:hAnsi="Times New Roman" w:cs="Times New Roman"/>
        </w:rPr>
        <w:t xml:space="preserve">a no primeiro semestre de 2019 e </w:t>
      </w:r>
      <w:r w:rsidR="009B344F">
        <w:rPr>
          <w:rFonts w:ascii="Times New Roman" w:hAnsi="Times New Roman" w:cs="Times New Roman"/>
        </w:rPr>
        <w:t xml:space="preserve">a média do </w:t>
      </w:r>
      <w:r w:rsidR="00A550F6">
        <w:rPr>
          <w:rFonts w:ascii="Times New Roman" w:hAnsi="Times New Roman" w:cs="Times New Roman"/>
        </w:rPr>
        <w:t>número de alunos presentes nos encontros de monitoria.</w:t>
      </w:r>
    </w:p>
    <w:p w14:paraId="6F7D622A" w14:textId="77777777" w:rsidR="00BE718F" w:rsidRPr="006309BE" w:rsidRDefault="00323DCC" w:rsidP="00323DC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6309BE">
        <w:rPr>
          <w:rFonts w:ascii="Times New Roman" w:hAnsi="Times New Roman" w:cs="Times New Roman"/>
          <w:sz w:val="22"/>
        </w:rPr>
        <w:t xml:space="preserve">Fonte: Frequência acadêmica </w:t>
      </w:r>
    </w:p>
    <w:p w14:paraId="382BD44D" w14:textId="77777777" w:rsidR="006309BE" w:rsidRDefault="006309BE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047C6F4F" w14:textId="77777777" w:rsidR="00C75028" w:rsidRDefault="00617C20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75028" w:rsidRPr="00781398">
        <w:rPr>
          <w:rFonts w:ascii="Times New Roman" w:hAnsi="Times New Roman" w:cs="Times New Roman"/>
        </w:rPr>
        <w:t xml:space="preserve"> introdução dos di</w:t>
      </w:r>
      <w:r w:rsidR="006309BE">
        <w:rPr>
          <w:rFonts w:ascii="Times New Roman" w:hAnsi="Times New Roman" w:cs="Times New Roman"/>
        </w:rPr>
        <w:t>s</w:t>
      </w:r>
      <w:r w:rsidR="00C75028" w:rsidRPr="00781398">
        <w:rPr>
          <w:rFonts w:ascii="Times New Roman" w:hAnsi="Times New Roman" w:cs="Times New Roman"/>
        </w:rPr>
        <w:t>centes do curso de educação física foi importantíssimo para fomentar as discussões sobre os processos bioquímicos para a Avaliação Parcial 2 (AP2)</w:t>
      </w:r>
      <w:r>
        <w:rPr>
          <w:rFonts w:ascii="Times New Roman" w:hAnsi="Times New Roman" w:cs="Times New Roman"/>
        </w:rPr>
        <w:t>. T</w:t>
      </w:r>
      <w:r w:rsidR="00C75028" w:rsidRPr="00781398">
        <w:rPr>
          <w:rFonts w:ascii="Times New Roman" w:hAnsi="Times New Roman" w:cs="Times New Roman"/>
        </w:rPr>
        <w:t xml:space="preserve">ambém foram relatados por estes as principais dificuldades durante a realização da matéria, que </w:t>
      </w:r>
      <w:r w:rsidRPr="00781398">
        <w:rPr>
          <w:rFonts w:ascii="Times New Roman" w:hAnsi="Times New Roman" w:cs="Times New Roman"/>
        </w:rPr>
        <w:t>incluíam</w:t>
      </w:r>
      <w:r w:rsidR="00C75028" w:rsidRPr="00781398">
        <w:rPr>
          <w:rFonts w:ascii="Times New Roman" w:hAnsi="Times New Roman" w:cs="Times New Roman"/>
        </w:rPr>
        <w:t xml:space="preserve"> a ausência de um monitor para a disciplina no curso. Sendo enfatizado a turma do encontro a oportunidade favorável das monitorias que alguns discentes não aproveitam. </w:t>
      </w:r>
    </w:p>
    <w:p w14:paraId="34C6DB4E" w14:textId="77777777" w:rsidR="00617C20" w:rsidRPr="00781398" w:rsidRDefault="00617C20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4BD7FC41" w14:textId="77777777" w:rsidR="00323DCC" w:rsidRPr="00781398" w:rsidRDefault="00A550F6" w:rsidP="00617C20">
      <w:pPr>
        <w:pStyle w:val="Default"/>
        <w:jc w:val="both"/>
        <w:rPr>
          <w:rFonts w:ascii="Times New Roman" w:hAnsi="Times New Roman" w:cs="Times New Roman"/>
        </w:rPr>
      </w:pPr>
      <w:r w:rsidRPr="00617C20">
        <w:rPr>
          <w:rFonts w:ascii="Times New Roman" w:hAnsi="Times New Roman" w:cs="Times New Roman"/>
          <w:b/>
        </w:rPr>
        <w:t>Figura 2:</w:t>
      </w:r>
      <w:r w:rsidRPr="00781398">
        <w:rPr>
          <w:rFonts w:ascii="Times New Roman" w:hAnsi="Times New Roman" w:cs="Times New Roman"/>
        </w:rPr>
        <w:t xml:space="preserve"> Distribuição </w:t>
      </w:r>
      <w:r w:rsidR="00260205" w:rsidRPr="00781398">
        <w:rPr>
          <w:rFonts w:ascii="Times New Roman" w:hAnsi="Times New Roman" w:cs="Times New Roman"/>
        </w:rPr>
        <w:t>do</w:t>
      </w:r>
      <w:r w:rsidR="00323DCC" w:rsidRPr="00781398">
        <w:rPr>
          <w:rFonts w:ascii="Times New Roman" w:hAnsi="Times New Roman" w:cs="Times New Roman"/>
        </w:rPr>
        <w:t xml:space="preserve"> número de alunos </w:t>
      </w:r>
      <w:r w:rsidR="00260205" w:rsidRPr="00781398">
        <w:rPr>
          <w:rFonts w:ascii="Times New Roman" w:hAnsi="Times New Roman" w:cs="Times New Roman"/>
        </w:rPr>
        <w:t xml:space="preserve">presentes na monitoria da disciplina de Bioquímica Básica do curso de Farmácia antes da AP2 e número de alunos dos cursos de farmácia e educação física. </w:t>
      </w:r>
    </w:p>
    <w:p w14:paraId="37F516F1" w14:textId="77777777" w:rsidR="00323DCC" w:rsidRDefault="00323DCC" w:rsidP="00323DCC">
      <w:pPr>
        <w:rPr>
          <w:lang w:eastAsia="pt-BR" w:bidi="ar-SA"/>
        </w:rPr>
      </w:pPr>
    </w:p>
    <w:p w14:paraId="507DE069" w14:textId="77777777" w:rsidR="00323DCC" w:rsidRPr="00323DCC" w:rsidRDefault="00323DCC" w:rsidP="00781398">
      <w:pPr>
        <w:spacing w:line="360" w:lineRule="auto"/>
        <w:rPr>
          <w:lang w:eastAsia="pt-BR" w:bidi="ar-SA"/>
        </w:rPr>
      </w:pPr>
      <w:r>
        <w:rPr>
          <w:noProof/>
          <w:lang w:eastAsia="pt-BR" w:bidi="ar-SA"/>
        </w:rPr>
        <w:lastRenderedPageBreak/>
        <w:drawing>
          <wp:inline distT="0" distB="0" distL="0" distR="0" wp14:anchorId="7FCB6BC5" wp14:editId="3DCE3924">
            <wp:extent cx="5724525" cy="233362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16F337" w14:textId="77777777" w:rsidR="00323DCC" w:rsidRPr="00617C20" w:rsidRDefault="00260205" w:rsidP="00781398">
      <w:pPr>
        <w:spacing w:line="360" w:lineRule="auto"/>
        <w:rPr>
          <w:rFonts w:ascii="Times New Roman" w:hAnsi="Times New Roman" w:cs="Times New Roman"/>
          <w:sz w:val="22"/>
          <w:lang w:eastAsia="pt-BR" w:bidi="ar-SA"/>
        </w:rPr>
      </w:pPr>
      <w:r w:rsidRPr="00617C20">
        <w:rPr>
          <w:rFonts w:ascii="Times New Roman" w:hAnsi="Times New Roman" w:cs="Times New Roman"/>
          <w:sz w:val="22"/>
          <w:lang w:eastAsia="pt-BR" w:bidi="ar-SA"/>
        </w:rPr>
        <w:t>Fonte:</w:t>
      </w:r>
      <w:r w:rsidR="006C6DC2" w:rsidRPr="00617C20">
        <w:rPr>
          <w:rFonts w:ascii="Times New Roman" w:hAnsi="Times New Roman" w:cs="Times New Roman"/>
          <w:sz w:val="22"/>
          <w:lang w:eastAsia="pt-BR" w:bidi="ar-SA"/>
        </w:rPr>
        <w:t xml:space="preserve"> Frequência acadêmica.</w:t>
      </w:r>
    </w:p>
    <w:p w14:paraId="737D3B00" w14:textId="77777777" w:rsidR="00781398" w:rsidRDefault="00781398" w:rsidP="00323DCC">
      <w:pPr>
        <w:rPr>
          <w:lang w:eastAsia="pt-BR" w:bidi="ar-SA"/>
        </w:rPr>
      </w:pPr>
    </w:p>
    <w:p w14:paraId="264D6DC8" w14:textId="77777777" w:rsidR="00E20CB1" w:rsidRDefault="006C6DC2" w:rsidP="007E7F8F">
      <w:pPr>
        <w:spacing w:line="360" w:lineRule="auto"/>
        <w:ind w:firstLine="1134"/>
        <w:jc w:val="both"/>
        <w:rPr>
          <w:rFonts w:ascii="Times New Roman" w:hAnsi="Times New Roman" w:cs="Times New Roman"/>
          <w:lang w:eastAsia="pt-BR" w:bidi="ar-SA"/>
        </w:rPr>
      </w:pPr>
      <w:r w:rsidRPr="00781398">
        <w:rPr>
          <w:rFonts w:ascii="Times New Roman" w:hAnsi="Times New Roman" w:cs="Times New Roman"/>
          <w:lang w:eastAsia="pt-BR" w:bidi="ar-SA"/>
        </w:rPr>
        <w:t xml:space="preserve">Para o desenvolvimento da página na rede social de compartilhamento </w:t>
      </w:r>
      <w:r w:rsidRPr="00E20CB1">
        <w:rPr>
          <w:rFonts w:ascii="Times New Roman" w:hAnsi="Times New Roman" w:cs="Times New Roman"/>
          <w:i/>
          <w:lang w:eastAsia="pt-BR" w:bidi="ar-SA"/>
        </w:rPr>
        <w:t>Instagram</w:t>
      </w:r>
      <w:r w:rsidRPr="00781398">
        <w:rPr>
          <w:rFonts w:ascii="Times New Roman" w:hAnsi="Times New Roman" w:cs="Times New Roman"/>
          <w:lang w:eastAsia="pt-BR" w:bidi="ar-SA"/>
        </w:rPr>
        <w:t xml:space="preserve"> intitulada “@facilbioquimica” foram postadas atual</w:t>
      </w:r>
      <w:r w:rsidR="00D52BAF">
        <w:rPr>
          <w:rFonts w:ascii="Times New Roman" w:hAnsi="Times New Roman" w:cs="Times New Roman"/>
          <w:lang w:eastAsia="pt-BR" w:bidi="ar-SA"/>
        </w:rPr>
        <w:t xml:space="preserve">izações de conteúdos diários ou </w:t>
      </w:r>
      <w:r w:rsidRPr="00781398">
        <w:rPr>
          <w:rFonts w:ascii="Times New Roman" w:hAnsi="Times New Roman" w:cs="Times New Roman"/>
          <w:lang w:eastAsia="pt-BR" w:bidi="ar-SA"/>
        </w:rPr>
        <w:t xml:space="preserve">semanalmente sobre assuntos da disciplina de </w:t>
      </w:r>
      <w:r w:rsidR="00617C20" w:rsidRPr="00781398">
        <w:rPr>
          <w:rFonts w:ascii="Times New Roman" w:hAnsi="Times New Roman" w:cs="Times New Roman"/>
          <w:lang w:eastAsia="pt-BR" w:bidi="ar-SA"/>
        </w:rPr>
        <w:t>Bioquímica</w:t>
      </w:r>
      <w:r w:rsidRPr="00781398">
        <w:rPr>
          <w:rFonts w:ascii="Times New Roman" w:hAnsi="Times New Roman" w:cs="Times New Roman"/>
          <w:lang w:eastAsia="pt-BR" w:bidi="ar-SA"/>
        </w:rPr>
        <w:t xml:space="preserve"> Básica em </w:t>
      </w:r>
      <w:r w:rsidRPr="00781398">
        <w:rPr>
          <w:rFonts w:ascii="Times New Roman" w:hAnsi="Times New Roman" w:cs="Times New Roman"/>
          <w:i/>
          <w:lang w:eastAsia="pt-BR" w:bidi="ar-SA"/>
        </w:rPr>
        <w:t>Feed</w:t>
      </w:r>
      <w:r w:rsidRPr="00781398">
        <w:rPr>
          <w:rFonts w:ascii="Times New Roman" w:hAnsi="Times New Roman" w:cs="Times New Roman"/>
          <w:lang w:eastAsia="pt-BR" w:bidi="ar-SA"/>
        </w:rPr>
        <w:t xml:space="preserve"> ou </w:t>
      </w:r>
      <w:r w:rsidRPr="00781398">
        <w:rPr>
          <w:rFonts w:ascii="Times New Roman" w:hAnsi="Times New Roman" w:cs="Times New Roman"/>
          <w:i/>
          <w:lang w:eastAsia="pt-BR" w:bidi="ar-SA"/>
        </w:rPr>
        <w:t>Story</w:t>
      </w:r>
      <w:r w:rsidR="00EA336D" w:rsidRPr="00781398">
        <w:rPr>
          <w:rFonts w:ascii="Times New Roman" w:hAnsi="Times New Roman" w:cs="Times New Roman"/>
          <w:lang w:eastAsia="pt-BR" w:bidi="ar-SA"/>
        </w:rPr>
        <w:t>. A turma da disciplina era convid</w:t>
      </w:r>
      <w:r w:rsidR="00B24DA9">
        <w:rPr>
          <w:rFonts w:ascii="Times New Roman" w:hAnsi="Times New Roman" w:cs="Times New Roman"/>
          <w:lang w:eastAsia="pt-BR" w:bidi="ar-SA"/>
        </w:rPr>
        <w:t>ada a seguir a conta que fora criada e solicitado</w:t>
      </w:r>
      <w:r w:rsidR="00EA336D" w:rsidRPr="00781398">
        <w:rPr>
          <w:rFonts w:ascii="Times New Roman" w:hAnsi="Times New Roman" w:cs="Times New Roman"/>
          <w:lang w:eastAsia="pt-BR" w:bidi="ar-SA"/>
        </w:rPr>
        <w:t xml:space="preserve"> </w:t>
      </w:r>
      <w:r w:rsidR="00B24DA9">
        <w:rPr>
          <w:rFonts w:ascii="Times New Roman" w:hAnsi="Times New Roman" w:cs="Times New Roman"/>
          <w:lang w:eastAsia="pt-BR" w:bidi="ar-SA"/>
        </w:rPr>
        <w:t>que interagissem com as postagen</w:t>
      </w:r>
      <w:r w:rsidR="00D52BAF">
        <w:rPr>
          <w:rFonts w:ascii="Times New Roman" w:hAnsi="Times New Roman" w:cs="Times New Roman"/>
          <w:lang w:eastAsia="pt-BR" w:bidi="ar-SA"/>
        </w:rPr>
        <w:t xml:space="preserve">s. </w:t>
      </w:r>
    </w:p>
    <w:p w14:paraId="03795206" w14:textId="77777777" w:rsidR="009B344F" w:rsidRPr="00865202" w:rsidRDefault="00D52BAF" w:rsidP="007E7F8F">
      <w:pPr>
        <w:spacing w:line="360" w:lineRule="auto"/>
        <w:ind w:firstLine="1134"/>
        <w:jc w:val="both"/>
        <w:rPr>
          <w:rFonts w:ascii="Times New Roman" w:hAnsi="Times New Roman" w:cs="Times New Roman"/>
          <w:lang w:eastAsia="pt-BR" w:bidi="ar-SA"/>
        </w:rPr>
      </w:pPr>
      <w:r>
        <w:rPr>
          <w:rFonts w:ascii="Times New Roman" w:hAnsi="Times New Roman" w:cs="Times New Roman"/>
          <w:lang w:eastAsia="pt-BR" w:bidi="ar-SA"/>
        </w:rPr>
        <w:t xml:space="preserve">A página tem como objetivo </w:t>
      </w:r>
      <w:r w:rsidR="007D4F72">
        <w:rPr>
          <w:rFonts w:ascii="Times New Roman" w:hAnsi="Times New Roman" w:cs="Times New Roman"/>
          <w:lang w:eastAsia="pt-BR" w:bidi="ar-SA"/>
        </w:rPr>
        <w:t xml:space="preserve">não só </w:t>
      </w:r>
      <w:r>
        <w:rPr>
          <w:rFonts w:ascii="Times New Roman" w:hAnsi="Times New Roman" w:cs="Times New Roman"/>
          <w:lang w:eastAsia="pt-BR" w:bidi="ar-SA"/>
        </w:rPr>
        <w:t xml:space="preserve">facilitar o aprendizado dos </w:t>
      </w:r>
      <w:r w:rsidR="007D4F72">
        <w:rPr>
          <w:rFonts w:ascii="Times New Roman" w:hAnsi="Times New Roman" w:cs="Times New Roman"/>
          <w:lang w:eastAsia="pt-BR" w:bidi="ar-SA"/>
        </w:rPr>
        <w:t>alunos da disciplina como também</w:t>
      </w:r>
      <w:r>
        <w:rPr>
          <w:rFonts w:ascii="Times New Roman" w:hAnsi="Times New Roman" w:cs="Times New Roman"/>
          <w:lang w:eastAsia="pt-BR" w:bidi="ar-SA"/>
        </w:rPr>
        <w:t xml:space="preserve"> </w:t>
      </w:r>
      <w:r w:rsidR="007D4F72">
        <w:rPr>
          <w:rFonts w:ascii="Times New Roman" w:hAnsi="Times New Roman" w:cs="Times New Roman"/>
          <w:lang w:eastAsia="pt-BR" w:bidi="ar-SA"/>
        </w:rPr>
        <w:t xml:space="preserve">gerar um </w:t>
      </w:r>
      <w:r w:rsidR="00EA336D" w:rsidRPr="00781398">
        <w:rPr>
          <w:rFonts w:ascii="Times New Roman" w:hAnsi="Times New Roman" w:cs="Times New Roman"/>
          <w:lang w:eastAsia="pt-BR" w:bidi="ar-SA"/>
        </w:rPr>
        <w:t xml:space="preserve">maior envolvimento com os assuntos abordados e melhor </w:t>
      </w:r>
      <w:r w:rsidR="007D4F72">
        <w:rPr>
          <w:rFonts w:ascii="Times New Roman" w:hAnsi="Times New Roman" w:cs="Times New Roman"/>
          <w:lang w:eastAsia="pt-BR" w:bidi="ar-SA"/>
        </w:rPr>
        <w:t xml:space="preserve">o </w:t>
      </w:r>
      <w:r w:rsidR="00EA336D" w:rsidRPr="00781398">
        <w:rPr>
          <w:rFonts w:ascii="Times New Roman" w:hAnsi="Times New Roman" w:cs="Times New Roman"/>
          <w:lang w:eastAsia="pt-BR" w:bidi="ar-SA"/>
        </w:rPr>
        <w:t xml:space="preserve">aprendizado do conteúdo, </w:t>
      </w:r>
      <w:r w:rsidR="007D4F72">
        <w:rPr>
          <w:rFonts w:ascii="Times New Roman" w:hAnsi="Times New Roman" w:cs="Times New Roman"/>
          <w:lang w:eastAsia="pt-BR" w:bidi="ar-SA"/>
        </w:rPr>
        <w:t xml:space="preserve">pois </w:t>
      </w:r>
      <w:r w:rsidR="00EA336D" w:rsidRPr="00781398">
        <w:rPr>
          <w:rFonts w:ascii="Times New Roman" w:hAnsi="Times New Roman" w:cs="Times New Roman"/>
          <w:lang w:eastAsia="pt-BR" w:bidi="ar-SA"/>
        </w:rPr>
        <w:t>muitos alunos usam esse aplicat</w:t>
      </w:r>
      <w:r w:rsidR="007D4F72">
        <w:rPr>
          <w:rFonts w:ascii="Times New Roman" w:hAnsi="Times New Roman" w:cs="Times New Roman"/>
          <w:lang w:eastAsia="pt-BR" w:bidi="ar-SA"/>
        </w:rPr>
        <w:t xml:space="preserve">ivo como forma de divertimento e interação social. </w:t>
      </w:r>
      <w:r w:rsidR="00E20CB1">
        <w:rPr>
          <w:rFonts w:ascii="Times New Roman" w:hAnsi="Times New Roman" w:cs="Times New Roman"/>
          <w:lang w:eastAsia="pt-BR" w:bidi="ar-SA"/>
        </w:rPr>
        <w:t xml:space="preserve">É importante destacar que todos os estudantes da disciplina, mesmo os que não conseguiam ir aos encontros da monitoria, estavam seguindo e interagindo com as publicações. </w:t>
      </w:r>
      <w:r w:rsidR="00865202">
        <w:rPr>
          <w:rFonts w:ascii="Times New Roman" w:hAnsi="Times New Roman" w:cs="Times New Roman"/>
          <w:lang w:eastAsia="pt-BR" w:bidi="ar-SA"/>
        </w:rPr>
        <w:t xml:space="preserve">Então, juntamente com outro aplicativo também usado o </w:t>
      </w:r>
      <w:r w:rsidR="00865202" w:rsidRPr="00865202">
        <w:rPr>
          <w:rFonts w:ascii="Times New Roman" w:hAnsi="Times New Roman" w:cs="Times New Roman"/>
          <w:i/>
        </w:rPr>
        <w:t>WhatsApp</w:t>
      </w:r>
      <w:r w:rsidR="00865202">
        <w:rPr>
          <w:rFonts w:ascii="Times New Roman" w:hAnsi="Times New Roman" w:cs="Times New Roman"/>
          <w:i/>
        </w:rPr>
        <w:t xml:space="preserve"> </w:t>
      </w:r>
      <w:r w:rsidR="00865202">
        <w:rPr>
          <w:rFonts w:ascii="Times New Roman" w:hAnsi="Times New Roman" w:cs="Times New Roman"/>
        </w:rPr>
        <w:t xml:space="preserve">pode se obter uma maior </w:t>
      </w:r>
      <w:r w:rsidR="00617C20">
        <w:rPr>
          <w:rFonts w:ascii="Times New Roman" w:hAnsi="Times New Roman" w:cs="Times New Roman"/>
        </w:rPr>
        <w:t>interação</w:t>
      </w:r>
      <w:r w:rsidR="00865202">
        <w:rPr>
          <w:rFonts w:ascii="Times New Roman" w:hAnsi="Times New Roman" w:cs="Times New Roman"/>
        </w:rPr>
        <w:t xml:space="preserve"> e comunicação entre a turma e o monitor, possibilitando assim o esclarecimento das dúvidas amplamente. </w:t>
      </w:r>
    </w:p>
    <w:p w14:paraId="604C64C7" w14:textId="77777777" w:rsidR="009B344F" w:rsidRDefault="007D4F72" w:rsidP="007E7F8F">
      <w:pPr>
        <w:spacing w:line="360" w:lineRule="auto"/>
        <w:ind w:firstLine="1134"/>
        <w:jc w:val="both"/>
        <w:rPr>
          <w:rFonts w:ascii="Times New Roman" w:hAnsi="Times New Roman" w:cs="Times New Roman"/>
          <w:lang w:eastAsia="pt-BR" w:bidi="ar-SA"/>
        </w:rPr>
      </w:pPr>
      <w:r>
        <w:rPr>
          <w:rFonts w:ascii="Times New Roman" w:hAnsi="Times New Roman" w:cs="Times New Roman"/>
          <w:lang w:eastAsia="pt-BR" w:bidi="ar-SA"/>
        </w:rPr>
        <w:t xml:space="preserve">Segundo Allegretti et al., 2012 redes sociais como </w:t>
      </w:r>
      <w:r w:rsidRPr="007D4F72">
        <w:rPr>
          <w:rFonts w:ascii="Times New Roman" w:hAnsi="Times New Roman" w:cs="Times New Roman"/>
          <w:i/>
          <w:lang w:eastAsia="pt-BR" w:bidi="ar-SA"/>
        </w:rPr>
        <w:t>Facebook</w:t>
      </w:r>
      <w:r w:rsidR="00E20CB1">
        <w:rPr>
          <w:rFonts w:ascii="Times New Roman" w:hAnsi="Times New Roman" w:cs="Times New Roman"/>
          <w:i/>
          <w:lang w:eastAsia="pt-BR" w:bidi="ar-SA"/>
        </w:rPr>
        <w:t xml:space="preserve"> </w:t>
      </w:r>
      <w:r w:rsidR="00E20CB1" w:rsidRPr="00E20CB1">
        <w:rPr>
          <w:rFonts w:ascii="Times New Roman" w:hAnsi="Times New Roman" w:cs="Times New Roman"/>
          <w:lang w:eastAsia="pt-BR" w:bidi="ar-SA"/>
        </w:rPr>
        <w:t>e</w:t>
      </w:r>
      <w:r w:rsidR="00E20CB1">
        <w:rPr>
          <w:rFonts w:ascii="Times New Roman" w:hAnsi="Times New Roman" w:cs="Times New Roman"/>
          <w:i/>
          <w:lang w:eastAsia="pt-BR" w:bidi="ar-SA"/>
        </w:rPr>
        <w:t xml:space="preserve"> Instagram</w:t>
      </w:r>
      <w:r w:rsidRPr="007D4F72">
        <w:rPr>
          <w:rFonts w:ascii="Times New Roman" w:hAnsi="Times New Roman" w:cs="Times New Roman"/>
          <w:i/>
          <w:lang w:eastAsia="pt-BR" w:bidi="ar-SA"/>
        </w:rPr>
        <w:t xml:space="preserve"> </w:t>
      </w:r>
      <w:r>
        <w:rPr>
          <w:rFonts w:ascii="Times New Roman" w:hAnsi="Times New Roman" w:cs="Times New Roman"/>
          <w:lang w:eastAsia="pt-BR" w:bidi="ar-SA"/>
        </w:rPr>
        <w:t>são espaços que facilitam as ligações e compartilhamento</w:t>
      </w:r>
      <w:r w:rsidR="00E20CB1">
        <w:rPr>
          <w:rFonts w:ascii="Times New Roman" w:hAnsi="Times New Roman" w:cs="Times New Roman"/>
          <w:lang w:eastAsia="pt-BR" w:bidi="ar-SA"/>
        </w:rPr>
        <w:t>s de materiais, assim vêm sendo utilizados, atualmente, de forma positiva</w:t>
      </w:r>
      <w:r>
        <w:rPr>
          <w:rFonts w:ascii="Times New Roman" w:hAnsi="Times New Roman" w:cs="Times New Roman"/>
          <w:lang w:eastAsia="pt-BR" w:bidi="ar-SA"/>
        </w:rPr>
        <w:t xml:space="preserve"> </w:t>
      </w:r>
      <w:r w:rsidR="00E20CB1">
        <w:rPr>
          <w:rFonts w:ascii="Times New Roman" w:hAnsi="Times New Roman" w:cs="Times New Roman"/>
          <w:lang w:eastAsia="pt-BR" w:bidi="ar-SA"/>
        </w:rPr>
        <w:t xml:space="preserve">com a possibilidade de aprendizado, colaboração, </w:t>
      </w:r>
      <w:r w:rsidR="00E20CB1" w:rsidRPr="00865202">
        <w:rPr>
          <w:rFonts w:ascii="Times New Roman" w:hAnsi="Times New Roman" w:cs="Times New Roman"/>
          <w:lang w:eastAsia="pt-BR" w:bidi="ar-SA"/>
        </w:rPr>
        <w:t xml:space="preserve">diálogo e edificação comum de conhecimento. </w:t>
      </w:r>
    </w:p>
    <w:p w14:paraId="6DC313C3" w14:textId="77777777" w:rsidR="00617C20" w:rsidRPr="00865202" w:rsidRDefault="00617C20" w:rsidP="007E7F8F">
      <w:pPr>
        <w:spacing w:line="360" w:lineRule="auto"/>
        <w:ind w:firstLine="1134"/>
        <w:jc w:val="both"/>
        <w:rPr>
          <w:rFonts w:ascii="Times New Roman" w:hAnsi="Times New Roman" w:cs="Times New Roman"/>
          <w:lang w:eastAsia="pt-BR" w:bidi="ar-SA"/>
        </w:rPr>
      </w:pPr>
    </w:p>
    <w:p w14:paraId="6FDA0823" w14:textId="77777777" w:rsidR="009B344F" w:rsidRPr="00865202" w:rsidRDefault="009B344F" w:rsidP="00617C20">
      <w:pPr>
        <w:jc w:val="both"/>
        <w:rPr>
          <w:rFonts w:ascii="Times New Roman" w:hAnsi="Times New Roman" w:cs="Times New Roman"/>
          <w:lang w:eastAsia="pt-BR" w:bidi="ar-SA"/>
        </w:rPr>
      </w:pPr>
      <w:r w:rsidRPr="00617C20">
        <w:rPr>
          <w:rFonts w:ascii="Times New Roman" w:hAnsi="Times New Roman" w:cs="Times New Roman"/>
          <w:b/>
          <w:lang w:eastAsia="pt-BR" w:bidi="ar-SA"/>
        </w:rPr>
        <w:t>Figura 3:</w:t>
      </w:r>
      <w:r w:rsidRPr="00865202">
        <w:rPr>
          <w:rFonts w:ascii="Times New Roman" w:hAnsi="Times New Roman" w:cs="Times New Roman"/>
          <w:lang w:eastAsia="pt-BR" w:bidi="ar-SA"/>
        </w:rPr>
        <w:t xml:space="preserve"> Página desenvolvida no Instagram para os acadêmicos da d</w:t>
      </w:r>
      <w:r w:rsidR="00C75028" w:rsidRPr="00865202">
        <w:rPr>
          <w:rFonts w:ascii="Times New Roman" w:hAnsi="Times New Roman" w:cs="Times New Roman"/>
          <w:lang w:eastAsia="pt-BR" w:bidi="ar-SA"/>
        </w:rPr>
        <w:t xml:space="preserve">isciplina de Bioquímica básica da área da saúde. </w:t>
      </w:r>
    </w:p>
    <w:p w14:paraId="1A7720ED" w14:textId="77777777" w:rsidR="009B344F" w:rsidRDefault="00865202" w:rsidP="00865202">
      <w:pPr>
        <w:jc w:val="center"/>
        <w:rPr>
          <w:lang w:eastAsia="pt-BR" w:bidi="ar-SA"/>
        </w:rPr>
      </w:pPr>
      <w:r>
        <w:rPr>
          <w:noProof/>
          <w:lang w:eastAsia="pt-BR" w:bidi="ar-SA"/>
        </w:rPr>
        <w:lastRenderedPageBreak/>
        <w:drawing>
          <wp:inline distT="0" distB="0" distL="0" distR="0" wp14:anchorId="21925C97" wp14:editId="06F6D8D6">
            <wp:extent cx="2695575" cy="24288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190910-083239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6E176" w14:textId="77777777" w:rsidR="009B344F" w:rsidRDefault="009B344F" w:rsidP="00323DCC">
      <w:pPr>
        <w:rPr>
          <w:lang w:eastAsia="pt-BR" w:bidi="ar-SA"/>
        </w:rPr>
      </w:pPr>
    </w:p>
    <w:p w14:paraId="3F746301" w14:textId="77777777" w:rsidR="00865202" w:rsidRDefault="009B344F" w:rsidP="00323DCC">
      <w:pPr>
        <w:rPr>
          <w:lang w:eastAsia="pt-BR" w:bidi="ar-SA"/>
        </w:rPr>
      </w:pPr>
      <w:r w:rsidRPr="00617C20">
        <w:rPr>
          <w:sz w:val="22"/>
          <w:lang w:eastAsia="pt-BR" w:bidi="ar-SA"/>
        </w:rPr>
        <w:t>Fonte: Imagem Própria do Autor.</w:t>
      </w:r>
    </w:p>
    <w:p w14:paraId="6F06EFDB" w14:textId="77777777" w:rsidR="007E7F8F" w:rsidRDefault="007E7F8F" w:rsidP="00323DCC">
      <w:pPr>
        <w:rPr>
          <w:lang w:eastAsia="pt-BR" w:bidi="ar-SA"/>
        </w:rPr>
      </w:pPr>
    </w:p>
    <w:p w14:paraId="782CA43C" w14:textId="77777777" w:rsidR="00865202" w:rsidRDefault="00865202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781398">
        <w:rPr>
          <w:rFonts w:ascii="Times New Roman" w:hAnsi="Times New Roman" w:cs="Times New Roman"/>
        </w:rPr>
        <w:t>Ao longo do semestre houve momentos que possibilitaram uma troca de experiências, aumentando assim a r</w:t>
      </w:r>
      <w:r w:rsidR="00617C20">
        <w:rPr>
          <w:rFonts w:ascii="Times New Roman" w:hAnsi="Times New Roman" w:cs="Times New Roman"/>
        </w:rPr>
        <w:t xml:space="preserve">elação do aluno com o monitor, </w:t>
      </w:r>
      <w:r w:rsidRPr="00781398">
        <w:rPr>
          <w:rFonts w:ascii="Times New Roman" w:hAnsi="Times New Roman" w:cs="Times New Roman"/>
        </w:rPr>
        <w:t xml:space="preserve">facilitando o esclarecimento e a revisão de conteúdos que ainda permaneciam duvidosos. Isso enfatiza a relevância da presença da monitoria no processo de aprendizado e fortalecimento de teoria para o sucesso acadêmico. Essa </w:t>
      </w:r>
      <w:r w:rsidR="00617C20">
        <w:rPr>
          <w:rFonts w:ascii="Times New Roman" w:hAnsi="Times New Roman" w:cs="Times New Roman"/>
        </w:rPr>
        <w:t>aproximação também é justificada</w:t>
      </w:r>
      <w:r w:rsidRPr="00781398">
        <w:rPr>
          <w:rFonts w:ascii="Times New Roman" w:hAnsi="Times New Roman" w:cs="Times New Roman"/>
        </w:rPr>
        <w:t xml:space="preserve"> pelo fato do monitor ser um estudante e mediador dessa troca de conhecimentos (LINS et al., 2009). </w:t>
      </w:r>
    </w:p>
    <w:p w14:paraId="63A57F6A" w14:textId="77777777" w:rsidR="00865202" w:rsidRDefault="00AC62BE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ser uma disciplina</w:t>
      </w:r>
      <w:r w:rsidR="000B0D34">
        <w:rPr>
          <w:rFonts w:ascii="Times New Roman" w:hAnsi="Times New Roman" w:cs="Times New Roman"/>
        </w:rPr>
        <w:t xml:space="preserve"> de primeiro semestre os </w:t>
      </w:r>
      <w:r>
        <w:rPr>
          <w:rFonts w:ascii="Times New Roman" w:hAnsi="Times New Roman" w:cs="Times New Roman"/>
        </w:rPr>
        <w:t>alunos estão conc</w:t>
      </w:r>
      <w:r w:rsidR="000B0D34">
        <w:rPr>
          <w:rFonts w:ascii="Times New Roman" w:hAnsi="Times New Roman" w:cs="Times New Roman"/>
        </w:rPr>
        <w:t>omitantemente fazendo discip</w:t>
      </w:r>
      <w:r>
        <w:rPr>
          <w:rFonts w:ascii="Times New Roman" w:hAnsi="Times New Roman" w:cs="Times New Roman"/>
        </w:rPr>
        <w:t xml:space="preserve">linas como química geral e, </w:t>
      </w:r>
      <w:r w:rsidR="000B0D34">
        <w:rPr>
          <w:rFonts w:ascii="Times New Roman" w:hAnsi="Times New Roman" w:cs="Times New Roman"/>
        </w:rPr>
        <w:t>alguns assuntos da bioquímica necessitam de um enten</w:t>
      </w:r>
      <w:r>
        <w:rPr>
          <w:rFonts w:ascii="Times New Roman" w:hAnsi="Times New Roman" w:cs="Times New Roman"/>
        </w:rPr>
        <w:t xml:space="preserve">dimento básico dessa disciplina. Exigindo dos discentes conteúdos ainda não repassados, o que dificulta a compreensão e entendimento dos conteúdos ministrados em sala de aula e presente entre as uma das dificuldades encontradas durante as monitorias. </w:t>
      </w:r>
    </w:p>
    <w:p w14:paraId="5F15FBD1" w14:textId="77777777" w:rsidR="00AC62BE" w:rsidRPr="00AC62BE" w:rsidRDefault="00AC62BE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decorrer da prática de monitoria senti a exigência de atualização e aprofundamento dos conhecimentos científicos, para que fosse dado o máximo de aproveitamento nos momentos de encontros, isso </w:t>
      </w:r>
      <w:r w:rsidR="00617C20">
        <w:rPr>
          <w:rFonts w:ascii="Times New Roman" w:hAnsi="Times New Roman" w:cs="Times New Roman"/>
        </w:rPr>
        <w:t>evidenciou</w:t>
      </w:r>
      <w:r>
        <w:rPr>
          <w:rFonts w:ascii="Times New Roman" w:hAnsi="Times New Roman" w:cs="Times New Roman"/>
        </w:rPr>
        <w:t xml:space="preserve"> a necessidade das atualizações contínuas da vivência acadêmica. Isso fez despertar a possibilidade que o monitor tem</w:t>
      </w:r>
      <w:r w:rsidR="001F7E41">
        <w:rPr>
          <w:rFonts w:ascii="Times New Roman" w:hAnsi="Times New Roman" w:cs="Times New Roman"/>
        </w:rPr>
        <w:t xml:space="preserve"> de alcançar grande aprendizado, reforçando o estímulo para uma futura prática docente. </w:t>
      </w:r>
    </w:p>
    <w:p w14:paraId="696A79DC" w14:textId="77777777" w:rsidR="003D6F98" w:rsidRPr="0019190C" w:rsidRDefault="003D6F98" w:rsidP="00F85DE4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CON</w:t>
      </w:r>
      <w:r w:rsidR="00080BE8" w:rsidRPr="0019190C">
        <w:rPr>
          <w:rFonts w:ascii="Times New Roman" w:hAnsi="Times New Roman" w:cs="Times New Roman"/>
          <w:b/>
          <w:bCs/>
          <w:color w:val="FFFFFF"/>
        </w:rPr>
        <w:t>SIDERAÇÕES FINAIS</w:t>
      </w:r>
    </w:p>
    <w:p w14:paraId="34D1CD35" w14:textId="77777777" w:rsidR="00BF736A" w:rsidRPr="004A67D3" w:rsidRDefault="00EA336D" w:rsidP="007E7F8F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participação dos alunos nos encontros de </w:t>
      </w:r>
      <w:r w:rsidR="00617C20">
        <w:rPr>
          <w:rFonts w:ascii="Times New Roman" w:hAnsi="Times New Roman" w:cs="Times New Roman"/>
        </w:rPr>
        <w:t>monitoria</w:t>
      </w:r>
      <w:r>
        <w:rPr>
          <w:rFonts w:ascii="Times New Roman" w:hAnsi="Times New Roman" w:cs="Times New Roman"/>
        </w:rPr>
        <w:t xml:space="preserve"> da disciplina de </w:t>
      </w:r>
      <w:r w:rsidR="00617C20">
        <w:rPr>
          <w:rFonts w:ascii="Times New Roman" w:hAnsi="Times New Roman" w:cs="Times New Roman"/>
        </w:rPr>
        <w:t>Bioquímica</w:t>
      </w:r>
      <w:r>
        <w:rPr>
          <w:rFonts w:ascii="Times New Roman" w:hAnsi="Times New Roman" w:cs="Times New Roman"/>
        </w:rPr>
        <w:t xml:space="preserve"> Básica </w:t>
      </w:r>
      <w:r w:rsidR="005A0611">
        <w:rPr>
          <w:rFonts w:ascii="Times New Roman" w:hAnsi="Times New Roman" w:cs="Times New Roman"/>
        </w:rPr>
        <w:t>mostrou-se</w:t>
      </w:r>
      <w:r w:rsidR="00655941">
        <w:rPr>
          <w:rFonts w:ascii="Times New Roman" w:hAnsi="Times New Roman" w:cs="Times New Roman"/>
        </w:rPr>
        <w:t xml:space="preserve"> bastante proveitosa para os acadêmicos e para o aluno-monitor, servindo como um ponto de apoio para o esclarecimento das principais dúvidas nos assuntos que remetem aos conteúdos da disciplina. E incentivando o</w:t>
      </w:r>
      <w:r w:rsidR="00617C20">
        <w:rPr>
          <w:rFonts w:ascii="Times New Roman" w:hAnsi="Times New Roman" w:cs="Times New Roman"/>
        </w:rPr>
        <w:t xml:space="preserve"> monitor na iniciação acadêmica</w:t>
      </w:r>
      <w:r w:rsidR="00655941">
        <w:rPr>
          <w:rFonts w:ascii="Times New Roman" w:hAnsi="Times New Roman" w:cs="Times New Roman"/>
        </w:rPr>
        <w:t xml:space="preserve"> e fomentando neste a importância do processo aprendizado </w:t>
      </w:r>
      <w:r w:rsidR="00C1563A">
        <w:rPr>
          <w:rFonts w:ascii="Times New Roman" w:hAnsi="Times New Roman" w:cs="Times New Roman"/>
        </w:rPr>
        <w:t xml:space="preserve">para a construção de uma educação </w:t>
      </w:r>
      <w:r w:rsidR="00C1563A">
        <w:rPr>
          <w:rFonts w:ascii="Times New Roman" w:hAnsi="Times New Roman" w:cs="Times New Roman"/>
        </w:rPr>
        <w:lastRenderedPageBreak/>
        <w:t>superior adequada.</w:t>
      </w:r>
      <w:r w:rsidR="004A67D3">
        <w:rPr>
          <w:rFonts w:ascii="Times New Roman" w:hAnsi="Times New Roman" w:cs="Times New Roman"/>
        </w:rPr>
        <w:t xml:space="preserve"> O uso dos aplicativos de rede social </w:t>
      </w:r>
      <w:r w:rsidR="004A67D3">
        <w:rPr>
          <w:rFonts w:ascii="Times New Roman" w:hAnsi="Times New Roman" w:cs="Times New Roman"/>
          <w:i/>
        </w:rPr>
        <w:t xml:space="preserve">Instagram </w:t>
      </w:r>
      <w:r w:rsidR="004A67D3" w:rsidRPr="004A67D3">
        <w:rPr>
          <w:rFonts w:ascii="Times New Roman" w:hAnsi="Times New Roman" w:cs="Times New Roman"/>
        </w:rPr>
        <w:t>e</w:t>
      </w:r>
      <w:r w:rsidR="004A67D3">
        <w:rPr>
          <w:rFonts w:ascii="Times New Roman" w:hAnsi="Times New Roman" w:cs="Times New Roman"/>
        </w:rPr>
        <w:t xml:space="preserve"> </w:t>
      </w:r>
      <w:r w:rsidR="004A67D3" w:rsidRPr="00865202">
        <w:rPr>
          <w:rFonts w:ascii="Times New Roman" w:hAnsi="Times New Roman" w:cs="Times New Roman"/>
          <w:i/>
        </w:rPr>
        <w:t>WhatsApp</w:t>
      </w:r>
      <w:r w:rsidR="004A67D3">
        <w:rPr>
          <w:rFonts w:ascii="Times New Roman" w:hAnsi="Times New Roman" w:cs="Times New Roman"/>
          <w:i/>
        </w:rPr>
        <w:t xml:space="preserve"> </w:t>
      </w:r>
      <w:r w:rsidR="004A67D3">
        <w:rPr>
          <w:rFonts w:ascii="Times New Roman" w:hAnsi="Times New Roman" w:cs="Times New Roman"/>
        </w:rPr>
        <w:t xml:space="preserve">possibilitaram uma maior interação com a turma, até mesmo dos alunos que não frequentavam os encontros de monitoria. As revisões e elaborações de estudos pelo monitor possibilitou um aprendizado maior, favorecendo a formação deste e oportunizando novas experiências.  </w:t>
      </w:r>
    </w:p>
    <w:p w14:paraId="6FBA2D63" w14:textId="77777777" w:rsidR="00DD0466" w:rsidRPr="002378FD" w:rsidRDefault="003D6F98" w:rsidP="002378FD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323E4F"/>
        <w:spacing w:before="200" w:after="120"/>
        <w:rPr>
          <w:rFonts w:ascii="Times New Roman" w:hAnsi="Times New Roman" w:cs="Times New Roman"/>
          <w:b/>
          <w:bCs/>
          <w:color w:val="FFFFFF"/>
        </w:rPr>
      </w:pPr>
      <w:r w:rsidRPr="0019190C">
        <w:rPr>
          <w:rFonts w:ascii="Times New Roman" w:hAnsi="Times New Roman" w:cs="Times New Roman"/>
          <w:b/>
          <w:bCs/>
          <w:color w:val="FFFFFF"/>
        </w:rPr>
        <w:t>REFERÊNCIAS</w:t>
      </w:r>
    </w:p>
    <w:sdt>
      <w:sdtPr>
        <w:rPr>
          <w:rFonts w:ascii="Liberation Serif" w:eastAsia="Lucida Sans Unicode" w:hAnsi="Liberation Serif" w:cs="Mangal"/>
          <w:color w:val="auto"/>
          <w:kern w:val="1"/>
          <w:sz w:val="24"/>
          <w:szCs w:val="24"/>
          <w:lang w:eastAsia="zh-CN" w:bidi="hi-IN"/>
        </w:rPr>
        <w:id w:val="1047253597"/>
        <w:docPartObj>
          <w:docPartGallery w:val="Bibliographies"/>
          <w:docPartUnique/>
        </w:docPartObj>
      </w:sdtPr>
      <w:sdtEndPr/>
      <w:sdtContent>
        <w:p w14:paraId="546C2593" w14:textId="77777777" w:rsidR="005C63ED" w:rsidRDefault="005C63ED">
          <w:pPr>
            <w:pStyle w:val="Ttulo1"/>
          </w:pPr>
        </w:p>
        <w:sdt>
          <w:sdtPr>
            <w:rPr>
              <w:szCs w:val="24"/>
            </w:rPr>
            <w:id w:val="111145805"/>
            <w:bibliography/>
          </w:sdtPr>
          <w:sdtEndPr/>
          <w:sdtContent>
            <w:p w14:paraId="53EA66EC" w14:textId="77777777" w:rsidR="00D56C7F" w:rsidRDefault="005C63ED" w:rsidP="00D56C7F">
              <w:pPr>
                <w:pStyle w:val="Bibliografia"/>
                <w:rPr>
                  <w:rFonts w:ascii="Times New Roman" w:hAnsi="Times New Roman" w:cs="Times New Roman"/>
                  <w:noProof/>
                  <w:szCs w:val="24"/>
                </w:rPr>
              </w:pPr>
              <w:r w:rsidRPr="003146A3">
                <w:rPr>
                  <w:rFonts w:ascii="Times New Roman" w:hAnsi="Times New Roman" w:cs="Times New Roman"/>
                  <w:szCs w:val="24"/>
                </w:rPr>
                <w:fldChar w:fldCharType="begin"/>
              </w:r>
              <w:r w:rsidRPr="003146A3">
                <w:rPr>
                  <w:rFonts w:ascii="Times New Roman" w:hAnsi="Times New Roman" w:cs="Times New Roman"/>
                  <w:szCs w:val="24"/>
                </w:rPr>
                <w:instrText>BIBLIOGRAPHY</w:instrText>
              </w:r>
              <w:r w:rsidRPr="003146A3">
                <w:rPr>
                  <w:rFonts w:ascii="Times New Roman" w:hAnsi="Times New Roman" w:cs="Times New Roman"/>
                  <w:szCs w:val="24"/>
                </w:rPr>
                <w:fldChar w:fldCharType="separate"/>
              </w:r>
              <w:r w:rsidR="00875C58" w:rsidRPr="003146A3">
                <w:rPr>
                  <w:rFonts w:ascii="Times New Roman" w:hAnsi="Times New Roman" w:cs="Times New Roman"/>
                  <w:noProof/>
                  <w:szCs w:val="24"/>
                </w:rPr>
                <w:t>ALBUQUERQUE,</w:t>
              </w:r>
              <w:r w:rsidR="00D56C7F" w:rsidRPr="003146A3">
                <w:rPr>
                  <w:rFonts w:ascii="Times New Roman" w:hAnsi="Times New Roman" w:cs="Times New Roman"/>
                  <w:szCs w:val="24"/>
                </w:rPr>
                <w:t xml:space="preserve"> Manuela Alves Cavalcanti et al . </w:t>
              </w:r>
              <w:r w:rsidR="00875C58" w:rsidRPr="003146A3">
                <w:rPr>
                  <w:rFonts w:ascii="Times New Roman" w:hAnsi="Times New Roman" w:cs="Times New Roman"/>
                  <w:noProof/>
                  <w:szCs w:val="24"/>
                </w:rPr>
                <w:t xml:space="preserve"> Bioquímica como sinônimo de ensino, pesquisa e extensão: um relato de experiência. </w:t>
              </w:r>
              <w:r w:rsidR="00875C58" w:rsidRPr="003146A3">
                <w:rPr>
                  <w:rFonts w:ascii="Times New Roman" w:hAnsi="Times New Roman" w:cs="Times New Roman"/>
                  <w:b/>
                  <w:bCs/>
                  <w:noProof/>
                  <w:szCs w:val="24"/>
                </w:rPr>
                <w:t>Revista Brasileira de Educação Médica</w:t>
              </w:r>
              <w:r w:rsidR="00875C58" w:rsidRPr="003146A3">
                <w:rPr>
                  <w:rFonts w:ascii="Times New Roman" w:hAnsi="Times New Roman" w:cs="Times New Roman"/>
                  <w:noProof/>
                  <w:szCs w:val="24"/>
                </w:rPr>
                <w:t>, v. 03, p. 137-142, 2012. ISSN 10.1590/S0100-55022012000100019.</w:t>
              </w:r>
            </w:p>
            <w:p w14:paraId="627B4280" w14:textId="77777777" w:rsidR="007D4F72" w:rsidRDefault="007D4F72" w:rsidP="007D4F72"/>
            <w:p w14:paraId="2DB30F61" w14:textId="77777777" w:rsidR="007D4F72" w:rsidRPr="007D4F72" w:rsidRDefault="007D4F72" w:rsidP="007D4F72">
              <w:pPr>
                <w:rPr>
                  <w:rFonts w:ascii="Times New Roman" w:hAnsi="Times New Roman" w:cs="Times New Roman"/>
                </w:rPr>
              </w:pPr>
              <w:r w:rsidRPr="007D4F72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ALLEGRETTI, Sonia Maria Macedo et al. Aprendizagem nas redes sociais virtuais: o potencial da conectividade em dois cenários. </w:t>
              </w:r>
              <w:r w:rsidRPr="007D4F72">
                <w:rPr>
                  <w:rFonts w:ascii="Times New Roman" w:hAnsi="Times New Roman" w:cs="Times New Roman"/>
                  <w:b/>
                  <w:bCs/>
                  <w:color w:val="222222"/>
                  <w:shd w:val="clear" w:color="auto" w:fill="FFFFFF"/>
                </w:rPr>
                <w:t>Revista contemporaneidad educacion y tecnologia Revista Cet</w:t>
              </w:r>
              <w:r w:rsidRPr="007D4F72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, v. 1, n. 2, 2012.</w:t>
              </w:r>
            </w:p>
            <w:p w14:paraId="4961BEC6" w14:textId="77777777" w:rsidR="003146A3" w:rsidRPr="003146A3" w:rsidRDefault="003146A3" w:rsidP="00694F68">
              <w:pPr>
                <w:rPr>
                  <w:rFonts w:ascii="Times New Roman" w:hAnsi="Times New Roman" w:cs="Times New Roman"/>
                </w:rPr>
              </w:pPr>
            </w:p>
            <w:p w14:paraId="45E09728" w14:textId="77777777" w:rsidR="00694F68" w:rsidRPr="003146A3" w:rsidRDefault="00694F68" w:rsidP="00D56C7F">
              <w:pPr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</w:pPr>
              <w:r w:rsidRPr="003146A3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DA SILVA PINTO, Antonio Sávio, et al. Inovação Didática-Projeto de Reflexão e Aplicação de Metodologias Ativas de Aprendizagem no Ensino Superior: uma experiência com “peer instruction”. </w:t>
              </w:r>
              <w:r w:rsidRPr="003146A3">
                <w:rPr>
                  <w:rFonts w:ascii="Times New Roman" w:hAnsi="Times New Roman" w:cs="Times New Roman"/>
                  <w:b/>
                  <w:iCs/>
                  <w:color w:val="222222"/>
                  <w:shd w:val="clear" w:color="auto" w:fill="FFFFFF"/>
                </w:rPr>
                <w:t>Janus</w:t>
              </w:r>
              <w:r w:rsidRPr="003146A3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, 2018, 9.15.</w:t>
              </w:r>
            </w:p>
            <w:p w14:paraId="5413C294" w14:textId="77777777" w:rsidR="003146A3" w:rsidRPr="003146A3" w:rsidRDefault="003146A3" w:rsidP="00D56C7F">
              <w:pPr>
                <w:rPr>
                  <w:rFonts w:ascii="Times New Roman" w:hAnsi="Times New Roman" w:cs="Times New Roman"/>
                </w:rPr>
              </w:pPr>
            </w:p>
            <w:p w14:paraId="151C9AEF" w14:textId="77777777" w:rsidR="00717EA1" w:rsidRPr="003146A3" w:rsidRDefault="00717EA1" w:rsidP="00D56C7F">
              <w:pPr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</w:pPr>
              <w:r w:rsidRPr="003146A3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JÚNIOR, Aluísio Ferreira Celestino, et al. Monitoria acadêmica e metodologia da problematização: relato de experiência. </w:t>
              </w:r>
              <w:r w:rsidRPr="003146A3">
                <w:rPr>
                  <w:rFonts w:ascii="Times New Roman" w:hAnsi="Times New Roman" w:cs="Times New Roman"/>
                  <w:b/>
                  <w:iCs/>
                  <w:color w:val="222222"/>
                  <w:shd w:val="clear" w:color="auto" w:fill="FFFFFF"/>
                </w:rPr>
                <w:t>Revista Ciência em Extensão</w:t>
              </w:r>
              <w:r w:rsidRPr="003146A3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, 2017, 13.3: 136-145.</w:t>
              </w:r>
            </w:p>
            <w:p w14:paraId="05707D46" w14:textId="77777777" w:rsidR="003146A3" w:rsidRPr="003146A3" w:rsidRDefault="003146A3" w:rsidP="00875C58">
              <w:pPr>
                <w:rPr>
                  <w:rFonts w:ascii="Times New Roman" w:hAnsi="Times New Roman" w:cs="Times New Roman"/>
                </w:rPr>
              </w:pPr>
            </w:p>
            <w:p w14:paraId="47828D9E" w14:textId="77777777" w:rsidR="00D56C7F" w:rsidRPr="003146A3" w:rsidRDefault="00873DA0" w:rsidP="00875C58">
              <w:pPr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</w:pPr>
              <w:r w:rsidRPr="003146A3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LAVACH, Flávia Luiza et al. IMPORTÂNCIA DA MONITORIA NA APRENDIZAGEM DE BIOQUÍMICA NO CURSO DE ZOOTECNIA. </w:t>
              </w:r>
              <w:r w:rsidRPr="003146A3">
                <w:rPr>
                  <w:rFonts w:ascii="Times New Roman" w:hAnsi="Times New Roman" w:cs="Times New Roman"/>
                  <w:b/>
                  <w:bCs/>
                  <w:color w:val="222222"/>
                  <w:shd w:val="clear" w:color="auto" w:fill="FFFFFF"/>
                </w:rPr>
                <w:t>Anais do Salão Internacional de Ensino, Pesquisa e Extensão</w:t>
              </w:r>
              <w:r w:rsidRPr="003146A3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, v. 8, n. 1, 2017.</w:t>
              </w:r>
            </w:p>
            <w:p w14:paraId="767FC029" w14:textId="77777777" w:rsidR="00873DA0" w:rsidRPr="003146A3" w:rsidRDefault="00873DA0" w:rsidP="00875C58">
              <w:pPr>
                <w:rPr>
                  <w:rFonts w:ascii="Times New Roman" w:hAnsi="Times New Roman" w:cs="Times New Roman"/>
                </w:rPr>
              </w:pPr>
            </w:p>
            <w:p w14:paraId="1DFBD5F7" w14:textId="77777777" w:rsidR="009D0A5F" w:rsidRDefault="009D0A5F" w:rsidP="00875C58">
              <w:pPr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</w:pPr>
              <w:r w:rsidRPr="006309BE">
                <w:rPr>
                  <w:rFonts w:ascii="Times New Roman" w:hAnsi="Times New Roman" w:cs="Times New Roman"/>
                  <w:color w:val="222222"/>
                  <w:shd w:val="clear" w:color="auto" w:fill="FFFFFF"/>
                  <w:lang w:val="en-US"/>
                </w:rPr>
                <w:t xml:space="preserve">LEKA, Aline Regis; GRINKRAUT, Melanie Lerner. </w:t>
              </w:r>
              <w:r w:rsidRPr="003146A3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A utilização das redes sociais na educação superior. </w:t>
              </w:r>
              <w:r w:rsidRPr="003146A3">
                <w:rPr>
                  <w:rFonts w:ascii="Times New Roman" w:hAnsi="Times New Roman" w:cs="Times New Roman"/>
                  <w:b/>
                  <w:bCs/>
                  <w:color w:val="222222"/>
                  <w:shd w:val="clear" w:color="auto" w:fill="FFFFFF"/>
                </w:rPr>
                <w:t>Revista Primus Vitam Nº</w:t>
              </w:r>
              <w:r w:rsidRPr="003146A3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, v. 7, n. 2º, 2014.</w:t>
              </w:r>
            </w:p>
            <w:p w14:paraId="614C1BF3" w14:textId="77777777" w:rsidR="00C03B90" w:rsidRDefault="00C03B90" w:rsidP="00875C58">
              <w:pPr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</w:pPr>
            </w:p>
            <w:p w14:paraId="3FD93476" w14:textId="77777777" w:rsidR="00C03B90" w:rsidRPr="00C03B90" w:rsidRDefault="00C03B90" w:rsidP="00875C58">
              <w:pPr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</w:pPr>
              <w:r w:rsidRPr="00C03B90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LINS, Leandro Fragoso et al. A importância da monitoria na formação acadêmica do monitor. </w:t>
              </w:r>
              <w:r w:rsidRPr="00C03B90">
                <w:rPr>
                  <w:rFonts w:ascii="Times New Roman" w:hAnsi="Times New Roman" w:cs="Times New Roman"/>
                  <w:b/>
                  <w:bCs/>
                  <w:color w:val="222222"/>
                  <w:shd w:val="clear" w:color="auto" w:fill="FFFFFF"/>
                </w:rPr>
                <w:t>Jornada de ensino, pesquisa e extensão, IX</w:t>
              </w:r>
              <w:r w:rsidRPr="00C03B90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, 2009.</w:t>
              </w:r>
            </w:p>
            <w:p w14:paraId="0ABE5E06" w14:textId="77777777" w:rsidR="009D0A5F" w:rsidRPr="003146A3" w:rsidRDefault="009D0A5F" w:rsidP="00875C58">
              <w:pPr>
                <w:rPr>
                  <w:rFonts w:ascii="Times New Roman" w:hAnsi="Times New Roman" w:cs="Times New Roman"/>
                </w:rPr>
              </w:pPr>
            </w:p>
            <w:p w14:paraId="4429C6C6" w14:textId="77777777" w:rsidR="003403E4" w:rsidRPr="003146A3" w:rsidRDefault="003403E4" w:rsidP="00875C58">
              <w:pPr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</w:pPr>
              <w:r w:rsidRPr="003146A3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LONDERO, Larissa; PRIGOL, Marina. MONITORIA DE BIOQUÍMICA: INFLUÊNCIA NO DESEMPENHO DOS ALUNOS DA UNIPAMPA CAMPUS ITAQUI. </w:t>
              </w:r>
              <w:r w:rsidRPr="003146A3">
                <w:rPr>
                  <w:rFonts w:ascii="Times New Roman" w:hAnsi="Times New Roman" w:cs="Times New Roman"/>
                  <w:b/>
                  <w:bCs/>
                  <w:color w:val="222222"/>
                  <w:shd w:val="clear" w:color="auto" w:fill="FFFFFF"/>
                </w:rPr>
                <w:t>Anais do Salão Internacional de Ensino, Pesquisa e Extensão</w:t>
              </w:r>
              <w:r w:rsidRPr="003146A3">
                <w:rPr>
                  <w:rFonts w:ascii="Times New Roman" w:hAnsi="Times New Roman" w:cs="Times New Roman"/>
                  <w:color w:val="222222"/>
                  <w:shd w:val="clear" w:color="auto" w:fill="FFFFFF"/>
                </w:rPr>
                <w:t>, v. 10, n. 1, 2019.</w:t>
              </w:r>
            </w:p>
            <w:p w14:paraId="11BB756C" w14:textId="77777777" w:rsidR="00ED25B1" w:rsidRPr="003146A3" w:rsidRDefault="00ED25B1" w:rsidP="00875C58">
              <w:pPr>
                <w:rPr>
                  <w:rFonts w:ascii="Times New Roman" w:hAnsi="Times New Roman" w:cs="Times New Roman"/>
                </w:rPr>
              </w:pPr>
            </w:p>
            <w:p w14:paraId="5F945B64" w14:textId="77777777" w:rsidR="00073BF9" w:rsidRPr="003146A3" w:rsidRDefault="00073BF9" w:rsidP="00875C58">
              <w:pPr>
                <w:rPr>
                  <w:rFonts w:ascii="Times New Roman" w:hAnsi="Times New Roman" w:cs="Times New Roman"/>
                </w:rPr>
              </w:pPr>
              <w:r w:rsidRPr="003146A3">
                <w:rPr>
                  <w:rFonts w:ascii="Times New Roman" w:hAnsi="Times New Roman" w:cs="Times New Roman"/>
                </w:rPr>
                <w:t xml:space="preserve">MATOSO, L.M.L. A importância da monitoria na formação acadêmica do monitor: um relato de experiência. </w:t>
              </w:r>
              <w:r w:rsidRPr="003146A3">
                <w:rPr>
                  <w:rFonts w:ascii="Times New Roman" w:hAnsi="Times New Roman" w:cs="Times New Roman"/>
                  <w:b/>
                </w:rPr>
                <w:t>Revista Científica da Escola da Saúde</w:t>
              </w:r>
              <w:r w:rsidRPr="003146A3">
                <w:rPr>
                  <w:rFonts w:ascii="Times New Roman" w:hAnsi="Times New Roman" w:cs="Times New Roman"/>
                </w:rPr>
                <w:t>. n. 2, abr./set. 2014.</w:t>
              </w:r>
            </w:p>
            <w:p w14:paraId="5982FD25" w14:textId="77777777" w:rsidR="00073BF9" w:rsidRPr="003146A3" w:rsidRDefault="00073BF9" w:rsidP="00875C58">
              <w:pPr>
                <w:rPr>
                  <w:rFonts w:ascii="Times New Roman" w:hAnsi="Times New Roman" w:cs="Times New Roman"/>
                </w:rPr>
              </w:pPr>
            </w:p>
            <w:p w14:paraId="11364AE9" w14:textId="77777777" w:rsidR="003146A3" w:rsidRPr="003146A3" w:rsidRDefault="003146A3" w:rsidP="003146A3">
              <w:pPr>
                <w:pStyle w:val="Bibliografia"/>
                <w:rPr>
                  <w:rFonts w:ascii="Times New Roman" w:hAnsi="Times New Roman" w:cs="Times New Roman"/>
                  <w:noProof/>
                  <w:szCs w:val="24"/>
                </w:rPr>
              </w:pPr>
              <w:r w:rsidRPr="003146A3">
                <w:rPr>
                  <w:rFonts w:ascii="Times New Roman" w:hAnsi="Times New Roman" w:cs="Times New Roman"/>
                  <w:noProof/>
                  <w:szCs w:val="24"/>
                </w:rPr>
                <w:t xml:space="preserve">SANTOS, V. T.; ANACLETO, C. Monitorias como ferramenta auxiliar para aprendizagem da disciplina bioquímica: uma análise no Unileste-MG. </w:t>
              </w:r>
              <w:r w:rsidRPr="003146A3">
                <w:rPr>
                  <w:rFonts w:ascii="Times New Roman" w:hAnsi="Times New Roman" w:cs="Times New Roman"/>
                  <w:b/>
                  <w:bCs/>
                  <w:noProof/>
                  <w:szCs w:val="24"/>
                </w:rPr>
                <w:t>Rev Ensino Bioquim</w:t>
              </w:r>
              <w:r w:rsidRPr="003146A3">
                <w:rPr>
                  <w:rFonts w:ascii="Times New Roman" w:hAnsi="Times New Roman" w:cs="Times New Roman"/>
                  <w:noProof/>
                  <w:szCs w:val="24"/>
                </w:rPr>
                <w:t>, v. v. 5, n. n. 1, p. p. 45-52, 2007.</w:t>
              </w:r>
            </w:p>
            <w:p w14:paraId="6AE497A5" w14:textId="77777777" w:rsidR="00073BF9" w:rsidRPr="003146A3" w:rsidRDefault="00073BF9" w:rsidP="00875C58">
              <w:pPr>
                <w:rPr>
                  <w:rFonts w:ascii="Times New Roman" w:hAnsi="Times New Roman" w:cs="Times New Roman"/>
                </w:rPr>
              </w:pPr>
            </w:p>
            <w:p w14:paraId="5E9A8E53" w14:textId="77777777" w:rsidR="003D6F98" w:rsidRPr="007E7F8F" w:rsidRDefault="005C63ED">
              <w:r w:rsidRPr="003146A3">
                <w:rPr>
                  <w:rFonts w:ascii="Times New Roman" w:hAnsi="Times New Roman" w:cs="Times New Roman"/>
                  <w:b/>
                  <w:bCs/>
                </w:rPr>
                <w:fldChar w:fldCharType="end"/>
              </w:r>
            </w:p>
          </w:sdtContent>
        </w:sdt>
      </w:sdtContent>
    </w:sdt>
    <w:p w14:paraId="6A52E9E1" w14:textId="77777777" w:rsidR="003D6F98" w:rsidRPr="0019190C" w:rsidRDefault="003D6F98">
      <w:pPr>
        <w:tabs>
          <w:tab w:val="left" w:pos="2625"/>
        </w:tabs>
        <w:rPr>
          <w:rFonts w:ascii="Times New Roman" w:hAnsi="Times New Roman" w:cs="Times New Roman"/>
        </w:rPr>
      </w:pPr>
    </w:p>
    <w:p w14:paraId="09E353E1" w14:textId="77777777" w:rsidR="003D6F98" w:rsidRPr="0019190C" w:rsidRDefault="00FF7C41" w:rsidP="00DD0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EN.REFLIST </w:instrText>
      </w:r>
      <w:r>
        <w:rPr>
          <w:rFonts w:ascii="Times New Roman" w:hAnsi="Times New Roman" w:cs="Times New Roman"/>
        </w:rPr>
        <w:fldChar w:fldCharType="end"/>
      </w:r>
    </w:p>
    <w:sectPr w:rsidR="003D6F98" w:rsidRPr="0019190C" w:rsidSect="00687DD2">
      <w:headerReference w:type="first" r:id="rId10"/>
      <w:footerReference w:type="first" r:id="rId11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1CA89" w14:textId="77777777" w:rsidR="00A37DB9" w:rsidRDefault="00A37DB9" w:rsidP="0061289B">
      <w:r>
        <w:separator/>
      </w:r>
    </w:p>
  </w:endnote>
  <w:endnote w:type="continuationSeparator" w:id="0">
    <w:p w14:paraId="2F84200D" w14:textId="77777777" w:rsidR="00A37DB9" w:rsidRDefault="00A37DB9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0C0BC" w14:textId="77777777" w:rsidR="009521A2" w:rsidRDefault="00B113A8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1A70CB7C" wp14:editId="743B203F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1B5106AD" wp14:editId="0E79E302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2EE48" w14:textId="77777777" w:rsidR="00A37DB9" w:rsidRDefault="00A37DB9" w:rsidP="0061289B">
      <w:r>
        <w:separator/>
      </w:r>
    </w:p>
  </w:footnote>
  <w:footnote w:type="continuationSeparator" w:id="0">
    <w:p w14:paraId="113BD91A" w14:textId="77777777" w:rsidR="00A37DB9" w:rsidRDefault="00A37DB9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18768" w14:textId="77777777" w:rsidR="00687DD2" w:rsidRDefault="00B113A8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4F6872FC" wp14:editId="75101458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0" locked="0" layoutInCell="1" allowOverlap="1" wp14:anchorId="04E97C44" wp14:editId="0C50FFC4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conex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47634" w14:textId="77777777"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56975F10" w14:textId="77777777"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0826CF2B" w14:textId="77777777"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(Author-Date)&lt;/Style&gt;&lt;LeftDelim&gt;{&lt;/LeftDelim&gt;&lt;RightDelim&gt;}&lt;/RightDelim&gt;&lt;FontName&gt;Liberation Serif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4A2802"/>
    <w:rsid w:val="00020ADD"/>
    <w:rsid w:val="00060351"/>
    <w:rsid w:val="00073BF9"/>
    <w:rsid w:val="00080BE8"/>
    <w:rsid w:val="00087CBB"/>
    <w:rsid w:val="000B0D34"/>
    <w:rsid w:val="000E79D7"/>
    <w:rsid w:val="00111960"/>
    <w:rsid w:val="00113D4E"/>
    <w:rsid w:val="00130A18"/>
    <w:rsid w:val="00156E03"/>
    <w:rsid w:val="00184BC9"/>
    <w:rsid w:val="0019190C"/>
    <w:rsid w:val="001E0C4E"/>
    <w:rsid w:val="001F7E41"/>
    <w:rsid w:val="0022594D"/>
    <w:rsid w:val="002378FD"/>
    <w:rsid w:val="00260205"/>
    <w:rsid w:val="002663AF"/>
    <w:rsid w:val="00281997"/>
    <w:rsid w:val="002B05AE"/>
    <w:rsid w:val="002D4736"/>
    <w:rsid w:val="003053C3"/>
    <w:rsid w:val="00310DBA"/>
    <w:rsid w:val="003146A3"/>
    <w:rsid w:val="00323DCC"/>
    <w:rsid w:val="0032526C"/>
    <w:rsid w:val="00331482"/>
    <w:rsid w:val="00336F50"/>
    <w:rsid w:val="003403E4"/>
    <w:rsid w:val="003448C8"/>
    <w:rsid w:val="003523F3"/>
    <w:rsid w:val="00371B9B"/>
    <w:rsid w:val="003A3AF8"/>
    <w:rsid w:val="003C76DF"/>
    <w:rsid w:val="003D6F98"/>
    <w:rsid w:val="003E0104"/>
    <w:rsid w:val="003F783E"/>
    <w:rsid w:val="00407CC9"/>
    <w:rsid w:val="004260A2"/>
    <w:rsid w:val="0045782F"/>
    <w:rsid w:val="00465AD8"/>
    <w:rsid w:val="0047426D"/>
    <w:rsid w:val="004A2802"/>
    <w:rsid w:val="004A67D3"/>
    <w:rsid w:val="004B5ED9"/>
    <w:rsid w:val="004C0677"/>
    <w:rsid w:val="004E0773"/>
    <w:rsid w:val="004E2ED3"/>
    <w:rsid w:val="00513D6E"/>
    <w:rsid w:val="00551147"/>
    <w:rsid w:val="0055216A"/>
    <w:rsid w:val="005841CF"/>
    <w:rsid w:val="005A0611"/>
    <w:rsid w:val="005A3199"/>
    <w:rsid w:val="005B303E"/>
    <w:rsid w:val="005C63ED"/>
    <w:rsid w:val="005F41EC"/>
    <w:rsid w:val="00601D01"/>
    <w:rsid w:val="0061289B"/>
    <w:rsid w:val="00615AC2"/>
    <w:rsid w:val="00617C20"/>
    <w:rsid w:val="006309BE"/>
    <w:rsid w:val="006543EE"/>
    <w:rsid w:val="00655941"/>
    <w:rsid w:val="00687DD2"/>
    <w:rsid w:val="00690441"/>
    <w:rsid w:val="00694F68"/>
    <w:rsid w:val="006C4D08"/>
    <w:rsid w:val="006C51DD"/>
    <w:rsid w:val="006C6DC2"/>
    <w:rsid w:val="006D757B"/>
    <w:rsid w:val="006F5111"/>
    <w:rsid w:val="00702306"/>
    <w:rsid w:val="007058E5"/>
    <w:rsid w:val="00713636"/>
    <w:rsid w:val="00717EA1"/>
    <w:rsid w:val="0074606B"/>
    <w:rsid w:val="007728C0"/>
    <w:rsid w:val="00774C55"/>
    <w:rsid w:val="00776BD3"/>
    <w:rsid w:val="00781398"/>
    <w:rsid w:val="007D39DF"/>
    <w:rsid w:val="007D4F72"/>
    <w:rsid w:val="007E7F8F"/>
    <w:rsid w:val="007F6D6E"/>
    <w:rsid w:val="00822F82"/>
    <w:rsid w:val="008234BA"/>
    <w:rsid w:val="00835532"/>
    <w:rsid w:val="008359DA"/>
    <w:rsid w:val="00861BBF"/>
    <w:rsid w:val="00865202"/>
    <w:rsid w:val="00873DA0"/>
    <w:rsid w:val="0087494F"/>
    <w:rsid w:val="00875C58"/>
    <w:rsid w:val="00897814"/>
    <w:rsid w:val="008A39C6"/>
    <w:rsid w:val="008B47D9"/>
    <w:rsid w:val="00900013"/>
    <w:rsid w:val="00940266"/>
    <w:rsid w:val="009521A2"/>
    <w:rsid w:val="009A282E"/>
    <w:rsid w:val="009A6029"/>
    <w:rsid w:val="009B344F"/>
    <w:rsid w:val="009B4F87"/>
    <w:rsid w:val="009C2584"/>
    <w:rsid w:val="009D0A5F"/>
    <w:rsid w:val="00A04C2D"/>
    <w:rsid w:val="00A0773F"/>
    <w:rsid w:val="00A1173C"/>
    <w:rsid w:val="00A1376C"/>
    <w:rsid w:val="00A360BF"/>
    <w:rsid w:val="00A37DB9"/>
    <w:rsid w:val="00A4713E"/>
    <w:rsid w:val="00A550F6"/>
    <w:rsid w:val="00AA75C7"/>
    <w:rsid w:val="00AB567F"/>
    <w:rsid w:val="00AC62BE"/>
    <w:rsid w:val="00AD5F4B"/>
    <w:rsid w:val="00AE7E4D"/>
    <w:rsid w:val="00B07DF6"/>
    <w:rsid w:val="00B10A9A"/>
    <w:rsid w:val="00B113A8"/>
    <w:rsid w:val="00B24DA9"/>
    <w:rsid w:val="00B978F1"/>
    <w:rsid w:val="00BB3D9C"/>
    <w:rsid w:val="00BB78F7"/>
    <w:rsid w:val="00BE718F"/>
    <w:rsid w:val="00BF270F"/>
    <w:rsid w:val="00BF2C7E"/>
    <w:rsid w:val="00BF736A"/>
    <w:rsid w:val="00C03B90"/>
    <w:rsid w:val="00C1563A"/>
    <w:rsid w:val="00C23870"/>
    <w:rsid w:val="00C35FE1"/>
    <w:rsid w:val="00C443B4"/>
    <w:rsid w:val="00C63A83"/>
    <w:rsid w:val="00C75028"/>
    <w:rsid w:val="00C84965"/>
    <w:rsid w:val="00C90EC5"/>
    <w:rsid w:val="00C93565"/>
    <w:rsid w:val="00D07724"/>
    <w:rsid w:val="00D52BAF"/>
    <w:rsid w:val="00D56C7F"/>
    <w:rsid w:val="00D800B9"/>
    <w:rsid w:val="00D83F4B"/>
    <w:rsid w:val="00DD0466"/>
    <w:rsid w:val="00DE389E"/>
    <w:rsid w:val="00E04E21"/>
    <w:rsid w:val="00E12899"/>
    <w:rsid w:val="00E20CB1"/>
    <w:rsid w:val="00E76B4D"/>
    <w:rsid w:val="00E94C5D"/>
    <w:rsid w:val="00EA336D"/>
    <w:rsid w:val="00ED0578"/>
    <w:rsid w:val="00ED25B1"/>
    <w:rsid w:val="00ED32E6"/>
    <w:rsid w:val="00EF3A32"/>
    <w:rsid w:val="00F364FD"/>
    <w:rsid w:val="00F65024"/>
    <w:rsid w:val="00F65993"/>
    <w:rsid w:val="00F85DE4"/>
    <w:rsid w:val="00F873A0"/>
    <w:rsid w:val="00FA27CF"/>
    <w:rsid w:val="00FC5331"/>
    <w:rsid w:val="00FE3A3F"/>
    <w:rsid w:val="00FF7C41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14372C"/>
  <w15:chartTrackingRefBased/>
  <w15:docId w15:val="{D9315737-515D-4964-BD57-45476B9B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FF7C41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link w:val="DefaultChar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FF7C41"/>
    <w:pPr>
      <w:jc w:val="center"/>
    </w:pPr>
    <w:rPr>
      <w:rFonts w:cs="Liberation Serif"/>
      <w:noProof/>
    </w:rPr>
  </w:style>
  <w:style w:type="character" w:customStyle="1" w:styleId="DefaultChar">
    <w:name w:val="Default Char"/>
    <w:basedOn w:val="Fontepargpadro"/>
    <w:link w:val="Default"/>
    <w:rsid w:val="00FF7C41"/>
    <w:rPr>
      <w:rFonts w:ascii="Arial" w:hAnsi="Arial" w:cs="Arial"/>
      <w:color w:val="000000"/>
      <w:sz w:val="24"/>
      <w:szCs w:val="24"/>
    </w:rPr>
  </w:style>
  <w:style w:type="character" w:customStyle="1" w:styleId="EndNoteBibliographyTitleChar">
    <w:name w:val="EndNote Bibliography Title Char"/>
    <w:basedOn w:val="DefaultChar"/>
    <w:link w:val="EndNoteBibliographyTitle"/>
    <w:rsid w:val="00FF7C41"/>
    <w:rPr>
      <w:rFonts w:ascii="Liberation Serif" w:eastAsia="Lucida Sans Unicode" w:hAnsi="Liberation Serif" w:cs="Liberation Serif"/>
      <w:noProof/>
      <w:color w:val="000000"/>
      <w:kern w:val="1"/>
      <w:sz w:val="24"/>
      <w:szCs w:val="24"/>
      <w:lang w:eastAsia="zh-CN" w:bidi="hi-IN"/>
    </w:rPr>
  </w:style>
  <w:style w:type="paragraph" w:customStyle="1" w:styleId="EndNoteBibliography">
    <w:name w:val="EndNote Bibliography"/>
    <w:basedOn w:val="Normal"/>
    <w:link w:val="EndNoteBibliographyChar"/>
    <w:rsid w:val="00FF7C41"/>
    <w:rPr>
      <w:rFonts w:cs="Liberation Serif"/>
      <w:noProof/>
    </w:rPr>
  </w:style>
  <w:style w:type="character" w:customStyle="1" w:styleId="EndNoteBibliographyChar">
    <w:name w:val="EndNote Bibliography Char"/>
    <w:basedOn w:val="DefaultChar"/>
    <w:link w:val="EndNoteBibliography"/>
    <w:rsid w:val="00FF7C41"/>
    <w:rPr>
      <w:rFonts w:ascii="Liberation Serif" w:eastAsia="Lucida Sans Unicode" w:hAnsi="Liberation Serif" w:cs="Liberation Serif"/>
      <w:noProof/>
      <w:color w:val="000000"/>
      <w:kern w:val="1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FF7C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ia">
    <w:name w:val="Bibliography"/>
    <w:basedOn w:val="Normal"/>
    <w:next w:val="Normal"/>
    <w:uiPriority w:val="37"/>
    <w:unhideWhenUsed/>
    <w:rsid w:val="005C63ED"/>
    <w:rPr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6309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9BE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09BE"/>
    <w:rPr>
      <w:rFonts w:ascii="Liberation Serif" w:eastAsia="Lucida Sans Unicode" w:hAnsi="Liberation Serif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9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09BE"/>
    <w:rPr>
      <w:rFonts w:ascii="Liberation Serif" w:eastAsia="Lucida Sans Unicode" w:hAnsi="Liberation Serif" w:cs="Mangal"/>
      <w:b/>
      <w:bCs/>
      <w:kern w:val="1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9BE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9BE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82528056086013"/>
          <c:y val="3.2693569553805778E-2"/>
          <c:w val="0.85881148577358057"/>
          <c:h val="0.7994399137607799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Plan1!$A$2:$A$3</c:f>
              <c:strCache>
                <c:ptCount val="2"/>
                <c:pt idx="0">
                  <c:v>Alunos matriculados na disciplina </c:v>
                </c:pt>
                <c:pt idx="1">
                  <c:v>Média da frequência antes da AP1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42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C6-47CA-9632-225BD8C466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6754568"/>
        <c:axId val="406755744"/>
      </c:barChart>
      <c:catAx>
        <c:axId val="406754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06755744"/>
        <c:crosses val="autoZero"/>
        <c:auto val="1"/>
        <c:lblAlgn val="ctr"/>
        <c:lblOffset val="100"/>
        <c:noMultiLvlLbl val="0"/>
      </c:catAx>
      <c:valAx>
        <c:axId val="40675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n</a:t>
                </a:r>
                <a:r>
                  <a:rPr lang="pt-BR" baseline="0"/>
                  <a:t>úmero de alunos </a:t>
                </a:r>
                <a:endParaRPr lang="pt-B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067545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Plan1!$C$2:$C$4</c:f>
              <c:strCache>
                <c:ptCount val="3"/>
                <c:pt idx="0">
                  <c:v>Média da frequência antes da AP2</c:v>
                </c:pt>
                <c:pt idx="1">
                  <c:v>Alunos do curso de farmácia</c:v>
                </c:pt>
                <c:pt idx="2">
                  <c:v>Alunos do curso de educação física</c:v>
                </c:pt>
              </c:strCache>
            </c:strRef>
          </c:cat>
          <c:val>
            <c:numRef>
              <c:f>Plan1!$D$2:$D$4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8B-4D3E-A845-3CF6D2770A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6757312"/>
        <c:axId val="406756136"/>
      </c:barChart>
      <c:catAx>
        <c:axId val="40675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06756136"/>
        <c:crosses val="autoZero"/>
        <c:auto val="1"/>
        <c:lblAlgn val="ctr"/>
        <c:lblOffset val="100"/>
        <c:noMultiLvlLbl val="0"/>
      </c:catAx>
      <c:valAx>
        <c:axId val="406756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0675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0.80033</cdr:x>
      <cdr:y>0.47347</cdr:y>
    </cdr:from>
    <cdr:to>
      <cdr:x>0.84193</cdr:x>
      <cdr:y>0.57551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4581525" y="1104900"/>
          <a:ext cx="238125" cy="238125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5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>
  <b:Source>
    <b:Tag>Alv12</b:Tag>
    <b:SourceType>JournalArticle</b:SourceType>
    <b:Guid>{E41DE213-41C8-400C-8B88-809896C567F1}</b:Guid>
    <b:Author>
      <b:Author>
        <b:NameList>
          <b:Person>
            <b:Last>Alves Cavalcanti Albuquerque</b:Last>
            <b:First>Manuela</b:First>
            <b:Middle>and Henrique Cavalcanti Amorim, Ângelo and Roberto Coelho Ferreira Rocha, José and de Melo Freire Gouveia Silveira, Larissa and Neri, David</b:Middle>
          </b:Person>
        </b:NameList>
      </b:Author>
    </b:Author>
    <b:Title>Bioquímica como sinônimo de ensino, pesquisa e extensão: um relato de experiência</b:Title>
    <b:Year>2012</b:Year>
    <b:Volume>03</b:Volume>
    <b:PeriodicalTitle>Revista Brasileira de Educação Médica</b:PeriodicalTitle>
    <b:Pages>137-142</b:Pages>
    <b:StandardNumber>10.1590/S0100-55022012000100019</b:StandardNumber>
    <b:JournalName>Revista Brasileira de Educação Médica</b:JournalName>
    <b:RefOrder>2</b:RefOrder>
  </b:Source>
  <b:Source>
    <b:Tag>SAN07</b:Tag>
    <b:SourceType>JournalArticle</b:SourceType>
    <b:Guid>{5A6BE90E-6916-44FF-BF8E-816A1A633BCF}</b:Guid>
    <b:Author>
      <b:Author>
        <b:NameList>
          <b:Person>
            <b:Last>SANTOS</b:Last>
            <b:First>Valquiria</b:First>
            <b:Middle>Tiago</b:Middle>
          </b:Person>
          <b:Person>
            <b:Last>ANACLETO</b:Last>
            <b:First>Celma.</b:First>
          </b:Person>
        </b:NameList>
      </b:Author>
    </b:Author>
    <b:Title>Monitorias como ferramenta auxiliar para aprendizagem da disciplina bioquímica: uma análise no Unileste-MG</b:Title>
    <b:JournalName>Rev Ensino Bioquim</b:JournalName>
    <b:Year>2007</b:Year>
    <b:Pages>p. 45-52</b:Pages>
    <b:Volume>v. 5</b:Volume>
    <b:Issue>n. 1</b:Issue>
    <b:RefOrder>1</b:RefOrder>
  </b:Source>
  <b:Source>
    <b:Tag>EspaçoReservado1</b:Tag>
    <b:SourceType>ElectronicSource</b:SourceType>
    <b:Guid>{0CAA2C01-F776-4275-A826-6DBB582D06CA}</b:Guid>
    <b:RefOrder>3</b:RefOrder>
  </b:Source>
  <b:Source>
    <b:Tag>LAV17</b:Tag>
    <b:SourceType>JournalArticle</b:SourceType>
    <b:Guid>{881B486A-8B53-45F5-AD60-E60E0FFB15F0}</b:Guid>
    <b:Author>
      <b:Author>
        <b:NameList>
          <b:Person>
            <b:Last>LAVACH</b:Last>
            <b:First>Flávia</b:First>
            <b:Middle>Luiza et al. IMPORTÂNCIA DA MONITORIA NA APRENDIZAGEM DE BIOQUÍMICA NO CURSO DE ZOOTECNIA.X</b:Middle>
          </b:Person>
        </b:NameList>
      </b:Author>
    </b:Author>
    <b:Title>IMPORTÂNCIA DA MONITORIA NA APRENDIZAGEM DE BIOQUÍMICA NO CURSO DE ZOOTECNIA</b:Title>
    <b:Year>2017</b:Year>
    <b:JournalName>LAVACH, Flávia Luiza et al. . Anais do Salão Internacional de Ensino, Pesquisa e Extensão, v. 8, n. 1, 2017.</b:JournalName>
    <b:Volume>8</b:Volume>
    <b:Issue>1</b:Issue>
    <b:RefOrder>4</b:RefOrder>
  </b:Source>
</b:Sources>
</file>

<file path=customXml/itemProps1.xml><?xml version="1.0" encoding="utf-8"?>
<ds:datastoreItem xmlns:ds="http://schemas.openxmlformats.org/officeDocument/2006/customXml" ds:itemID="{DB03D5F9-2A5C-45D8-8776-F13CBE27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2218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14169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CARLOS ALCANTARA</dc:creator>
  <cp:keywords/>
  <cp:lastModifiedBy>maria liliane luciano pereira</cp:lastModifiedBy>
  <cp:revision>6</cp:revision>
  <cp:lastPrinted>2014-07-01T19:30:00Z</cp:lastPrinted>
  <dcterms:created xsi:type="dcterms:W3CDTF">2019-09-17T11:19:00Z</dcterms:created>
  <dcterms:modified xsi:type="dcterms:W3CDTF">2019-09-18T00:56:00Z</dcterms:modified>
</cp:coreProperties>
</file>