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CB3A76" w:rsidRPr="00B47F15" w:rsidRDefault="00B47F15" w:rsidP="00CB3A7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47F15">
        <w:rPr>
          <w:rFonts w:ascii="Times New Roman" w:hAnsi="Times New Roman" w:cs="Times New Roman"/>
          <w:b/>
          <w:bCs/>
          <w:color w:val="000000"/>
        </w:rPr>
        <w:t xml:space="preserve">ALTERAÇÕES DO METABOLISMO MINERAL E ÓSSEO E ORIENTAÇOES DIETÉTICAS EM PACIENTES </w:t>
      </w:r>
      <w:r w:rsidRPr="00B47F15">
        <w:rPr>
          <w:rFonts w:ascii="Times New Roman" w:hAnsi="Times New Roman" w:cs="Times New Roman"/>
          <w:b/>
          <w:bCs/>
        </w:rPr>
        <w:t>SUBMETIDOS A TRANSPLANTE RENAL</w:t>
      </w:r>
    </w:p>
    <w:p w:rsidR="00865786" w:rsidRPr="00EB1A23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Pr="00EB1A23" w:rsidRDefault="00865786" w:rsidP="0086578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69C2" w:rsidRPr="004D258D" w:rsidRDefault="00865786" w:rsidP="003D6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F1EE3">
        <w:rPr>
          <w:rFonts w:ascii="Times New Roman" w:hAnsi="Times New Roman" w:cs="Times New Roman"/>
          <w:b/>
          <w:bCs/>
        </w:rPr>
        <w:t>Introdução:</w:t>
      </w:r>
      <w:r w:rsidR="00CB3A76" w:rsidRPr="007F1EE3">
        <w:rPr>
          <w:rFonts w:ascii="Times New Roman" w:hAnsi="Times New Roman" w:cs="Times New Roman"/>
        </w:rPr>
        <w:t xml:space="preserve"> </w:t>
      </w:r>
      <w:bookmarkStart w:id="0" w:name="_Hlk18957273"/>
      <w:r w:rsidR="00CB3A76" w:rsidRPr="007F1EE3">
        <w:rPr>
          <w:rFonts w:ascii="Times New Roman" w:hAnsi="Times New Roman" w:cs="Times New Roman"/>
        </w:rPr>
        <w:t>O Transplante Renal é uma abordagem de tratamento em pacientes que sofrem de doença renal avançada (</w:t>
      </w:r>
      <w:r w:rsidR="009E1A21" w:rsidRPr="007F1EE3">
        <w:rPr>
          <w:rFonts w:ascii="Times New Roman" w:hAnsi="Times New Roman" w:cs="Times New Roman"/>
        </w:rPr>
        <w:t>DRC) em</w:t>
      </w:r>
      <w:r w:rsidR="003A7FE7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 xml:space="preserve">estágio 5, </w:t>
      </w:r>
      <w:r w:rsidR="004D258D">
        <w:rPr>
          <w:rFonts w:ascii="Times New Roman" w:hAnsi="Times New Roman" w:cs="Times New Roman"/>
        </w:rPr>
        <w:t xml:space="preserve">garantindo assim </w:t>
      </w:r>
      <w:r w:rsidR="00914BB0">
        <w:rPr>
          <w:rFonts w:ascii="Times New Roman" w:hAnsi="Times New Roman" w:cs="Times New Roman"/>
        </w:rPr>
        <w:t>uma</w:t>
      </w:r>
      <w:r w:rsidR="003A7FE7" w:rsidRPr="007F1EE3">
        <w:rPr>
          <w:rFonts w:ascii="Times New Roman" w:hAnsi="Times New Roman" w:cs="Times New Roman"/>
        </w:rPr>
        <w:t xml:space="preserve"> melhor</w:t>
      </w:r>
      <w:r w:rsidR="00CB3A76" w:rsidRPr="007F1EE3">
        <w:rPr>
          <w:rFonts w:ascii="Times New Roman" w:hAnsi="Times New Roman" w:cs="Times New Roman"/>
        </w:rPr>
        <w:t xml:space="preserve"> qualidade de vida</w:t>
      </w:r>
      <w:r w:rsidR="004D258D">
        <w:rPr>
          <w:rFonts w:ascii="Times New Roman" w:hAnsi="Times New Roman" w:cs="Times New Roman"/>
        </w:rPr>
        <w:t xml:space="preserve"> ao paciente</w:t>
      </w:r>
      <w:r w:rsidR="00CB3A76" w:rsidRPr="007F1EE3">
        <w:rPr>
          <w:rFonts w:ascii="Times New Roman" w:hAnsi="Times New Roman" w:cs="Times New Roman"/>
        </w:rPr>
        <w:t xml:space="preserve">. No </w:t>
      </w:r>
      <w:r w:rsidR="003A7FE7" w:rsidRPr="007F1EE3">
        <w:rPr>
          <w:rFonts w:ascii="Times New Roman" w:hAnsi="Times New Roman" w:cs="Times New Roman"/>
        </w:rPr>
        <w:t>B</w:t>
      </w:r>
      <w:r w:rsidR="00CB3A76" w:rsidRPr="007F1EE3">
        <w:rPr>
          <w:rFonts w:ascii="Times New Roman" w:hAnsi="Times New Roman" w:cs="Times New Roman"/>
        </w:rPr>
        <w:t xml:space="preserve">rasil o transplante </w:t>
      </w:r>
      <w:r w:rsidR="003A7FE7" w:rsidRPr="007F1EE3">
        <w:rPr>
          <w:rFonts w:ascii="Times New Roman" w:hAnsi="Times New Roman" w:cs="Times New Roman"/>
        </w:rPr>
        <w:t xml:space="preserve">teve </w:t>
      </w:r>
      <w:r w:rsidR="00CB3A76" w:rsidRPr="007F1EE3">
        <w:rPr>
          <w:rFonts w:ascii="Times New Roman" w:hAnsi="Times New Roman" w:cs="Times New Roman"/>
        </w:rPr>
        <w:t>crescimento de 40%</w:t>
      </w:r>
      <w:r w:rsidR="003A7FE7" w:rsidRPr="007F1EE3">
        <w:rPr>
          <w:rFonts w:ascii="Times New Roman" w:hAnsi="Times New Roman" w:cs="Times New Roman"/>
        </w:rPr>
        <w:t xml:space="preserve"> na última década</w:t>
      </w:r>
      <w:r w:rsidR="00CB3A76" w:rsidRPr="007F1EE3">
        <w:rPr>
          <w:rFonts w:ascii="Times New Roman" w:hAnsi="Times New Roman" w:cs="Times New Roman"/>
        </w:rPr>
        <w:t>, em 2013 foram 5.433 transplantes, atualmente somo</w:t>
      </w:r>
      <w:r w:rsidR="003A7FE7" w:rsidRPr="007F1EE3">
        <w:rPr>
          <w:rFonts w:ascii="Times New Roman" w:hAnsi="Times New Roman" w:cs="Times New Roman"/>
        </w:rPr>
        <w:t>s</w:t>
      </w:r>
      <w:r w:rsidR="00CB3A76" w:rsidRPr="007F1EE3">
        <w:rPr>
          <w:rFonts w:ascii="Times New Roman" w:hAnsi="Times New Roman" w:cs="Times New Roman"/>
        </w:rPr>
        <w:t xml:space="preserve"> o segundo país</w:t>
      </w:r>
      <w:r w:rsidR="004D258D">
        <w:rPr>
          <w:rFonts w:ascii="Times New Roman" w:hAnsi="Times New Roman" w:cs="Times New Roman"/>
        </w:rPr>
        <w:t xml:space="preserve"> nesse tipo de </w:t>
      </w:r>
      <w:r w:rsidR="00C257A5">
        <w:rPr>
          <w:rFonts w:ascii="Times New Roman" w:hAnsi="Times New Roman" w:cs="Times New Roman"/>
        </w:rPr>
        <w:t>transplante.</w:t>
      </w:r>
      <w:r w:rsidR="008D2A74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 xml:space="preserve">O tratamento para manter o enxerto </w:t>
      </w:r>
      <w:r w:rsidR="004D258D">
        <w:rPr>
          <w:rFonts w:ascii="Times New Roman" w:hAnsi="Times New Roman" w:cs="Times New Roman"/>
        </w:rPr>
        <w:t>funcionante</w:t>
      </w:r>
      <w:r w:rsidR="00C257A5">
        <w:rPr>
          <w:rFonts w:ascii="Times New Roman" w:hAnsi="Times New Roman" w:cs="Times New Roman"/>
        </w:rPr>
        <w:t xml:space="preserve"> s</w:t>
      </w:r>
      <w:r w:rsidR="003A7FE7" w:rsidRPr="007F1EE3">
        <w:rPr>
          <w:rFonts w:ascii="Times New Roman" w:hAnsi="Times New Roman" w:cs="Times New Roman"/>
        </w:rPr>
        <w:t>e faz pelo</w:t>
      </w:r>
      <w:r w:rsidR="009E1A21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 xml:space="preserve">uso </w:t>
      </w:r>
      <w:r w:rsidR="00086308">
        <w:rPr>
          <w:rFonts w:ascii="Times New Roman" w:hAnsi="Times New Roman" w:cs="Times New Roman"/>
        </w:rPr>
        <w:t xml:space="preserve">continuo </w:t>
      </w:r>
      <w:r w:rsidR="00CB3A76" w:rsidRPr="007F1EE3">
        <w:rPr>
          <w:rFonts w:ascii="Times New Roman" w:hAnsi="Times New Roman" w:cs="Times New Roman"/>
        </w:rPr>
        <w:t>de terapia imunossupressora com glicocorticoides e ciclosporina A</w:t>
      </w:r>
      <w:bookmarkEnd w:id="0"/>
      <w:r w:rsidR="00CB3A76" w:rsidRPr="007F1EE3">
        <w:rPr>
          <w:rFonts w:ascii="Times New Roman" w:hAnsi="Times New Roman" w:cs="Times New Roman"/>
        </w:rPr>
        <w:t xml:space="preserve">, </w:t>
      </w:r>
      <w:bookmarkStart w:id="1" w:name="_Hlk18957290"/>
      <w:r w:rsidR="00086308">
        <w:rPr>
          <w:rFonts w:ascii="Times New Roman" w:hAnsi="Times New Roman" w:cs="Times New Roman"/>
        </w:rPr>
        <w:t xml:space="preserve">estando </w:t>
      </w:r>
      <w:r w:rsidR="00CB3A76" w:rsidRPr="007F1EE3">
        <w:rPr>
          <w:rFonts w:ascii="Times New Roman" w:hAnsi="Times New Roman" w:cs="Times New Roman"/>
        </w:rPr>
        <w:t xml:space="preserve">relacionada </w:t>
      </w:r>
      <w:r w:rsidR="00086308">
        <w:rPr>
          <w:rFonts w:ascii="Times New Roman" w:hAnsi="Times New Roman" w:cs="Times New Roman"/>
        </w:rPr>
        <w:t>com</w:t>
      </w:r>
      <w:r w:rsidR="00CB3A76" w:rsidRPr="007F1EE3">
        <w:rPr>
          <w:rFonts w:ascii="Times New Roman" w:hAnsi="Times New Roman" w:cs="Times New Roman"/>
        </w:rPr>
        <w:t xml:space="preserve"> alterações no metabolismo</w:t>
      </w:r>
      <w:r w:rsidR="00086308">
        <w:rPr>
          <w:rFonts w:ascii="Times New Roman" w:hAnsi="Times New Roman" w:cs="Times New Roman"/>
        </w:rPr>
        <w:t>, podendo causar</w:t>
      </w:r>
      <w:r w:rsidR="00807F17">
        <w:rPr>
          <w:rFonts w:ascii="Times New Roman" w:hAnsi="Times New Roman" w:cs="Times New Roman"/>
        </w:rPr>
        <w:t xml:space="preserve">, </w:t>
      </w:r>
      <w:r w:rsidR="00807F17" w:rsidRPr="007F1EE3">
        <w:rPr>
          <w:rFonts w:ascii="Times New Roman" w:hAnsi="Times New Roman" w:cs="Times New Roman"/>
        </w:rPr>
        <w:t>Hipertensão</w:t>
      </w:r>
      <w:r w:rsidR="00CB3A76" w:rsidRPr="007F1EE3">
        <w:rPr>
          <w:rFonts w:ascii="Times New Roman" w:hAnsi="Times New Roman" w:cs="Times New Roman"/>
        </w:rPr>
        <w:t xml:space="preserve"> Arterial, obesidade, hipercalemia, inibição na ação da vitamina D</w:t>
      </w:r>
      <w:bookmarkEnd w:id="1"/>
      <w:r w:rsidR="00CB3A76" w:rsidRPr="007F1EE3">
        <w:rPr>
          <w:rFonts w:ascii="Times New Roman" w:hAnsi="Times New Roman" w:cs="Times New Roman"/>
        </w:rPr>
        <w:t>, entre outros</w:t>
      </w:r>
      <w:r w:rsidR="00145AEA" w:rsidRPr="007F1EE3">
        <w:rPr>
          <w:rFonts w:ascii="Times New Roman" w:hAnsi="Times New Roman" w:cs="Times New Roman"/>
        </w:rPr>
        <w:t>.</w:t>
      </w:r>
      <w:r w:rsidR="00CB3A76" w:rsidRPr="007F1EE3">
        <w:rPr>
          <w:rFonts w:ascii="Times New Roman" w:hAnsi="Times New Roman" w:cs="Times New Roman"/>
        </w:rPr>
        <w:t xml:space="preserve"> Após o transplante é</w:t>
      </w:r>
      <w:r w:rsidR="006173E3">
        <w:rPr>
          <w:rFonts w:ascii="Times New Roman" w:hAnsi="Times New Roman" w:cs="Times New Roman"/>
        </w:rPr>
        <w:t xml:space="preserve"> comum que os níveis </w:t>
      </w:r>
      <w:r w:rsidR="00CB3A76" w:rsidRPr="007F1EE3">
        <w:rPr>
          <w:rFonts w:ascii="Times New Roman" w:hAnsi="Times New Roman" w:cs="Times New Roman"/>
        </w:rPr>
        <w:t>de cálcio, fosforo, fosfatáse alcalina, paratormônio calcitriol e fator de crescimento</w:t>
      </w:r>
      <w:r w:rsidR="003A7FE7" w:rsidRPr="007F1EE3">
        <w:rPr>
          <w:rFonts w:ascii="Times New Roman" w:hAnsi="Times New Roman" w:cs="Times New Roman"/>
        </w:rPr>
        <w:t>,</w:t>
      </w:r>
      <w:r w:rsidR="006173E3">
        <w:rPr>
          <w:rFonts w:ascii="Times New Roman" w:hAnsi="Times New Roman" w:cs="Times New Roman"/>
        </w:rPr>
        <w:t xml:space="preserve"> persistam alterados promovendo assim</w:t>
      </w:r>
      <w:r w:rsidR="00C257A5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>alterações ósseas</w:t>
      </w:r>
      <w:r w:rsidR="006173E3">
        <w:rPr>
          <w:rFonts w:ascii="Times New Roman" w:hAnsi="Times New Roman" w:cs="Times New Roman"/>
        </w:rPr>
        <w:t xml:space="preserve"> importantes</w:t>
      </w:r>
      <w:r w:rsidR="00C257A5">
        <w:rPr>
          <w:rFonts w:ascii="Times New Roman" w:hAnsi="Times New Roman" w:cs="Times New Roman"/>
        </w:rPr>
        <w:t xml:space="preserve">. </w:t>
      </w:r>
      <w:r w:rsidR="00CB3A76" w:rsidRPr="007F1EE3">
        <w:rPr>
          <w:rFonts w:ascii="Times New Roman" w:hAnsi="Times New Roman" w:cs="Times New Roman"/>
        </w:rPr>
        <w:t>A dieta deve conter quantidades adequadas desses minerais para prevenir e controlar o balanço dos fluidos eletrólitos,</w:t>
      </w:r>
      <w:r w:rsidR="00807F17">
        <w:rPr>
          <w:rFonts w:ascii="Times New Roman" w:hAnsi="Times New Roman" w:cs="Times New Roman"/>
        </w:rPr>
        <w:t xml:space="preserve"> é necessário o</w:t>
      </w:r>
      <w:r w:rsidR="00703A3D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>control</w:t>
      </w:r>
      <w:r w:rsidR="00807F17">
        <w:rPr>
          <w:rFonts w:ascii="Times New Roman" w:hAnsi="Times New Roman" w:cs="Times New Roman"/>
        </w:rPr>
        <w:t>e</w:t>
      </w:r>
      <w:r w:rsidR="00CB3A76" w:rsidRPr="007F1EE3">
        <w:rPr>
          <w:rFonts w:ascii="Times New Roman" w:hAnsi="Times New Roman" w:cs="Times New Roman"/>
        </w:rPr>
        <w:t xml:space="preserve"> </w:t>
      </w:r>
      <w:r w:rsidR="00807F17">
        <w:rPr>
          <w:rFonts w:ascii="Times New Roman" w:hAnsi="Times New Roman" w:cs="Times New Roman"/>
        </w:rPr>
        <w:t>da</w:t>
      </w:r>
      <w:r w:rsidR="00CB3A76" w:rsidRPr="007F1EE3">
        <w:rPr>
          <w:rFonts w:ascii="Times New Roman" w:hAnsi="Times New Roman" w:cs="Times New Roman"/>
        </w:rPr>
        <w:t xml:space="preserve"> ingestão de proteínas e calorias, devido ao stress pós </w:t>
      </w:r>
      <w:r w:rsidR="00807F17" w:rsidRPr="007F1EE3">
        <w:rPr>
          <w:rFonts w:ascii="Times New Roman" w:hAnsi="Times New Roman" w:cs="Times New Roman"/>
        </w:rPr>
        <w:t>transplante,</w:t>
      </w:r>
      <w:r w:rsidR="00807F17">
        <w:rPr>
          <w:rFonts w:ascii="Times New Roman" w:hAnsi="Times New Roman" w:cs="Times New Roman"/>
        </w:rPr>
        <w:t xml:space="preserve"> influenciando</w:t>
      </w:r>
      <w:r w:rsidR="00CB3A76" w:rsidRPr="007F1EE3">
        <w:rPr>
          <w:rFonts w:ascii="Times New Roman" w:hAnsi="Times New Roman" w:cs="Times New Roman"/>
        </w:rPr>
        <w:t xml:space="preserve"> no melhor funcionamento do enxerto renal</w:t>
      </w:r>
      <w:r w:rsidR="00145AEA" w:rsidRPr="007F1EE3">
        <w:rPr>
          <w:rFonts w:ascii="Times New Roman" w:hAnsi="Times New Roman" w:cs="Times New Roman"/>
        </w:rPr>
        <w:t xml:space="preserve">. </w:t>
      </w:r>
      <w:r w:rsidRPr="007F1EE3">
        <w:rPr>
          <w:rFonts w:ascii="Times New Roman" w:hAnsi="Times New Roman" w:cs="Times New Roman"/>
          <w:b/>
          <w:bCs/>
        </w:rPr>
        <w:t>Objetivos:</w:t>
      </w:r>
      <w:r w:rsidR="009E1A21" w:rsidRPr="007F1EE3">
        <w:rPr>
          <w:rFonts w:ascii="Times New Roman" w:hAnsi="Times New Roman" w:cs="Times New Roman"/>
        </w:rPr>
        <w:t xml:space="preserve"> </w:t>
      </w:r>
      <w:bookmarkStart w:id="2" w:name="_Hlk18957313"/>
      <w:r w:rsidR="004B7C42" w:rsidRPr="007F1EE3">
        <w:rPr>
          <w:rFonts w:ascii="Times New Roman" w:hAnsi="Times New Roman" w:cs="Times New Roman"/>
        </w:rPr>
        <w:t>D</w:t>
      </w:r>
      <w:r w:rsidR="00CB3A76" w:rsidRPr="007F1EE3">
        <w:rPr>
          <w:rFonts w:ascii="Times New Roman" w:hAnsi="Times New Roman" w:cs="Times New Roman"/>
        </w:rPr>
        <w:t>emonstrar as alterações do metabolismo mineral e ósseo e orientações dietéticas em pacientes transplantado</w:t>
      </w:r>
      <w:r w:rsidR="004B7C42" w:rsidRPr="007F1EE3">
        <w:rPr>
          <w:rFonts w:ascii="Times New Roman" w:hAnsi="Times New Roman" w:cs="Times New Roman"/>
        </w:rPr>
        <w:t>s</w:t>
      </w:r>
      <w:r w:rsidR="007916F0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>rena</w:t>
      </w:r>
      <w:r w:rsidR="004B7C42" w:rsidRPr="007F1EE3">
        <w:rPr>
          <w:rFonts w:ascii="Times New Roman" w:hAnsi="Times New Roman" w:cs="Times New Roman"/>
        </w:rPr>
        <w:t>is</w:t>
      </w:r>
      <w:r w:rsidR="007916F0" w:rsidRPr="007F1EE3">
        <w:rPr>
          <w:rFonts w:ascii="Times New Roman" w:hAnsi="Times New Roman" w:cs="Times New Roman"/>
        </w:rPr>
        <w:t>.</w:t>
      </w:r>
      <w:bookmarkEnd w:id="2"/>
      <w:r w:rsidR="00145AEA" w:rsidRPr="007F1EE3">
        <w:rPr>
          <w:rFonts w:ascii="Times New Roman" w:hAnsi="Times New Roman" w:cs="Times New Roman"/>
        </w:rPr>
        <w:t xml:space="preserve"> </w:t>
      </w:r>
      <w:r w:rsidR="00521B5B" w:rsidRPr="007F1EE3">
        <w:rPr>
          <w:rFonts w:ascii="Times New Roman" w:hAnsi="Times New Roman" w:cs="Times New Roman"/>
          <w:b/>
          <w:bCs/>
        </w:rPr>
        <w:t>Métodos:</w:t>
      </w:r>
      <w:r w:rsidR="00CB3A76" w:rsidRPr="007F1EE3">
        <w:rPr>
          <w:rFonts w:ascii="Times New Roman" w:hAnsi="Times New Roman" w:cs="Times New Roman"/>
          <w:b/>
          <w:bCs/>
          <w:color w:val="FF0000"/>
        </w:rPr>
        <w:t xml:space="preserve"> </w:t>
      </w:r>
      <w:bookmarkStart w:id="3" w:name="_Hlk18957356"/>
      <w:bookmarkStart w:id="4" w:name="_Hlk14955633"/>
      <w:r w:rsidR="00B15ED6" w:rsidRPr="007F1EE3">
        <w:rPr>
          <w:rFonts w:ascii="Times New Roman" w:hAnsi="Times New Roman" w:cs="Times New Roman"/>
          <w:color w:val="000000" w:themeColor="text1"/>
        </w:rPr>
        <w:t xml:space="preserve">O presente trabalho trata-se de </w:t>
      </w:r>
      <w:r w:rsidR="00521B5B" w:rsidRPr="007F1EE3">
        <w:rPr>
          <w:rFonts w:ascii="Times New Roman" w:hAnsi="Times New Roman" w:cs="Times New Roman"/>
          <w:color w:val="000000" w:themeColor="text1"/>
        </w:rPr>
        <w:t>uma revisão bibliográfica</w:t>
      </w:r>
      <w:r w:rsidR="00807F17">
        <w:rPr>
          <w:rFonts w:ascii="Times New Roman" w:hAnsi="Times New Roman" w:cs="Times New Roman"/>
        </w:rPr>
        <w:t>.</w:t>
      </w:r>
      <w:r w:rsidR="00CB3A76" w:rsidRPr="007F1EE3">
        <w:rPr>
          <w:rFonts w:ascii="Times New Roman" w:hAnsi="Times New Roman" w:cs="Times New Roman"/>
        </w:rPr>
        <w:t xml:space="preserve"> </w:t>
      </w:r>
      <w:r w:rsidR="00807F17">
        <w:rPr>
          <w:rFonts w:ascii="Times New Roman" w:hAnsi="Times New Roman" w:cs="Times New Roman"/>
        </w:rPr>
        <w:t>A</w:t>
      </w:r>
      <w:r w:rsidR="00CB3A76" w:rsidRPr="007F1EE3">
        <w:rPr>
          <w:rFonts w:ascii="Times New Roman" w:hAnsi="Times New Roman" w:cs="Times New Roman"/>
        </w:rPr>
        <w:t xml:space="preserve"> coleta de dados foi realizada no período 22 a 24 de julho de 2019, as bases de dados utilizada foram, Scientific Eletrônic Library Online (</w:t>
      </w:r>
      <w:r w:rsidR="00CB3A76" w:rsidRPr="007F1EE3">
        <w:rPr>
          <w:rFonts w:ascii="Times New Roman" w:hAnsi="Times New Roman" w:cs="Times New Roman"/>
          <w:i/>
          <w:iCs/>
        </w:rPr>
        <w:t xml:space="preserve">SCIELO) </w:t>
      </w:r>
      <w:r w:rsidR="00CB3A76" w:rsidRPr="007F1EE3">
        <w:rPr>
          <w:rFonts w:ascii="Times New Roman" w:hAnsi="Times New Roman" w:cs="Times New Roman"/>
        </w:rPr>
        <w:t>e National Library of Medicine (</w:t>
      </w:r>
      <w:r w:rsidR="00CB3A76" w:rsidRPr="007F1EE3">
        <w:rPr>
          <w:rFonts w:ascii="Times New Roman" w:hAnsi="Times New Roman" w:cs="Times New Roman"/>
          <w:i/>
          <w:iCs/>
        </w:rPr>
        <w:t>PUBMED)</w:t>
      </w:r>
      <w:bookmarkEnd w:id="3"/>
      <w:r w:rsidR="00C257A5">
        <w:rPr>
          <w:rFonts w:ascii="Times New Roman" w:hAnsi="Times New Roman" w:cs="Times New Roman"/>
          <w:i/>
          <w:iCs/>
        </w:rPr>
        <w:t>,</w:t>
      </w:r>
      <w:r w:rsidR="00CB3A76" w:rsidRPr="007F1EE3">
        <w:rPr>
          <w:rFonts w:ascii="Times New Roman" w:hAnsi="Times New Roman" w:cs="Times New Roman"/>
        </w:rPr>
        <w:t xml:space="preserve"> </w:t>
      </w:r>
      <w:bookmarkEnd w:id="4"/>
      <w:r w:rsidR="00CB3A76" w:rsidRPr="007F1EE3">
        <w:rPr>
          <w:rFonts w:ascii="Times New Roman" w:hAnsi="Times New Roman" w:cs="Times New Roman"/>
        </w:rPr>
        <w:t xml:space="preserve">as palavras chaves </w:t>
      </w:r>
      <w:r w:rsidR="00B15ED6" w:rsidRPr="007F1EE3">
        <w:rPr>
          <w:rFonts w:ascii="Times New Roman" w:hAnsi="Times New Roman" w:cs="Times New Roman"/>
        </w:rPr>
        <w:t xml:space="preserve">usadas </w:t>
      </w:r>
      <w:r w:rsidR="00CB3A76" w:rsidRPr="007F1EE3">
        <w:rPr>
          <w:rFonts w:ascii="Times New Roman" w:hAnsi="Times New Roman" w:cs="Times New Roman"/>
        </w:rPr>
        <w:t>foram “Transplante de rim’’, “Imunossupressores ‘’, “Hipercalcemia’’ e “Dieta’</w:t>
      </w:r>
      <w:r w:rsidR="004276D2" w:rsidRPr="007F1EE3">
        <w:rPr>
          <w:rFonts w:ascii="Times New Roman" w:hAnsi="Times New Roman" w:cs="Times New Roman"/>
        </w:rPr>
        <w:t>’. Os</w:t>
      </w:r>
      <w:r w:rsidR="00CB3A76" w:rsidRPr="007F1EE3">
        <w:rPr>
          <w:rFonts w:ascii="Times New Roman" w:hAnsi="Times New Roman" w:cs="Times New Roman"/>
        </w:rPr>
        <w:t xml:space="preserve"> critérios de inclusão foram definidos</w:t>
      </w:r>
      <w:r w:rsidR="00B15ED6" w:rsidRPr="007F1EE3">
        <w:rPr>
          <w:rFonts w:ascii="Times New Roman" w:hAnsi="Times New Roman" w:cs="Times New Roman"/>
        </w:rPr>
        <w:t xml:space="preserve"> por</w:t>
      </w:r>
      <w:r w:rsidR="00CB3A76" w:rsidRPr="007F1EE3">
        <w:rPr>
          <w:rFonts w:ascii="Times New Roman" w:hAnsi="Times New Roman" w:cs="Times New Roman"/>
        </w:rPr>
        <w:t xml:space="preserve"> artigos publicados</w:t>
      </w:r>
      <w:r w:rsidR="00B15ED6" w:rsidRPr="007F1EE3">
        <w:rPr>
          <w:rFonts w:ascii="Times New Roman" w:hAnsi="Times New Roman" w:cs="Times New Roman"/>
        </w:rPr>
        <w:t xml:space="preserve"> que estavam disponíveis na integra e</w:t>
      </w:r>
      <w:r w:rsidR="00B15ED6" w:rsidRPr="007F1EE3">
        <w:rPr>
          <w:rFonts w:ascii="Times New Roman" w:hAnsi="Times New Roman" w:cs="Times New Roman"/>
          <w:color w:val="000000"/>
        </w:rPr>
        <w:t xml:space="preserve"> que mais se aproximava a resposta da questão do presente trabalho</w:t>
      </w:r>
      <w:r w:rsidR="00CB3A76" w:rsidRPr="007F1EE3">
        <w:rPr>
          <w:rFonts w:ascii="Times New Roman" w:hAnsi="Times New Roman" w:cs="Times New Roman"/>
        </w:rPr>
        <w:t>. Para a pesquisa na base de dados da SCIELO, não foi limitado idioma.</w:t>
      </w:r>
      <w:r w:rsidR="004B7C42" w:rsidRPr="007F1EE3">
        <w:rPr>
          <w:rFonts w:ascii="Times New Roman" w:hAnsi="Times New Roman" w:cs="Times New Roman"/>
        </w:rPr>
        <w:t xml:space="preserve"> </w:t>
      </w:r>
      <w:r w:rsidR="00CB3A76" w:rsidRPr="007F1EE3">
        <w:rPr>
          <w:rFonts w:ascii="Times New Roman" w:hAnsi="Times New Roman" w:cs="Times New Roman"/>
        </w:rPr>
        <w:t>Foram encontrados ao total de 576 artigos</w:t>
      </w:r>
      <w:r w:rsidR="00C257A5">
        <w:rPr>
          <w:rFonts w:ascii="Times New Roman" w:hAnsi="Times New Roman" w:cs="Times New Roman"/>
        </w:rPr>
        <w:t>,</w:t>
      </w:r>
      <w:r w:rsidR="00CB3A76" w:rsidRPr="007F1EE3">
        <w:rPr>
          <w:rFonts w:ascii="Times New Roman" w:hAnsi="Times New Roman" w:cs="Times New Roman"/>
        </w:rPr>
        <w:t xml:space="preserve"> </w:t>
      </w:r>
      <w:r w:rsidR="00C257A5">
        <w:rPr>
          <w:rFonts w:ascii="Times New Roman" w:hAnsi="Times New Roman" w:cs="Times New Roman"/>
        </w:rPr>
        <w:t>n</w:t>
      </w:r>
      <w:r w:rsidR="004B7C42" w:rsidRPr="007F1EE3">
        <w:rPr>
          <w:rFonts w:ascii="Times New Roman" w:hAnsi="Times New Roman" w:cs="Times New Roman"/>
        </w:rPr>
        <w:t>o</w:t>
      </w:r>
      <w:r w:rsidR="00CB3A76" w:rsidRPr="007F1EE3">
        <w:rPr>
          <w:rFonts w:ascii="Times New Roman" w:hAnsi="Times New Roman" w:cs="Times New Roman"/>
        </w:rPr>
        <w:t xml:space="preserve"> PUBMED resultou em 91 artigos onde, após a leitura 10 artigos foram aceitos, diferente d</w:t>
      </w:r>
      <w:r w:rsidR="004B7C42" w:rsidRPr="007F1EE3">
        <w:rPr>
          <w:rFonts w:ascii="Times New Roman" w:hAnsi="Times New Roman" w:cs="Times New Roman"/>
        </w:rPr>
        <w:t>o</w:t>
      </w:r>
      <w:r w:rsidR="00CB3A76" w:rsidRPr="007F1EE3">
        <w:rPr>
          <w:rFonts w:ascii="Times New Roman" w:hAnsi="Times New Roman" w:cs="Times New Roman"/>
        </w:rPr>
        <w:t xml:space="preserve"> SCIELO onde resultou de 485 artigos, aceitos 121 após a leitura do título. </w:t>
      </w:r>
      <w:bookmarkStart w:id="5" w:name="_Hlk18957380"/>
      <w:r w:rsidR="00CB3A76" w:rsidRPr="007F1EE3">
        <w:rPr>
          <w:rFonts w:ascii="Times New Roman" w:hAnsi="Times New Roman" w:cs="Times New Roman"/>
        </w:rPr>
        <w:t>Obtivemos</w:t>
      </w:r>
      <w:r w:rsidR="003C03AD" w:rsidRPr="007F1EE3">
        <w:rPr>
          <w:rFonts w:ascii="Times New Roman" w:hAnsi="Times New Roman" w:cs="Times New Roman"/>
        </w:rPr>
        <w:t xml:space="preserve"> ao final</w:t>
      </w:r>
      <w:r w:rsidR="00CB3A76" w:rsidRPr="007F1EE3">
        <w:rPr>
          <w:rFonts w:ascii="Times New Roman" w:hAnsi="Times New Roman" w:cs="Times New Roman"/>
        </w:rPr>
        <w:t xml:space="preserve"> 131 artigos para leitura do resumo, onde 2 artigos foram aceitos na PUBMED, e na SCIELO 5 artigos aceitos.</w:t>
      </w:r>
      <w:bookmarkEnd w:id="5"/>
      <w:r w:rsidR="007916F0" w:rsidRPr="007F1EE3">
        <w:rPr>
          <w:rFonts w:ascii="Times New Roman" w:hAnsi="Times New Roman" w:cs="Times New Roman"/>
        </w:rPr>
        <w:t xml:space="preserve"> </w:t>
      </w:r>
      <w:r w:rsidRPr="007F1EE3">
        <w:rPr>
          <w:rFonts w:ascii="Times New Roman" w:hAnsi="Times New Roman" w:cs="Times New Roman"/>
          <w:b/>
          <w:bCs/>
        </w:rPr>
        <w:t>Resultados:</w:t>
      </w:r>
      <w:bookmarkStart w:id="6" w:name="_Hlk14955668"/>
      <w:bookmarkStart w:id="7" w:name="_Hlk18957399"/>
      <w:r w:rsidR="00807F17">
        <w:rPr>
          <w:rFonts w:ascii="Times New Roman" w:hAnsi="Times New Roman" w:cs="Times New Roman"/>
          <w:b/>
          <w:bCs/>
        </w:rPr>
        <w:t xml:space="preserve"> </w:t>
      </w:r>
      <w:r w:rsidR="00807F17">
        <w:rPr>
          <w:rFonts w:ascii="Times New Roman" w:hAnsi="Times New Roman" w:cs="Times New Roman"/>
        </w:rPr>
        <w:t>E</w:t>
      </w:r>
      <w:r w:rsidR="00807F17" w:rsidRPr="007F1EE3">
        <w:rPr>
          <w:rFonts w:ascii="Times New Roman" w:hAnsi="Times New Roman" w:cs="Times New Roman"/>
        </w:rPr>
        <w:t xml:space="preserve">studos mostram que a doença óssea é uma complicação pouco valorizada pela equipe multidisciplinar pós transplante, tendo complicações na qualidade de vida do paciente e do </w:t>
      </w:r>
      <w:r w:rsidR="00807F17" w:rsidRPr="007F1EE3">
        <w:rPr>
          <w:rFonts w:ascii="Times New Roman" w:hAnsi="Times New Roman" w:cs="Times New Roman"/>
        </w:rPr>
        <w:lastRenderedPageBreak/>
        <w:t xml:space="preserve">enxerto. Deve se ter o controle do paratormônio (HPT) para se evitar quadros de hipercalcemia pós </w:t>
      </w:r>
      <w:r w:rsidR="006131C8" w:rsidRPr="007F1EE3">
        <w:rPr>
          <w:rFonts w:ascii="Times New Roman" w:hAnsi="Times New Roman" w:cs="Times New Roman"/>
        </w:rPr>
        <w:t>transplante,</w:t>
      </w:r>
      <w:r w:rsidR="006131C8">
        <w:rPr>
          <w:rFonts w:ascii="Times New Roman" w:hAnsi="Times New Roman" w:cs="Times New Roman"/>
        </w:rPr>
        <w:t xml:space="preserve"> e</w:t>
      </w:r>
      <w:r w:rsidR="00807F17" w:rsidRPr="007F1EE3">
        <w:rPr>
          <w:rFonts w:ascii="Times New Roman" w:hAnsi="Times New Roman" w:cs="Times New Roman"/>
        </w:rPr>
        <w:t xml:space="preserve"> é plausível que a hipercalemia tenha impacto negativo na qualidade de vida dos pacientes </w:t>
      </w:r>
      <w:bookmarkEnd w:id="6"/>
      <w:r w:rsidR="006131C8" w:rsidRPr="007F1EE3">
        <w:rPr>
          <w:rFonts w:ascii="Times New Roman" w:hAnsi="Times New Roman" w:cs="Times New Roman"/>
        </w:rPr>
        <w:t>transplantados.</w:t>
      </w:r>
      <w:r w:rsidR="006131C8">
        <w:rPr>
          <w:rFonts w:ascii="Times New Roman" w:hAnsi="Times New Roman" w:cs="Times New Roman"/>
        </w:rPr>
        <w:t xml:space="preserve"> O </w:t>
      </w:r>
      <w:r w:rsidR="00CB3A76" w:rsidRPr="007F1EE3">
        <w:rPr>
          <w:rFonts w:ascii="Times New Roman" w:hAnsi="Times New Roman" w:cs="Times New Roman"/>
        </w:rPr>
        <w:t xml:space="preserve">uso de glicocorticoides inibe a 1-alfa hidroxilação da 25- hidroxicolecalciferol para calcitriol pelas células tubulares renais, prejudicando a síntese de calcitriol e aumentando a inibição de colágeno </w:t>
      </w:r>
      <w:bookmarkEnd w:id="7"/>
      <w:r w:rsidR="00CB3A76" w:rsidRPr="007F1EE3">
        <w:rPr>
          <w:rFonts w:ascii="Times New Roman" w:hAnsi="Times New Roman" w:cs="Times New Roman"/>
        </w:rPr>
        <w:t>e síntese osteocalcina, assim os glicocorticoides age</w:t>
      </w:r>
      <w:r w:rsidR="00C257A5">
        <w:rPr>
          <w:rFonts w:ascii="Times New Roman" w:hAnsi="Times New Roman" w:cs="Times New Roman"/>
        </w:rPr>
        <w:t>m</w:t>
      </w:r>
      <w:r w:rsidR="00CB3A76" w:rsidRPr="007F1EE3">
        <w:rPr>
          <w:rFonts w:ascii="Times New Roman" w:hAnsi="Times New Roman" w:cs="Times New Roman"/>
        </w:rPr>
        <w:t xml:space="preserve"> com o hiperparatireoidismo reabsorvendo ossos velhos e inibindo que novos ossos se formem aumentando assim cálcio e fosfato</w:t>
      </w:r>
      <w:bookmarkStart w:id="8" w:name="_Hlk18957423"/>
      <w:r w:rsidR="006131C8">
        <w:rPr>
          <w:rFonts w:ascii="Times New Roman" w:hAnsi="Times New Roman" w:cs="Times New Roman"/>
        </w:rPr>
        <w:t xml:space="preserve">. </w:t>
      </w:r>
      <w:r w:rsidR="00CB3A76" w:rsidRPr="007F1EE3">
        <w:rPr>
          <w:rFonts w:ascii="Times New Roman" w:hAnsi="Times New Roman" w:cs="Times New Roman"/>
        </w:rPr>
        <w:t xml:space="preserve">O </w:t>
      </w:r>
      <w:r w:rsidR="00D93998">
        <w:rPr>
          <w:rFonts w:ascii="Times New Roman" w:hAnsi="Times New Roman" w:cs="Times New Roman"/>
        </w:rPr>
        <w:t>planejamento</w:t>
      </w:r>
      <w:r w:rsidR="00CB3A76" w:rsidRPr="007F1EE3">
        <w:rPr>
          <w:rFonts w:ascii="Times New Roman" w:hAnsi="Times New Roman" w:cs="Times New Roman"/>
        </w:rPr>
        <w:t xml:space="preserve"> </w:t>
      </w:r>
      <w:r w:rsidR="006173E3">
        <w:rPr>
          <w:rFonts w:ascii="Times New Roman" w:hAnsi="Times New Roman" w:cs="Times New Roman"/>
        </w:rPr>
        <w:t>dietético</w:t>
      </w:r>
      <w:r w:rsidR="00CB3A76" w:rsidRPr="007F1EE3">
        <w:rPr>
          <w:rFonts w:ascii="Times New Roman" w:hAnsi="Times New Roman" w:cs="Times New Roman"/>
        </w:rPr>
        <w:t xml:space="preserve"> e orientações nutricionais nos pacientes </w:t>
      </w:r>
      <w:r w:rsidR="009E1A21" w:rsidRPr="007F1EE3">
        <w:rPr>
          <w:rFonts w:ascii="Times New Roman" w:hAnsi="Times New Roman" w:cs="Times New Roman"/>
        </w:rPr>
        <w:t xml:space="preserve">transplantados </w:t>
      </w:r>
      <w:r w:rsidR="006173E3">
        <w:rPr>
          <w:rFonts w:ascii="Times New Roman" w:hAnsi="Times New Roman" w:cs="Times New Roman"/>
        </w:rPr>
        <w:t xml:space="preserve">devem acompanhar o paciente </w:t>
      </w:r>
      <w:r w:rsidR="00CB3A76" w:rsidRPr="007F1EE3">
        <w:rPr>
          <w:rFonts w:ascii="Times New Roman" w:hAnsi="Times New Roman" w:cs="Times New Roman"/>
        </w:rPr>
        <w:t>desde a espera</w:t>
      </w:r>
      <w:r w:rsidR="00CB3A76" w:rsidRPr="007F1EE3">
        <w:rPr>
          <w:rFonts w:ascii="Times New Roman" w:hAnsi="Times New Roman" w:cs="Times New Roman"/>
          <w:color w:val="FF0000"/>
        </w:rPr>
        <w:t xml:space="preserve"> </w:t>
      </w:r>
      <w:r w:rsidR="00CB3A76" w:rsidRPr="007F1EE3">
        <w:rPr>
          <w:rFonts w:ascii="Times New Roman" w:hAnsi="Times New Roman" w:cs="Times New Roman"/>
        </w:rPr>
        <w:t xml:space="preserve">até a implantação do </w:t>
      </w:r>
      <w:r w:rsidR="001061E6" w:rsidRPr="007F1EE3">
        <w:rPr>
          <w:rFonts w:ascii="Times New Roman" w:hAnsi="Times New Roman" w:cs="Times New Roman"/>
        </w:rPr>
        <w:t>órgão</w:t>
      </w:r>
      <w:r w:rsidR="001061E6" w:rsidRPr="006173E3">
        <w:rPr>
          <w:rFonts w:ascii="Times New Roman" w:hAnsi="Times New Roman" w:cs="Times New Roman"/>
          <w:color w:val="FF0000"/>
        </w:rPr>
        <w:t xml:space="preserve"> </w:t>
      </w:r>
      <w:r w:rsidR="001061E6" w:rsidRPr="001061E6">
        <w:rPr>
          <w:rFonts w:ascii="Times New Roman" w:hAnsi="Times New Roman" w:cs="Times New Roman"/>
          <w:color w:val="000000" w:themeColor="text1"/>
        </w:rPr>
        <w:t>sugerindo</w:t>
      </w:r>
      <w:r w:rsidR="00166D5D" w:rsidRPr="00166D5D">
        <w:rPr>
          <w:rFonts w:ascii="Times New Roman" w:hAnsi="Times New Roman" w:cs="Times New Roman"/>
          <w:color w:val="000000" w:themeColor="text1"/>
        </w:rPr>
        <w:t xml:space="preserve">-se dieta </w:t>
      </w:r>
      <w:r w:rsidR="00CB3A76" w:rsidRPr="007F1EE3">
        <w:rPr>
          <w:rFonts w:ascii="Times New Roman" w:hAnsi="Times New Roman" w:cs="Times New Roman"/>
        </w:rPr>
        <w:t>rica</w:t>
      </w:r>
      <w:r w:rsidR="006173E3">
        <w:rPr>
          <w:rFonts w:ascii="Times New Roman" w:hAnsi="Times New Roman" w:cs="Times New Roman"/>
        </w:rPr>
        <w:t xml:space="preserve"> </w:t>
      </w:r>
      <w:r w:rsidR="001061E6">
        <w:rPr>
          <w:rFonts w:ascii="Times New Roman" w:hAnsi="Times New Roman" w:cs="Times New Roman"/>
        </w:rPr>
        <w:t>em</w:t>
      </w:r>
      <w:r w:rsidR="00CB3A76" w:rsidRPr="007F1EE3">
        <w:rPr>
          <w:rFonts w:ascii="Times New Roman" w:hAnsi="Times New Roman" w:cs="Times New Roman"/>
        </w:rPr>
        <w:t xml:space="preserve"> fibras</w:t>
      </w:r>
      <w:r w:rsidR="001061E6">
        <w:rPr>
          <w:rFonts w:ascii="Times New Roman" w:hAnsi="Times New Roman" w:cs="Times New Roman"/>
        </w:rPr>
        <w:t xml:space="preserve">, </w:t>
      </w:r>
      <w:r w:rsidR="00166D5D">
        <w:rPr>
          <w:rFonts w:ascii="Times New Roman" w:hAnsi="Times New Roman" w:cs="Times New Roman"/>
        </w:rPr>
        <w:t>variações no cardápio</w:t>
      </w:r>
      <w:r w:rsidR="001061E6">
        <w:rPr>
          <w:rFonts w:ascii="Times New Roman" w:hAnsi="Times New Roman" w:cs="Times New Roman"/>
        </w:rPr>
        <w:t>,</w:t>
      </w:r>
      <w:r w:rsidR="00166D5D">
        <w:rPr>
          <w:rFonts w:ascii="Times New Roman" w:hAnsi="Times New Roman" w:cs="Times New Roman"/>
        </w:rPr>
        <w:t xml:space="preserve"> ingestão proteica adequada afim </w:t>
      </w:r>
      <w:r w:rsidR="001061E6">
        <w:rPr>
          <w:rFonts w:ascii="Times New Roman" w:hAnsi="Times New Roman" w:cs="Times New Roman"/>
        </w:rPr>
        <w:t>de evitar</w:t>
      </w:r>
      <w:r w:rsidR="006131C8">
        <w:rPr>
          <w:rFonts w:ascii="Times New Roman" w:hAnsi="Times New Roman" w:cs="Times New Roman"/>
        </w:rPr>
        <w:t xml:space="preserve"> </w:t>
      </w:r>
      <w:r w:rsidR="00166D5D">
        <w:rPr>
          <w:rFonts w:ascii="Times New Roman" w:hAnsi="Times New Roman" w:cs="Times New Roman"/>
        </w:rPr>
        <w:t>o balanço nitrogenado negativo</w:t>
      </w:r>
      <w:r w:rsidR="006131C8">
        <w:rPr>
          <w:rFonts w:ascii="Times New Roman" w:hAnsi="Times New Roman" w:cs="Times New Roman"/>
        </w:rPr>
        <w:t xml:space="preserve"> </w:t>
      </w:r>
      <w:r w:rsidR="00166D5D">
        <w:rPr>
          <w:rFonts w:ascii="Times New Roman" w:hAnsi="Times New Roman" w:cs="Times New Roman"/>
        </w:rPr>
        <w:t xml:space="preserve">e </w:t>
      </w:r>
      <w:r w:rsidR="006131C8">
        <w:rPr>
          <w:rFonts w:ascii="Times New Roman" w:hAnsi="Times New Roman" w:cs="Times New Roman"/>
        </w:rPr>
        <w:t>depleção muscular</w:t>
      </w:r>
      <w:r w:rsidR="00166D5D">
        <w:rPr>
          <w:rFonts w:ascii="Times New Roman" w:hAnsi="Times New Roman" w:cs="Times New Roman"/>
        </w:rPr>
        <w:t xml:space="preserve">, </w:t>
      </w:r>
      <w:r w:rsidR="001061E6">
        <w:rPr>
          <w:rFonts w:ascii="Times New Roman" w:hAnsi="Times New Roman" w:cs="Times New Roman"/>
        </w:rPr>
        <w:t>melhorando assim</w:t>
      </w:r>
      <w:r w:rsidR="00166D5D">
        <w:rPr>
          <w:rFonts w:ascii="Times New Roman" w:hAnsi="Times New Roman" w:cs="Times New Roman"/>
        </w:rPr>
        <w:t xml:space="preserve"> os desfechos no </w:t>
      </w:r>
      <w:r w:rsidR="001061E6">
        <w:rPr>
          <w:rFonts w:ascii="Times New Roman" w:hAnsi="Times New Roman" w:cs="Times New Roman"/>
        </w:rPr>
        <w:t>pós-operatório</w:t>
      </w:r>
      <w:r w:rsidR="001403BE" w:rsidRPr="007F1EE3">
        <w:rPr>
          <w:rFonts w:ascii="Times New Roman" w:hAnsi="Times New Roman" w:cs="Times New Roman"/>
        </w:rPr>
        <w:t>.</w:t>
      </w:r>
      <w:bookmarkEnd w:id="8"/>
      <w:r w:rsidR="00B866FE" w:rsidRPr="007F1EE3">
        <w:rPr>
          <w:rFonts w:ascii="Times New Roman" w:hAnsi="Times New Roman" w:cs="Times New Roman"/>
          <w:kern w:val="24"/>
          <w:vertAlign w:val="superscript"/>
        </w:rPr>
        <w:t xml:space="preserve"> </w:t>
      </w:r>
      <w:r w:rsidRPr="007F1EE3">
        <w:rPr>
          <w:rFonts w:ascii="Times New Roman" w:hAnsi="Times New Roman" w:cs="Times New Roman"/>
          <w:b/>
          <w:bCs/>
        </w:rPr>
        <w:t>Conclusão:</w:t>
      </w:r>
      <w:r w:rsidR="0042093F" w:rsidRPr="007F1EE3">
        <w:rPr>
          <w:rFonts w:ascii="Times New Roman" w:hAnsi="Times New Roman" w:cs="Times New Roman"/>
        </w:rPr>
        <w:t xml:space="preserve"> </w:t>
      </w:r>
      <w:bookmarkStart w:id="9" w:name="_Hlk18957480"/>
      <w:r w:rsidR="0042093F" w:rsidRPr="007F1EE3">
        <w:rPr>
          <w:rFonts w:ascii="Times New Roman" w:hAnsi="Times New Roman" w:cs="Times New Roman"/>
        </w:rPr>
        <w:t xml:space="preserve">Pode-se inferir que os presentes artigos demostram que as alterações metabólicas minerais e óssea perante o uso de glicocorticoides causa malefícios a sobrevida do enxerto, e que uma orientação dietética </w:t>
      </w:r>
      <w:bookmarkStart w:id="10" w:name="_GoBack"/>
      <w:bookmarkEnd w:id="10"/>
      <w:r w:rsidR="0042093F" w:rsidRPr="007F1EE3">
        <w:rPr>
          <w:rFonts w:ascii="Times New Roman" w:hAnsi="Times New Roman" w:cs="Times New Roman"/>
        </w:rPr>
        <w:t xml:space="preserve">desde a espera pelo transplante até pós transplante é essencial para que essas alterações possam ser normalizadas. </w:t>
      </w:r>
      <w:bookmarkEnd w:id="9"/>
      <w:r w:rsidR="0042093F" w:rsidRPr="007F1EE3">
        <w:rPr>
          <w:rFonts w:ascii="Times New Roman" w:hAnsi="Times New Roman" w:cs="Times New Roman"/>
        </w:rPr>
        <w:t xml:space="preserve">Mesmo </w:t>
      </w:r>
      <w:r w:rsidR="008C69C2" w:rsidRPr="007F1EE3">
        <w:rPr>
          <w:rFonts w:ascii="Times New Roman" w:hAnsi="Times New Roman" w:cs="Times New Roman"/>
        </w:rPr>
        <w:t>em</w:t>
      </w:r>
      <w:r w:rsidR="0042093F" w:rsidRPr="007F1EE3">
        <w:rPr>
          <w:rFonts w:ascii="Times New Roman" w:hAnsi="Times New Roman" w:cs="Times New Roman"/>
        </w:rPr>
        <w:t xml:space="preserve"> transplante</w:t>
      </w:r>
      <w:r w:rsidR="008C69C2" w:rsidRPr="007F1EE3">
        <w:rPr>
          <w:rFonts w:ascii="Times New Roman" w:hAnsi="Times New Roman" w:cs="Times New Roman"/>
        </w:rPr>
        <w:t>s</w:t>
      </w:r>
      <w:r w:rsidR="0042093F" w:rsidRPr="007F1EE3">
        <w:rPr>
          <w:rFonts w:ascii="Times New Roman" w:hAnsi="Times New Roman" w:cs="Times New Roman"/>
        </w:rPr>
        <w:t xml:space="preserve"> bem-sucedido</w:t>
      </w:r>
      <w:r w:rsidR="008C69C2" w:rsidRPr="007F1EE3">
        <w:rPr>
          <w:rFonts w:ascii="Times New Roman" w:hAnsi="Times New Roman" w:cs="Times New Roman"/>
        </w:rPr>
        <w:t>s as orientações</w:t>
      </w:r>
      <w:r w:rsidR="003D671C" w:rsidRPr="007F1EE3">
        <w:rPr>
          <w:rFonts w:ascii="Times New Roman" w:hAnsi="Times New Roman" w:cs="Times New Roman"/>
        </w:rPr>
        <w:t xml:space="preserve"> </w:t>
      </w:r>
      <w:r w:rsidR="008C69C2" w:rsidRPr="007F1EE3">
        <w:rPr>
          <w:rFonts w:ascii="Times New Roman" w:hAnsi="Times New Roman" w:cs="Times New Roman"/>
        </w:rPr>
        <w:t xml:space="preserve">dietéticas </w:t>
      </w:r>
      <w:r w:rsidR="0042093F" w:rsidRPr="007F1EE3">
        <w:rPr>
          <w:rFonts w:ascii="Times New Roman" w:hAnsi="Times New Roman" w:cs="Times New Roman"/>
        </w:rPr>
        <w:t>corrige</w:t>
      </w:r>
      <w:r w:rsidR="003D671C" w:rsidRPr="007F1EE3">
        <w:rPr>
          <w:rFonts w:ascii="Times New Roman" w:hAnsi="Times New Roman" w:cs="Times New Roman"/>
        </w:rPr>
        <w:t>m</w:t>
      </w:r>
      <w:r w:rsidR="0042093F" w:rsidRPr="007F1EE3">
        <w:rPr>
          <w:rFonts w:ascii="Times New Roman" w:hAnsi="Times New Roman" w:cs="Times New Roman"/>
        </w:rPr>
        <w:t xml:space="preserve"> ou melhora as alterações metabólicas</w:t>
      </w:r>
      <w:r w:rsidR="008C69C2" w:rsidRPr="007F1EE3">
        <w:rPr>
          <w:rFonts w:ascii="Times New Roman" w:hAnsi="Times New Roman" w:cs="Times New Roman"/>
        </w:rPr>
        <w:t>.</w:t>
      </w:r>
      <w:r w:rsidR="0042093F" w:rsidRPr="007F1EE3">
        <w:rPr>
          <w:rFonts w:ascii="Times New Roman" w:hAnsi="Times New Roman" w:cs="Times New Roman"/>
        </w:rPr>
        <w:t xml:space="preserve"> </w:t>
      </w:r>
      <w:r w:rsidR="008C69C2" w:rsidRPr="007F1EE3">
        <w:rPr>
          <w:rFonts w:ascii="Times New Roman" w:hAnsi="Times New Roman" w:cs="Times New Roman"/>
        </w:rPr>
        <w:t xml:space="preserve"> </w:t>
      </w:r>
      <w:r w:rsidR="008C69C2" w:rsidRPr="007F1EE3">
        <w:rPr>
          <w:rFonts w:ascii="Times New Roman" w:hAnsi="Times New Roman" w:cs="Times New Roman"/>
          <w:color w:val="000000"/>
        </w:rPr>
        <w:t xml:space="preserve">No entanto, mais estudos com esse tema e grupo específico são necessários </w:t>
      </w:r>
      <w:r w:rsidR="008C69C2" w:rsidRPr="007F1EE3">
        <w:rPr>
          <w:rFonts w:ascii="Times New Roman" w:hAnsi="Times New Roman" w:cs="Times New Roman"/>
        </w:rPr>
        <w:t>para maior</w:t>
      </w:r>
      <w:r w:rsidR="0042093F" w:rsidRPr="007F1EE3">
        <w:rPr>
          <w:rFonts w:ascii="Times New Roman" w:hAnsi="Times New Roman" w:cs="Times New Roman"/>
        </w:rPr>
        <w:t xml:space="preserve"> conhecimento e</w:t>
      </w:r>
      <w:r w:rsidR="008C69C2" w:rsidRPr="007F1EE3">
        <w:rPr>
          <w:rFonts w:ascii="Times New Roman" w:hAnsi="Times New Roman" w:cs="Times New Roman"/>
        </w:rPr>
        <w:t xml:space="preserve"> segurança nas</w:t>
      </w:r>
      <w:r w:rsidR="0042093F" w:rsidRPr="007F1EE3">
        <w:rPr>
          <w:rFonts w:ascii="Times New Roman" w:hAnsi="Times New Roman" w:cs="Times New Roman"/>
        </w:rPr>
        <w:t xml:space="preserve"> condutas no pós-transplante</w:t>
      </w:r>
      <w:r w:rsidRPr="007F1EE3">
        <w:rPr>
          <w:rFonts w:ascii="Times New Roman" w:hAnsi="Times New Roman" w:cs="Times New Roman"/>
          <w:bCs/>
        </w:rPr>
        <w:t xml:space="preserve">. </w:t>
      </w:r>
    </w:p>
    <w:p w:rsidR="00B866FE" w:rsidRPr="007F1EE3" w:rsidRDefault="00B866FE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F1EE3">
        <w:rPr>
          <w:rFonts w:ascii="Times New Roman" w:hAnsi="Times New Roman" w:cs="Times New Roman"/>
          <w:b/>
          <w:bCs/>
        </w:rPr>
        <w:t>Descritores:</w:t>
      </w:r>
      <w:r w:rsidRPr="007F1EE3">
        <w:rPr>
          <w:rFonts w:ascii="Times New Roman" w:hAnsi="Times New Roman" w:cs="Times New Roman"/>
          <w:bCs/>
        </w:rPr>
        <w:t xml:space="preserve"> </w:t>
      </w:r>
      <w:r w:rsidRPr="007F1EE3">
        <w:rPr>
          <w:rFonts w:ascii="Times New Roman" w:hAnsi="Times New Roman" w:cs="Times New Roman"/>
        </w:rPr>
        <w:t>Transplante de rim, Imunossupressores, Hipercalcemia, Dieta</w:t>
      </w:r>
      <w:r w:rsidRPr="007F1EE3">
        <w:rPr>
          <w:rFonts w:ascii="Times New Roman" w:hAnsi="Times New Roman" w:cs="Times New Roman"/>
          <w:bCs/>
        </w:rPr>
        <w:t>.</w:t>
      </w: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106943" w:rsidRPr="007F1EE3" w:rsidRDefault="00106943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3D671C" w:rsidRPr="007F1EE3" w:rsidRDefault="003D671C" w:rsidP="00B866F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2093F" w:rsidRPr="007F1EE3" w:rsidRDefault="003D4232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</w:rPr>
        <w:lastRenderedPageBreak/>
        <w:t>1</w:t>
      </w:r>
      <w:r w:rsidR="008D2A74" w:rsidRPr="007F1EE3">
        <w:rPr>
          <w:rFonts w:ascii="Times New Roman" w:hAnsi="Times New Roman" w:cs="Times New Roman"/>
          <w:b/>
          <w:bCs/>
        </w:rPr>
        <w:t xml:space="preserve"> </w:t>
      </w:r>
      <w:r w:rsidR="0042093F" w:rsidRPr="007F1EE3">
        <w:rPr>
          <w:rFonts w:ascii="Times New Roman" w:hAnsi="Times New Roman" w:cs="Times New Roman"/>
          <w:color w:val="000000"/>
        </w:rPr>
        <w:t xml:space="preserve">BRASIL. Associação Brasileira de Transplantes de Órgãos. Registro Brasileiro de Transplantes. Dimensionamento dos transplantes no Brasil e em cada estado (2006-2013). 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Registro Brasileiro de Transplantes</w:t>
      </w:r>
      <w:r w:rsidR="0042093F" w:rsidRPr="007F1EE3">
        <w:rPr>
          <w:rFonts w:ascii="Times New Roman" w:hAnsi="Times New Roman" w:cs="Times New Roman"/>
          <w:color w:val="000000"/>
        </w:rPr>
        <w:t xml:space="preserve">; 2013. </w:t>
      </w:r>
      <w:hyperlink r:id="rId6" w:history="1">
        <w:r w:rsidR="0042093F" w:rsidRPr="007F1EE3">
          <w:rPr>
            <w:rStyle w:val="Hyperlink"/>
            <w:rFonts w:ascii="Times New Roman" w:hAnsi="Times New Roman" w:cs="Times New Roman"/>
          </w:rPr>
          <w:t>www.abto.org.br/abtov03/default.aspx?mn=457&amp;c=900&amp;s=0</w:t>
        </w:r>
      </w:hyperlink>
      <w:r w:rsidR="0042093F" w:rsidRPr="007F1EE3">
        <w:rPr>
          <w:rFonts w:ascii="Times New Roman" w:hAnsi="Times New Roman" w:cs="Times New Roman"/>
          <w:color w:val="000000"/>
        </w:rPr>
        <w:t xml:space="preserve"> </w:t>
      </w:r>
    </w:p>
    <w:p w:rsidR="005367E8" w:rsidRPr="007F1EE3" w:rsidRDefault="008D2A74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  <w:color w:val="000000"/>
        </w:rPr>
        <w:t xml:space="preserve">2 </w:t>
      </w:r>
      <w:r w:rsidR="0042093F" w:rsidRPr="007F1EE3">
        <w:rPr>
          <w:rFonts w:ascii="Times New Roman" w:hAnsi="Times New Roman" w:cs="Times New Roman"/>
          <w:color w:val="000000"/>
        </w:rPr>
        <w:t xml:space="preserve">GOMES, L.P, et al, Alterações do metabolismo mineral e ósseo após um ano de transplante renal, 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J. Bras. Nefrol</w:t>
      </w:r>
      <w:r w:rsidR="0042093F" w:rsidRPr="007F1EE3">
        <w:rPr>
          <w:rFonts w:ascii="Times New Roman" w:hAnsi="Times New Roman" w:cs="Times New Roman"/>
          <w:color w:val="000000"/>
        </w:rPr>
        <w:t>, Paraná, v. 38, n 3; 282- 287. 2016.</w:t>
      </w:r>
    </w:p>
    <w:p w:rsidR="003D671C" w:rsidRPr="007F1EE3" w:rsidRDefault="003D671C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:rsidR="0042093F" w:rsidRPr="007F1EE3" w:rsidRDefault="008D2A74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  <w:color w:val="000000"/>
        </w:rPr>
        <w:t xml:space="preserve">3 </w:t>
      </w:r>
      <w:r w:rsidR="0042093F" w:rsidRPr="007F1EE3">
        <w:rPr>
          <w:rFonts w:ascii="Times New Roman" w:hAnsi="Times New Roman" w:cs="Times New Roman"/>
          <w:color w:val="000000"/>
        </w:rPr>
        <w:t xml:space="preserve">GUERRA, V. el al, Hipercalcemia e prejuízo de função renal associados à intoxicação por vitamina D: relato de caso, 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J. Bras. Nefrol</w:t>
      </w:r>
      <w:r w:rsidR="0042093F" w:rsidRPr="007F1EE3">
        <w:rPr>
          <w:rFonts w:ascii="Times New Roman" w:hAnsi="Times New Roman" w:cs="Times New Roman"/>
          <w:color w:val="000000"/>
        </w:rPr>
        <w:t>, São Paulo, v. 36, n; 466-469.2016.</w:t>
      </w:r>
    </w:p>
    <w:p w:rsidR="005367E8" w:rsidRPr="007F1EE3" w:rsidRDefault="005367E8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:rsidR="0042093F" w:rsidRPr="007F1EE3" w:rsidRDefault="008D2A74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  <w:color w:val="000000"/>
        </w:rPr>
        <w:t xml:space="preserve">4 </w:t>
      </w:r>
      <w:r w:rsidR="0042093F" w:rsidRPr="007F1EE3">
        <w:rPr>
          <w:rFonts w:ascii="Times New Roman" w:hAnsi="Times New Roman" w:cs="Times New Roman"/>
          <w:color w:val="000000"/>
        </w:rPr>
        <w:t xml:space="preserve">HEVOISE, P. et al, Alterações metabólicas e nutricionais e orientação dietética para pacientes submetidos a transplante renal, 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J. Bras. Nefrol</w:t>
      </w:r>
      <w:r w:rsidR="0042093F" w:rsidRPr="007F1EE3">
        <w:rPr>
          <w:rFonts w:ascii="Times New Roman" w:hAnsi="Times New Roman" w:cs="Times New Roman"/>
          <w:color w:val="000000"/>
        </w:rPr>
        <w:t>, Paraná, v. 18, n 4; 356-369.1996.</w:t>
      </w:r>
    </w:p>
    <w:p w:rsidR="005367E8" w:rsidRPr="007F1EE3" w:rsidRDefault="005367E8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:rsidR="0042093F" w:rsidRPr="007F1EE3" w:rsidRDefault="008D2A74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  <w:color w:val="000000"/>
        </w:rPr>
        <w:t xml:space="preserve">5 </w:t>
      </w:r>
      <w:r w:rsidR="0042093F" w:rsidRPr="007F1EE3">
        <w:rPr>
          <w:rFonts w:ascii="Times New Roman" w:hAnsi="Times New Roman" w:cs="Times New Roman"/>
          <w:color w:val="000000"/>
        </w:rPr>
        <w:t xml:space="preserve">MENEZES, F.G; ABREU, R.M; ITRIA, A, Análise de custo efetividade de paricalcitriol versus calcitriol no tratamento do HPTS em pacientes do SUS da perspectiva, 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J. Bras. Nefrol</w:t>
      </w:r>
      <w:r w:rsidR="0042093F" w:rsidRPr="007F1EE3">
        <w:rPr>
          <w:rFonts w:ascii="Times New Roman" w:hAnsi="Times New Roman" w:cs="Times New Roman"/>
          <w:color w:val="000000"/>
        </w:rPr>
        <w:t>, São Paulo, v. 36, n 3; 313-319.2016.</w:t>
      </w:r>
    </w:p>
    <w:p w:rsidR="005367E8" w:rsidRPr="007F1EE3" w:rsidRDefault="005367E8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</w:p>
    <w:p w:rsidR="0042093F" w:rsidRPr="007F1EE3" w:rsidRDefault="008D2A74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  <w:color w:val="000000"/>
        </w:rPr>
        <w:t xml:space="preserve">6 </w:t>
      </w:r>
      <w:r w:rsidR="0042093F" w:rsidRPr="007F1EE3">
        <w:rPr>
          <w:rFonts w:ascii="Times New Roman" w:hAnsi="Times New Roman" w:cs="Times New Roman"/>
          <w:color w:val="000000"/>
        </w:rPr>
        <w:t>MESSA P, CAFFORIO C, ALFIERI C. Clinical impact of hypercalcemia in kidney transplant</w:t>
      </w:r>
      <w:r w:rsidR="0042093F" w:rsidRPr="007F1EE3">
        <w:rPr>
          <w:rFonts w:ascii="Times New Roman" w:hAnsi="Times New Roman" w:cs="Times New Roman"/>
          <w:b/>
          <w:bCs/>
          <w:color w:val="000000"/>
        </w:rPr>
        <w:t>. Int J Nephrol</w:t>
      </w:r>
      <w:r w:rsidR="0042093F" w:rsidRPr="007F1EE3">
        <w:rPr>
          <w:rFonts w:ascii="Times New Roman" w:hAnsi="Times New Roman" w:cs="Times New Roman"/>
          <w:color w:val="000000"/>
        </w:rPr>
        <w:t xml:space="preserve"> 2011.</w:t>
      </w:r>
    </w:p>
    <w:p w:rsidR="003012FB" w:rsidRPr="007F1EE3" w:rsidRDefault="003012FB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F1EE3">
        <w:rPr>
          <w:rFonts w:ascii="Times New Roman" w:hAnsi="Times New Roman" w:cs="Times New Roman"/>
        </w:rPr>
        <w:t>7</w:t>
      </w:r>
      <w:r w:rsidR="00EC0F12" w:rsidRPr="007F1EE3">
        <w:rPr>
          <w:rFonts w:ascii="Times New Roman" w:hAnsi="Times New Roman" w:cs="Times New Roman"/>
        </w:rPr>
        <w:t xml:space="preserve"> N</w:t>
      </w:r>
      <w:r w:rsidRPr="007F1EE3">
        <w:rPr>
          <w:rFonts w:ascii="Times New Roman" w:hAnsi="Times New Roman" w:cs="Times New Roman"/>
        </w:rPr>
        <w:t>EVES C.L, DOS REIS L.M, BATISTA D.G, CUSTODIO M.R, GRACIOLLI F.G, MARTIN R.D.E.C, et al. Persistence of bone and mineral disorders 2 years after successful kidney transplantation. Transplantation aug v 15,96 n.3; 290-6, 2013.</w:t>
      </w:r>
    </w:p>
    <w:p w:rsidR="003012FB" w:rsidRPr="007F1EE3" w:rsidRDefault="003012FB" w:rsidP="007916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7F1EE3">
        <w:rPr>
          <w:rFonts w:ascii="Times New Roman" w:hAnsi="Times New Roman" w:cs="Times New Roman"/>
        </w:rPr>
        <w:t>8 PERES, L.A.B; PERCIO, P.P.V, Distúrbio mineral ósseo e calcificação vascular em pacientes renais crônicos, J. Bras. Nefrol, Paraná, v. 36, n 3; 313-319.2014.</w:t>
      </w:r>
    </w:p>
    <w:p w:rsidR="0042093F" w:rsidRPr="0042093F" w:rsidRDefault="0042093F" w:rsidP="007916F0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865786" w:rsidRPr="00CB3A76" w:rsidRDefault="00865786" w:rsidP="007916F0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</w:rPr>
      </w:pPr>
    </w:p>
    <w:p w:rsidR="00865786" w:rsidRPr="00D25623" w:rsidRDefault="00865786" w:rsidP="007916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4276D2">
      <w:headerReference w:type="first" r:id="rId7"/>
      <w:footerReference w:type="first" r:id="rId8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76" w:rsidRDefault="00942576" w:rsidP="0061289B">
      <w:r>
        <w:separator/>
      </w:r>
    </w:p>
  </w:endnote>
  <w:endnote w:type="continuationSeparator" w:id="0">
    <w:p w:rsidR="00942576" w:rsidRDefault="00942576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1A2" w:rsidRDefault="00C010F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76" w:rsidRDefault="00942576" w:rsidP="0061289B">
      <w:r>
        <w:separator/>
      </w:r>
    </w:p>
  </w:footnote>
  <w:footnote w:type="continuationSeparator" w:id="0">
    <w:p w:rsidR="00942576" w:rsidRDefault="00942576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DD2" w:rsidRDefault="00C010FB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80BE8"/>
    <w:rsid w:val="0008455A"/>
    <w:rsid w:val="00086308"/>
    <w:rsid w:val="00087CBB"/>
    <w:rsid w:val="0009719C"/>
    <w:rsid w:val="001061E6"/>
    <w:rsid w:val="00106943"/>
    <w:rsid w:val="0011066B"/>
    <w:rsid w:val="001403BE"/>
    <w:rsid w:val="00145AEA"/>
    <w:rsid w:val="00156E03"/>
    <w:rsid w:val="00166D5D"/>
    <w:rsid w:val="00184BC9"/>
    <w:rsid w:val="0019190C"/>
    <w:rsid w:val="001E0C4E"/>
    <w:rsid w:val="001E6B03"/>
    <w:rsid w:val="00213078"/>
    <w:rsid w:val="00281997"/>
    <w:rsid w:val="002B05AE"/>
    <w:rsid w:val="003012FB"/>
    <w:rsid w:val="00304EB3"/>
    <w:rsid w:val="00331482"/>
    <w:rsid w:val="00336F50"/>
    <w:rsid w:val="00371B9B"/>
    <w:rsid w:val="003A3AF8"/>
    <w:rsid w:val="003A7FE7"/>
    <w:rsid w:val="003C03AD"/>
    <w:rsid w:val="003D4232"/>
    <w:rsid w:val="003D671C"/>
    <w:rsid w:val="003D6F98"/>
    <w:rsid w:val="003E0104"/>
    <w:rsid w:val="0042093F"/>
    <w:rsid w:val="004260A2"/>
    <w:rsid w:val="004276D2"/>
    <w:rsid w:val="0043675C"/>
    <w:rsid w:val="004A2802"/>
    <w:rsid w:val="004B7C42"/>
    <w:rsid w:val="004C0677"/>
    <w:rsid w:val="004D258D"/>
    <w:rsid w:val="004E0773"/>
    <w:rsid w:val="004E2ED3"/>
    <w:rsid w:val="004E312C"/>
    <w:rsid w:val="00513D6E"/>
    <w:rsid w:val="00521B5B"/>
    <w:rsid w:val="005367E8"/>
    <w:rsid w:val="00551147"/>
    <w:rsid w:val="005A3199"/>
    <w:rsid w:val="005B303E"/>
    <w:rsid w:val="005C428A"/>
    <w:rsid w:val="00601D01"/>
    <w:rsid w:val="0061289B"/>
    <w:rsid w:val="006131C8"/>
    <w:rsid w:val="006173E3"/>
    <w:rsid w:val="0064760E"/>
    <w:rsid w:val="006543EE"/>
    <w:rsid w:val="0067224C"/>
    <w:rsid w:val="00687DD2"/>
    <w:rsid w:val="006F5111"/>
    <w:rsid w:val="00702306"/>
    <w:rsid w:val="00703A3D"/>
    <w:rsid w:val="007058E5"/>
    <w:rsid w:val="007107F2"/>
    <w:rsid w:val="00713636"/>
    <w:rsid w:val="0074606B"/>
    <w:rsid w:val="007500B4"/>
    <w:rsid w:val="007728C0"/>
    <w:rsid w:val="00774C55"/>
    <w:rsid w:val="00776BD3"/>
    <w:rsid w:val="007916F0"/>
    <w:rsid w:val="007F0259"/>
    <w:rsid w:val="007F1EE3"/>
    <w:rsid w:val="007F79D1"/>
    <w:rsid w:val="00807F17"/>
    <w:rsid w:val="00822F82"/>
    <w:rsid w:val="00835532"/>
    <w:rsid w:val="00861BBF"/>
    <w:rsid w:val="00865786"/>
    <w:rsid w:val="00897814"/>
    <w:rsid w:val="008C69C2"/>
    <w:rsid w:val="008D2A74"/>
    <w:rsid w:val="008F5A95"/>
    <w:rsid w:val="00914BB0"/>
    <w:rsid w:val="009211E7"/>
    <w:rsid w:val="00942576"/>
    <w:rsid w:val="009521A2"/>
    <w:rsid w:val="00983C57"/>
    <w:rsid w:val="009A6029"/>
    <w:rsid w:val="009E1A21"/>
    <w:rsid w:val="00A0773F"/>
    <w:rsid w:val="00A1173C"/>
    <w:rsid w:val="00A4713E"/>
    <w:rsid w:val="00AB567F"/>
    <w:rsid w:val="00AD5F4B"/>
    <w:rsid w:val="00AE2D4E"/>
    <w:rsid w:val="00AE7E4D"/>
    <w:rsid w:val="00B10A9A"/>
    <w:rsid w:val="00B15ED6"/>
    <w:rsid w:val="00B47F15"/>
    <w:rsid w:val="00B866FE"/>
    <w:rsid w:val="00BB3D9C"/>
    <w:rsid w:val="00BF2C7E"/>
    <w:rsid w:val="00BF736A"/>
    <w:rsid w:val="00C010FB"/>
    <w:rsid w:val="00C257A5"/>
    <w:rsid w:val="00C308A3"/>
    <w:rsid w:val="00C35FE1"/>
    <w:rsid w:val="00C84965"/>
    <w:rsid w:val="00C90EC5"/>
    <w:rsid w:val="00CB3A76"/>
    <w:rsid w:val="00CF2F0B"/>
    <w:rsid w:val="00D07724"/>
    <w:rsid w:val="00D800B9"/>
    <w:rsid w:val="00D93998"/>
    <w:rsid w:val="00D965BA"/>
    <w:rsid w:val="00E11902"/>
    <w:rsid w:val="00E12899"/>
    <w:rsid w:val="00E76B4D"/>
    <w:rsid w:val="00EB1A23"/>
    <w:rsid w:val="00EC0F12"/>
    <w:rsid w:val="00ED0578"/>
    <w:rsid w:val="00EF3A32"/>
    <w:rsid w:val="00F21BE5"/>
    <w:rsid w:val="00F364FD"/>
    <w:rsid w:val="00FC533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194607"/>
  <w15:docId w15:val="{0E054DF3-6C5F-4C5E-B353-DDB7E01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A21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A21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to.org.br/abtov03/default.aspx?mn=457&amp;c=900&amp;s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Fabulo</cp:lastModifiedBy>
  <cp:revision>2</cp:revision>
  <cp:lastPrinted>2014-07-01T19:30:00Z</cp:lastPrinted>
  <dcterms:created xsi:type="dcterms:W3CDTF">2019-10-11T00:31:00Z</dcterms:created>
  <dcterms:modified xsi:type="dcterms:W3CDTF">2019-10-11T00:31:00Z</dcterms:modified>
</cp:coreProperties>
</file>