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2B7B4" w14:textId="77777777" w:rsidR="009E3693" w:rsidRDefault="0065728B" w:rsidP="00854AC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5728B">
        <w:rPr>
          <w:rFonts w:ascii="Times New Roman" w:hAnsi="Times New Roman"/>
          <w:b/>
          <w:sz w:val="28"/>
          <w:szCs w:val="28"/>
        </w:rPr>
        <w:t xml:space="preserve">Alinhamento comparativo da proteína inositol-3-fosfato sintase de </w:t>
      </w:r>
      <w:r w:rsidRPr="00D17729">
        <w:rPr>
          <w:rFonts w:ascii="Times New Roman" w:hAnsi="Times New Roman"/>
          <w:b/>
          <w:i/>
          <w:iCs/>
          <w:sz w:val="28"/>
          <w:szCs w:val="28"/>
        </w:rPr>
        <w:t>Solanum lycopersicum</w:t>
      </w:r>
      <w:r w:rsidRPr="0065728B">
        <w:rPr>
          <w:rFonts w:ascii="Times New Roman" w:hAnsi="Times New Roman"/>
          <w:b/>
          <w:sz w:val="28"/>
          <w:szCs w:val="28"/>
        </w:rPr>
        <w:t xml:space="preserve"> entre diferentes espécies de Solanaceae</w:t>
      </w:r>
    </w:p>
    <w:p w14:paraId="028E3356" w14:textId="77777777" w:rsidR="0065728B" w:rsidRDefault="0065728B" w:rsidP="00854AC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540D89" w14:textId="2ADBEB9B" w:rsidR="00B6666A" w:rsidRDefault="0065728B" w:rsidP="00CF7C8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5728B">
        <w:rPr>
          <w:rFonts w:ascii="Times New Roman" w:hAnsi="Times New Roman"/>
          <w:b/>
          <w:sz w:val="24"/>
          <w:szCs w:val="24"/>
        </w:rPr>
        <w:t xml:space="preserve">Leandro Ribeiro Silveira¹ (leandro.silveira@ufu.br), </w:t>
      </w:r>
      <w:r w:rsidR="00ED2B48" w:rsidRPr="00ED2B48">
        <w:rPr>
          <w:rFonts w:ascii="Times New Roman" w:hAnsi="Times New Roman"/>
          <w:b/>
          <w:sz w:val="24"/>
          <w:szCs w:val="24"/>
        </w:rPr>
        <w:t>Ana Carolina Silva Siquieroli²</w:t>
      </w:r>
      <w:r w:rsidR="00ED2B48">
        <w:rPr>
          <w:rFonts w:ascii="Times New Roman" w:hAnsi="Times New Roman"/>
          <w:b/>
          <w:sz w:val="24"/>
          <w:szCs w:val="24"/>
        </w:rPr>
        <w:t xml:space="preserve">, </w:t>
      </w:r>
      <w:r w:rsidR="00095C9F" w:rsidRPr="00095C9F">
        <w:rPr>
          <w:rFonts w:ascii="Times New Roman" w:hAnsi="Times New Roman"/>
          <w:b/>
          <w:bCs/>
          <w:sz w:val="24"/>
          <w:szCs w:val="24"/>
        </w:rPr>
        <w:t>Gabriel Mascarenhas Maciel</w:t>
      </w:r>
      <w:r w:rsidR="00095C9F" w:rsidRPr="00095C9F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095C9F">
        <w:rPr>
          <w:rFonts w:ascii="Times New Roman" w:hAnsi="Times New Roman"/>
          <w:b/>
          <w:sz w:val="24"/>
          <w:szCs w:val="24"/>
        </w:rPr>
        <w:t>,</w:t>
      </w:r>
      <w:r w:rsidR="00CF7C8D">
        <w:rPr>
          <w:rFonts w:ascii="Times New Roman" w:hAnsi="Times New Roman"/>
          <w:b/>
          <w:sz w:val="24"/>
          <w:szCs w:val="24"/>
        </w:rPr>
        <w:t xml:space="preserve"> </w:t>
      </w:r>
      <w:r w:rsidR="00CF7C8D" w:rsidRPr="00CF7C8D">
        <w:rPr>
          <w:rFonts w:ascii="Times New Roman" w:hAnsi="Times New Roman"/>
          <w:b/>
          <w:sz w:val="24"/>
          <w:szCs w:val="24"/>
        </w:rPr>
        <w:t>Vanessa Terra dos Santos</w:t>
      </w:r>
      <w:r w:rsidR="00CF7C8D" w:rsidRPr="00095C9F">
        <w:rPr>
          <w:rFonts w:ascii="Times New Roman" w:hAnsi="Times New Roman"/>
          <w:b/>
          <w:sz w:val="24"/>
          <w:szCs w:val="24"/>
          <w:vertAlign w:val="superscript"/>
        </w:rPr>
        <w:t>1</w:t>
      </w:r>
    </w:p>
    <w:p w14:paraId="47980974" w14:textId="77777777" w:rsidR="0065728B" w:rsidRDefault="0065728B" w:rsidP="00854AC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C05CB2" w14:textId="1718E194" w:rsidR="0061543B" w:rsidRDefault="0065728B" w:rsidP="00CA63A2">
      <w:pPr>
        <w:spacing w:after="0" w:line="276" w:lineRule="auto"/>
        <w:jc w:val="center"/>
        <w:rPr>
          <w:rFonts w:ascii="Times New Roman" w:hAnsi="Times New Roman"/>
        </w:rPr>
      </w:pPr>
      <w:r w:rsidRPr="0065728B">
        <w:rPr>
          <w:rFonts w:ascii="Times New Roman" w:hAnsi="Times New Roman"/>
        </w:rPr>
        <w:t>¹ Instituto de Ciências Agrárias</w:t>
      </w:r>
      <w:r w:rsidR="00095C9F">
        <w:rPr>
          <w:rFonts w:ascii="Times New Roman" w:hAnsi="Times New Roman"/>
        </w:rPr>
        <w:t>,</w:t>
      </w:r>
      <w:r w:rsidRPr="0065728B">
        <w:rPr>
          <w:rFonts w:ascii="Times New Roman" w:hAnsi="Times New Roman"/>
        </w:rPr>
        <w:t xml:space="preserve"> Universidade Federal de Uberlândia</w:t>
      </w:r>
      <w:r w:rsidR="00095C9F">
        <w:rPr>
          <w:rFonts w:ascii="Times New Roman" w:hAnsi="Times New Roman"/>
        </w:rPr>
        <w:t xml:space="preserve">, </w:t>
      </w:r>
      <w:r w:rsidRPr="0065728B">
        <w:rPr>
          <w:rFonts w:ascii="Times New Roman" w:hAnsi="Times New Roman"/>
        </w:rPr>
        <w:t>Monte Carmelo, Minas Gerais;</w:t>
      </w:r>
      <w:r w:rsidR="007E6945">
        <w:rPr>
          <w:rFonts w:ascii="Times New Roman" w:hAnsi="Times New Roman"/>
        </w:rPr>
        <w:t xml:space="preserve"> </w:t>
      </w:r>
      <w:r w:rsidRPr="0065728B">
        <w:rPr>
          <w:rFonts w:ascii="Times New Roman" w:hAnsi="Times New Roman"/>
        </w:rPr>
        <w:t xml:space="preserve">²Instituto de </w:t>
      </w:r>
      <w:r w:rsidR="00095C9F">
        <w:rPr>
          <w:rFonts w:ascii="Times New Roman" w:hAnsi="Times New Roman"/>
        </w:rPr>
        <w:t>Biotecnologia</w:t>
      </w:r>
      <w:r w:rsidRPr="0065728B">
        <w:rPr>
          <w:rFonts w:ascii="Times New Roman" w:hAnsi="Times New Roman"/>
        </w:rPr>
        <w:t>, UFU, Monte Carmelo, Minas Gerais.</w:t>
      </w:r>
    </w:p>
    <w:p w14:paraId="1AB0DEA6" w14:textId="77777777" w:rsidR="0065728B" w:rsidRPr="0065728B" w:rsidRDefault="0065728B" w:rsidP="00854AC1">
      <w:pPr>
        <w:spacing w:after="0" w:line="276" w:lineRule="auto"/>
        <w:jc w:val="center"/>
        <w:rPr>
          <w:rFonts w:ascii="Times New Roman" w:hAnsi="Times New Roman"/>
          <w:b/>
        </w:rPr>
      </w:pPr>
    </w:p>
    <w:p w14:paraId="1CE5C6F6" w14:textId="05A105F9" w:rsidR="00317CB5" w:rsidRDefault="0061543B" w:rsidP="006727D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RESUMO: </w:t>
      </w:r>
      <w:r w:rsidR="006F32CE">
        <w:rPr>
          <w:rFonts w:ascii="Times New Roman" w:hAnsi="Times New Roman"/>
          <w:bCs/>
          <w:sz w:val="24"/>
          <w:szCs w:val="24"/>
        </w:rPr>
        <w:t xml:space="preserve">Com grande valor comercial e expressividade no mercado brasileiro, o tomate se tornou alvo de pesquisas que objetivam melhorar diversas </w:t>
      </w:r>
      <w:r w:rsidR="00095C9F">
        <w:rPr>
          <w:rFonts w:ascii="Times New Roman" w:hAnsi="Times New Roman"/>
          <w:bCs/>
          <w:sz w:val="24"/>
          <w:szCs w:val="24"/>
        </w:rPr>
        <w:t>características</w:t>
      </w:r>
      <w:r w:rsidR="006F32CE">
        <w:rPr>
          <w:rFonts w:ascii="Times New Roman" w:hAnsi="Times New Roman"/>
          <w:bCs/>
          <w:sz w:val="24"/>
          <w:szCs w:val="24"/>
        </w:rPr>
        <w:t xml:space="preserve">, dentre elas, </w:t>
      </w:r>
      <w:r w:rsidR="00317CB5">
        <w:rPr>
          <w:rFonts w:ascii="Times New Roman" w:hAnsi="Times New Roman"/>
          <w:bCs/>
          <w:sz w:val="24"/>
          <w:szCs w:val="24"/>
        </w:rPr>
        <w:t>resistência ao</w:t>
      </w:r>
      <w:r w:rsidR="006F32CE">
        <w:rPr>
          <w:rFonts w:ascii="Times New Roman" w:hAnsi="Times New Roman"/>
          <w:bCs/>
          <w:sz w:val="24"/>
          <w:szCs w:val="24"/>
        </w:rPr>
        <w:t xml:space="preserve"> estresse salino</w:t>
      </w:r>
      <w:r w:rsidR="00317CB5">
        <w:rPr>
          <w:rFonts w:ascii="Times New Roman" w:hAnsi="Times New Roman"/>
          <w:bCs/>
          <w:sz w:val="24"/>
          <w:szCs w:val="24"/>
        </w:rPr>
        <w:t>.</w:t>
      </w:r>
      <w:r w:rsidR="006F32CE">
        <w:rPr>
          <w:rFonts w:ascii="Times New Roman" w:hAnsi="Times New Roman"/>
          <w:bCs/>
          <w:sz w:val="24"/>
          <w:szCs w:val="24"/>
        </w:rPr>
        <w:t xml:space="preserve"> </w:t>
      </w:r>
      <w:r w:rsidR="00317CB5">
        <w:rPr>
          <w:rFonts w:ascii="Times New Roman" w:hAnsi="Times New Roman"/>
          <w:bCs/>
          <w:sz w:val="24"/>
          <w:szCs w:val="24"/>
        </w:rPr>
        <w:t>O</w:t>
      </w:r>
      <w:r w:rsidR="0065728B" w:rsidRPr="0065728B">
        <w:rPr>
          <w:rFonts w:ascii="Times New Roman" w:hAnsi="Times New Roman"/>
          <w:sz w:val="24"/>
          <w:szCs w:val="24"/>
        </w:rPr>
        <w:t xml:space="preserve"> excesso de sais no substrato pode acarretar reduções consideráveis na produtividade, germinação e desenvolvimento do tomateiro. A proteína inositol-3-fosfato</w:t>
      </w:r>
      <w:r w:rsidR="006727DD">
        <w:rPr>
          <w:rFonts w:ascii="Times New Roman" w:hAnsi="Times New Roman"/>
          <w:sz w:val="24"/>
          <w:szCs w:val="24"/>
        </w:rPr>
        <w:t xml:space="preserve"> </w:t>
      </w:r>
      <w:r w:rsidR="007E6945" w:rsidRPr="0065728B">
        <w:rPr>
          <w:rFonts w:ascii="Times New Roman" w:hAnsi="Times New Roman"/>
          <w:sz w:val="24"/>
          <w:szCs w:val="24"/>
        </w:rPr>
        <w:t xml:space="preserve">sintase </w:t>
      </w:r>
      <w:r w:rsidR="006727DD" w:rsidRPr="0065728B">
        <w:rPr>
          <w:rFonts w:ascii="Times New Roman" w:hAnsi="Times New Roman"/>
          <w:sz w:val="24"/>
          <w:szCs w:val="24"/>
        </w:rPr>
        <w:t xml:space="preserve">(I3PS) </w:t>
      </w:r>
      <w:r w:rsidR="0065728B" w:rsidRPr="0065728B">
        <w:rPr>
          <w:rFonts w:ascii="Times New Roman" w:hAnsi="Times New Roman"/>
          <w:sz w:val="24"/>
          <w:szCs w:val="24"/>
        </w:rPr>
        <w:t xml:space="preserve">tem se mostrado contribuinte em vias metabólicas para maior tolerância da planta em condições de alta salinidade, onde </w:t>
      </w:r>
      <w:r w:rsidR="00317CB5">
        <w:rPr>
          <w:rFonts w:ascii="Times New Roman" w:hAnsi="Times New Roman"/>
          <w:sz w:val="24"/>
          <w:szCs w:val="24"/>
        </w:rPr>
        <w:t>genótipos</w:t>
      </w:r>
      <w:r w:rsidR="00317CB5" w:rsidRPr="0065728B">
        <w:rPr>
          <w:rFonts w:ascii="Times New Roman" w:hAnsi="Times New Roman"/>
          <w:sz w:val="24"/>
          <w:szCs w:val="24"/>
        </w:rPr>
        <w:t xml:space="preserve"> </w:t>
      </w:r>
      <w:r w:rsidR="0065728B" w:rsidRPr="0065728B">
        <w:rPr>
          <w:rFonts w:ascii="Times New Roman" w:hAnsi="Times New Roman"/>
          <w:sz w:val="24"/>
          <w:szCs w:val="24"/>
        </w:rPr>
        <w:t>com maior expressão ou número de cópias do gene conseguem tolerar melhor o estresse. O uso de ferramentas de bioinformática tem se mostrado muito út</w:t>
      </w:r>
      <w:r w:rsidR="00D17729">
        <w:rPr>
          <w:rFonts w:ascii="Times New Roman" w:hAnsi="Times New Roman"/>
          <w:sz w:val="24"/>
          <w:szCs w:val="24"/>
        </w:rPr>
        <w:t xml:space="preserve">il </w:t>
      </w:r>
      <w:r w:rsidR="0065728B" w:rsidRPr="0065728B">
        <w:rPr>
          <w:rFonts w:ascii="Times New Roman" w:hAnsi="Times New Roman"/>
          <w:sz w:val="24"/>
          <w:szCs w:val="24"/>
        </w:rPr>
        <w:t>para assimilação de dados e geração de informações.</w:t>
      </w:r>
      <w:r w:rsidR="00317CB5">
        <w:rPr>
          <w:rFonts w:ascii="Times New Roman" w:hAnsi="Times New Roman"/>
          <w:sz w:val="24"/>
          <w:szCs w:val="24"/>
        </w:rPr>
        <w:t xml:space="preserve"> Este </w:t>
      </w:r>
      <w:r w:rsidR="0065728B" w:rsidRPr="0065728B">
        <w:rPr>
          <w:rFonts w:ascii="Times New Roman" w:hAnsi="Times New Roman"/>
          <w:sz w:val="24"/>
          <w:szCs w:val="24"/>
        </w:rPr>
        <w:t>trabalho</w:t>
      </w:r>
      <w:r w:rsidR="00317CB5">
        <w:rPr>
          <w:rFonts w:ascii="Times New Roman" w:hAnsi="Times New Roman"/>
          <w:sz w:val="24"/>
          <w:szCs w:val="24"/>
        </w:rPr>
        <w:t xml:space="preserve"> objetivou</w:t>
      </w:r>
      <w:r w:rsidR="0065728B" w:rsidRPr="0065728B">
        <w:rPr>
          <w:rFonts w:ascii="Times New Roman" w:hAnsi="Times New Roman"/>
          <w:sz w:val="24"/>
          <w:szCs w:val="24"/>
        </w:rPr>
        <w:t xml:space="preserve"> </w:t>
      </w:r>
      <w:r w:rsidR="00473A38">
        <w:rPr>
          <w:rFonts w:ascii="Times New Roman" w:hAnsi="Times New Roman"/>
          <w:sz w:val="24"/>
          <w:szCs w:val="24"/>
        </w:rPr>
        <w:t xml:space="preserve">realizar o alinhamento comparativo </w:t>
      </w:r>
      <w:r w:rsidR="006727DD">
        <w:rPr>
          <w:rFonts w:ascii="Times New Roman" w:hAnsi="Times New Roman"/>
          <w:sz w:val="24"/>
          <w:szCs w:val="24"/>
        </w:rPr>
        <w:t>da proteína</w:t>
      </w:r>
      <w:r w:rsidR="00317CB5">
        <w:rPr>
          <w:rFonts w:ascii="Times New Roman" w:hAnsi="Times New Roman"/>
          <w:sz w:val="24"/>
          <w:szCs w:val="24"/>
        </w:rPr>
        <w:t xml:space="preserve"> </w:t>
      </w:r>
      <w:r w:rsidR="006727DD">
        <w:rPr>
          <w:rFonts w:ascii="Times New Roman" w:hAnsi="Times New Roman"/>
          <w:sz w:val="24"/>
          <w:szCs w:val="24"/>
        </w:rPr>
        <w:t>I3P</w:t>
      </w:r>
      <w:r w:rsidR="004476B6">
        <w:rPr>
          <w:rFonts w:ascii="Times New Roman" w:hAnsi="Times New Roman"/>
          <w:sz w:val="24"/>
          <w:szCs w:val="24"/>
        </w:rPr>
        <w:t>S</w:t>
      </w:r>
      <w:r w:rsidR="006727DD">
        <w:rPr>
          <w:rFonts w:ascii="Times New Roman" w:hAnsi="Times New Roman"/>
          <w:sz w:val="24"/>
          <w:szCs w:val="24"/>
        </w:rPr>
        <w:t xml:space="preserve"> </w:t>
      </w:r>
      <w:r w:rsidR="0065728B" w:rsidRPr="0065728B">
        <w:rPr>
          <w:rFonts w:ascii="Times New Roman" w:hAnsi="Times New Roman"/>
          <w:sz w:val="24"/>
          <w:szCs w:val="24"/>
        </w:rPr>
        <w:t>em diversas espécies de Solanaceae</w:t>
      </w:r>
      <w:r w:rsidR="00317CB5">
        <w:rPr>
          <w:rFonts w:ascii="Times New Roman" w:hAnsi="Times New Roman"/>
          <w:sz w:val="24"/>
          <w:szCs w:val="24"/>
        </w:rPr>
        <w:t xml:space="preserve">. </w:t>
      </w:r>
      <w:r w:rsidR="00B96BF6">
        <w:rPr>
          <w:rFonts w:ascii="Times New Roman" w:hAnsi="Times New Roman"/>
          <w:sz w:val="24"/>
          <w:szCs w:val="24"/>
        </w:rPr>
        <w:t xml:space="preserve">A sequência </w:t>
      </w:r>
      <w:r w:rsidR="006727DD">
        <w:rPr>
          <w:rFonts w:ascii="Times New Roman" w:hAnsi="Times New Roman"/>
          <w:sz w:val="24"/>
          <w:szCs w:val="24"/>
        </w:rPr>
        <w:t xml:space="preserve">proteica de </w:t>
      </w:r>
      <w:r w:rsidR="00B96BF6" w:rsidRPr="0065728B">
        <w:rPr>
          <w:rFonts w:ascii="Times New Roman" w:hAnsi="Times New Roman"/>
          <w:sz w:val="24"/>
          <w:szCs w:val="24"/>
        </w:rPr>
        <w:t xml:space="preserve">I3PS </w:t>
      </w:r>
      <w:r w:rsidR="00B96BF6">
        <w:rPr>
          <w:rFonts w:ascii="Times New Roman" w:hAnsi="Times New Roman"/>
          <w:sz w:val="24"/>
          <w:szCs w:val="24"/>
        </w:rPr>
        <w:t xml:space="preserve">foi obtida </w:t>
      </w:r>
      <w:r w:rsidR="00B96BF6" w:rsidRPr="00CA63A2">
        <w:rPr>
          <w:rFonts w:ascii="Times New Roman" w:hAnsi="Times New Roman"/>
          <w:sz w:val="24"/>
          <w:szCs w:val="24"/>
        </w:rPr>
        <w:t xml:space="preserve">no banco </w:t>
      </w:r>
      <w:r w:rsidR="00B96BF6" w:rsidRPr="00CA63A2">
        <w:rPr>
          <w:rFonts w:ascii="Times New Roman" w:hAnsi="Times New Roman"/>
          <w:i/>
          <w:sz w:val="24"/>
          <w:szCs w:val="24"/>
        </w:rPr>
        <w:t xml:space="preserve">National Center </w:t>
      </w:r>
      <w:r w:rsidR="007E6945">
        <w:rPr>
          <w:rFonts w:ascii="Times New Roman" w:hAnsi="Times New Roman"/>
          <w:i/>
          <w:sz w:val="24"/>
          <w:szCs w:val="24"/>
        </w:rPr>
        <w:t>for Biotechnology Information (</w:t>
      </w:r>
      <w:r w:rsidR="00B96BF6" w:rsidRPr="00CA63A2">
        <w:rPr>
          <w:rFonts w:ascii="Times New Roman" w:hAnsi="Times New Roman"/>
          <w:i/>
          <w:sz w:val="24"/>
          <w:szCs w:val="24"/>
        </w:rPr>
        <w:t>NCBI</w:t>
      </w:r>
      <w:r w:rsidR="007E6945">
        <w:rPr>
          <w:rFonts w:ascii="Times New Roman" w:hAnsi="Times New Roman"/>
          <w:i/>
          <w:sz w:val="24"/>
          <w:szCs w:val="24"/>
        </w:rPr>
        <w:t>)</w:t>
      </w:r>
      <w:r w:rsidR="00B96BF6" w:rsidRPr="00CA63A2">
        <w:rPr>
          <w:rFonts w:ascii="Times New Roman" w:hAnsi="Times New Roman"/>
          <w:i/>
          <w:sz w:val="24"/>
          <w:szCs w:val="24"/>
        </w:rPr>
        <w:t xml:space="preserve"> </w:t>
      </w:r>
      <w:r w:rsidR="00B96BF6">
        <w:rPr>
          <w:rFonts w:ascii="Times New Roman" w:hAnsi="Times New Roman"/>
          <w:sz w:val="24"/>
          <w:szCs w:val="24"/>
        </w:rPr>
        <w:t>sendo</w:t>
      </w:r>
      <w:r w:rsidR="00B96BF6" w:rsidRPr="0065728B">
        <w:rPr>
          <w:rFonts w:ascii="Times New Roman" w:hAnsi="Times New Roman"/>
          <w:sz w:val="24"/>
          <w:szCs w:val="24"/>
        </w:rPr>
        <w:t xml:space="preserve"> escolhidas, para comparação, as espécies </w:t>
      </w:r>
      <w:r w:rsidR="00B96BF6" w:rsidRPr="0048299B">
        <w:rPr>
          <w:rFonts w:ascii="Times New Roman" w:hAnsi="Times New Roman"/>
          <w:i/>
          <w:iCs/>
          <w:sz w:val="24"/>
          <w:szCs w:val="24"/>
        </w:rPr>
        <w:t>Solanum pimpinellifolium, S</w:t>
      </w:r>
      <w:r w:rsidR="00B96BF6">
        <w:rPr>
          <w:rFonts w:ascii="Times New Roman" w:hAnsi="Times New Roman"/>
          <w:i/>
          <w:iCs/>
          <w:sz w:val="24"/>
          <w:szCs w:val="24"/>
        </w:rPr>
        <w:t>.</w:t>
      </w:r>
      <w:r w:rsidR="00B96BF6" w:rsidRPr="0048299B">
        <w:rPr>
          <w:rFonts w:ascii="Times New Roman" w:hAnsi="Times New Roman"/>
          <w:i/>
          <w:iCs/>
          <w:sz w:val="24"/>
          <w:szCs w:val="24"/>
        </w:rPr>
        <w:t xml:space="preserve"> pennellii, S</w:t>
      </w:r>
      <w:r w:rsidR="00B96BF6">
        <w:rPr>
          <w:rFonts w:ascii="Times New Roman" w:hAnsi="Times New Roman"/>
          <w:i/>
          <w:iCs/>
          <w:sz w:val="24"/>
          <w:szCs w:val="24"/>
        </w:rPr>
        <w:t>.</w:t>
      </w:r>
      <w:r w:rsidR="00B96BF6" w:rsidRPr="0048299B">
        <w:rPr>
          <w:rFonts w:ascii="Times New Roman" w:hAnsi="Times New Roman"/>
          <w:i/>
          <w:iCs/>
          <w:sz w:val="24"/>
          <w:szCs w:val="24"/>
        </w:rPr>
        <w:t xml:space="preserve"> chilense, S</w:t>
      </w:r>
      <w:r w:rsidR="00B96BF6">
        <w:rPr>
          <w:rFonts w:ascii="Times New Roman" w:hAnsi="Times New Roman"/>
          <w:i/>
          <w:iCs/>
          <w:sz w:val="24"/>
          <w:szCs w:val="24"/>
        </w:rPr>
        <w:t>.</w:t>
      </w:r>
      <w:r w:rsidR="00B96BF6" w:rsidRPr="0048299B">
        <w:rPr>
          <w:rFonts w:ascii="Times New Roman" w:hAnsi="Times New Roman"/>
          <w:i/>
          <w:iCs/>
          <w:sz w:val="24"/>
          <w:szCs w:val="24"/>
        </w:rPr>
        <w:t xml:space="preserve"> tuberosum, Capsicum annuum, C</w:t>
      </w:r>
      <w:r w:rsidR="00B96BF6">
        <w:rPr>
          <w:rFonts w:ascii="Times New Roman" w:hAnsi="Times New Roman"/>
          <w:i/>
          <w:iCs/>
          <w:sz w:val="24"/>
          <w:szCs w:val="24"/>
        </w:rPr>
        <w:t>.</w:t>
      </w:r>
      <w:r w:rsidR="00B96BF6" w:rsidRPr="0048299B">
        <w:rPr>
          <w:rFonts w:ascii="Times New Roman" w:hAnsi="Times New Roman"/>
          <w:i/>
          <w:iCs/>
          <w:sz w:val="24"/>
          <w:szCs w:val="24"/>
        </w:rPr>
        <w:t xml:space="preserve"> baccatum</w:t>
      </w:r>
      <w:r w:rsidR="00B96BF6">
        <w:rPr>
          <w:rFonts w:ascii="Times New Roman" w:hAnsi="Times New Roman"/>
          <w:sz w:val="24"/>
          <w:szCs w:val="24"/>
        </w:rPr>
        <w:t>,</w:t>
      </w:r>
      <w:r w:rsidR="00B96BF6" w:rsidRPr="0048299B">
        <w:rPr>
          <w:rFonts w:ascii="Times New Roman" w:hAnsi="Times New Roman"/>
          <w:i/>
          <w:iCs/>
          <w:sz w:val="24"/>
          <w:szCs w:val="24"/>
        </w:rPr>
        <w:t xml:space="preserve"> Nicotiana tabacum </w:t>
      </w:r>
      <w:r w:rsidR="00B96BF6" w:rsidRPr="0048299B">
        <w:rPr>
          <w:rFonts w:ascii="Times New Roman" w:hAnsi="Times New Roman"/>
          <w:sz w:val="24"/>
          <w:szCs w:val="24"/>
        </w:rPr>
        <w:t>e</w:t>
      </w:r>
      <w:r w:rsidR="00B96BF6" w:rsidRPr="0048299B">
        <w:rPr>
          <w:rFonts w:ascii="Times New Roman" w:hAnsi="Times New Roman"/>
          <w:i/>
          <w:iCs/>
          <w:sz w:val="24"/>
          <w:szCs w:val="24"/>
        </w:rPr>
        <w:t xml:space="preserve"> Arabidopsis thaliana</w:t>
      </w:r>
      <w:r w:rsidR="00B96BF6">
        <w:rPr>
          <w:rFonts w:ascii="Times New Roman" w:hAnsi="Times New Roman"/>
          <w:sz w:val="24"/>
          <w:szCs w:val="24"/>
        </w:rPr>
        <w:t xml:space="preserve"> </w:t>
      </w:r>
      <w:r w:rsidR="00B96BF6" w:rsidRPr="0065728B">
        <w:rPr>
          <w:rFonts w:ascii="Times New Roman" w:hAnsi="Times New Roman"/>
          <w:sz w:val="24"/>
          <w:szCs w:val="24"/>
        </w:rPr>
        <w:t xml:space="preserve">para servir como </w:t>
      </w:r>
      <w:r w:rsidR="00B96BF6">
        <w:rPr>
          <w:rFonts w:ascii="Times New Roman" w:hAnsi="Times New Roman"/>
          <w:sz w:val="24"/>
          <w:szCs w:val="24"/>
        </w:rPr>
        <w:t>“</w:t>
      </w:r>
      <w:r w:rsidR="00B96BF6" w:rsidRPr="00095C9F">
        <w:rPr>
          <w:rFonts w:ascii="Times New Roman" w:hAnsi="Times New Roman"/>
          <w:sz w:val="24"/>
          <w:szCs w:val="24"/>
        </w:rPr>
        <w:t>outgroup</w:t>
      </w:r>
      <w:r w:rsidR="00B96BF6">
        <w:rPr>
          <w:rFonts w:ascii="Times New Roman" w:hAnsi="Times New Roman"/>
          <w:sz w:val="24"/>
          <w:szCs w:val="24"/>
        </w:rPr>
        <w:t xml:space="preserve">”. </w:t>
      </w:r>
      <w:r w:rsidR="00B96BF6" w:rsidRPr="0065728B">
        <w:rPr>
          <w:rFonts w:ascii="Times New Roman" w:hAnsi="Times New Roman"/>
          <w:sz w:val="24"/>
          <w:szCs w:val="24"/>
        </w:rPr>
        <w:t xml:space="preserve">O alinhamento local básico foi </w:t>
      </w:r>
      <w:r w:rsidR="00B96BF6">
        <w:rPr>
          <w:rFonts w:ascii="Times New Roman" w:hAnsi="Times New Roman"/>
          <w:sz w:val="24"/>
          <w:szCs w:val="24"/>
        </w:rPr>
        <w:t>realizado</w:t>
      </w:r>
      <w:r w:rsidR="00B96BF6" w:rsidRPr="0065728B">
        <w:rPr>
          <w:rFonts w:ascii="Times New Roman" w:hAnsi="Times New Roman"/>
          <w:sz w:val="24"/>
          <w:szCs w:val="24"/>
        </w:rPr>
        <w:t xml:space="preserve"> </w:t>
      </w:r>
      <w:r w:rsidR="00B96BF6">
        <w:rPr>
          <w:rFonts w:ascii="Times New Roman" w:hAnsi="Times New Roman"/>
          <w:sz w:val="24"/>
          <w:szCs w:val="24"/>
        </w:rPr>
        <w:t xml:space="preserve">utilizando </w:t>
      </w:r>
      <w:r w:rsidR="00B96BF6" w:rsidRPr="0065728B">
        <w:rPr>
          <w:rFonts w:ascii="Times New Roman" w:hAnsi="Times New Roman"/>
          <w:sz w:val="24"/>
          <w:szCs w:val="24"/>
        </w:rPr>
        <w:t>a ferramenta BLAST</w:t>
      </w:r>
      <w:r w:rsidR="00B96BF6">
        <w:rPr>
          <w:rFonts w:ascii="Times New Roman" w:hAnsi="Times New Roman"/>
          <w:sz w:val="24"/>
          <w:szCs w:val="24"/>
        </w:rPr>
        <w:t>.</w:t>
      </w:r>
      <w:r w:rsidR="00B96BF6" w:rsidRPr="0065728B">
        <w:rPr>
          <w:rFonts w:ascii="Times New Roman" w:hAnsi="Times New Roman"/>
          <w:sz w:val="24"/>
          <w:szCs w:val="24"/>
        </w:rPr>
        <w:t xml:space="preserve"> </w:t>
      </w:r>
      <w:r w:rsidR="006727DD">
        <w:rPr>
          <w:rFonts w:ascii="Times New Roman" w:hAnsi="Times New Roman"/>
          <w:sz w:val="24"/>
          <w:szCs w:val="24"/>
        </w:rPr>
        <w:t>Para a</w:t>
      </w:r>
      <w:r w:rsidR="00B96BF6" w:rsidRPr="0065728B">
        <w:rPr>
          <w:rFonts w:ascii="Times New Roman" w:hAnsi="Times New Roman"/>
          <w:sz w:val="24"/>
          <w:szCs w:val="24"/>
        </w:rPr>
        <w:t xml:space="preserve"> confirmação da identidade das proteínas </w:t>
      </w:r>
      <w:r w:rsidR="006727DD">
        <w:rPr>
          <w:rFonts w:ascii="Times New Roman" w:hAnsi="Times New Roman"/>
          <w:sz w:val="24"/>
          <w:szCs w:val="24"/>
        </w:rPr>
        <w:t>utilizou-se</w:t>
      </w:r>
      <w:r w:rsidR="00B96BF6">
        <w:rPr>
          <w:rFonts w:ascii="Times New Roman" w:hAnsi="Times New Roman"/>
          <w:sz w:val="24"/>
          <w:szCs w:val="24"/>
        </w:rPr>
        <w:t xml:space="preserve"> a ferramenta CDD-</w:t>
      </w:r>
      <w:r w:rsidR="00B96BF6" w:rsidRPr="00CF7C8D">
        <w:rPr>
          <w:rFonts w:ascii="Times New Roman" w:hAnsi="Times New Roman"/>
          <w:i/>
          <w:sz w:val="24"/>
          <w:szCs w:val="24"/>
        </w:rPr>
        <w:t>Search</w:t>
      </w:r>
      <w:r w:rsidR="00B96BF6">
        <w:rPr>
          <w:rFonts w:ascii="Times New Roman" w:hAnsi="Times New Roman"/>
          <w:sz w:val="24"/>
          <w:szCs w:val="24"/>
        </w:rPr>
        <w:t xml:space="preserve"> e </w:t>
      </w:r>
      <w:r w:rsidR="006727DD">
        <w:rPr>
          <w:rFonts w:ascii="Times New Roman" w:hAnsi="Times New Roman"/>
          <w:sz w:val="24"/>
          <w:szCs w:val="24"/>
        </w:rPr>
        <w:t>para o</w:t>
      </w:r>
      <w:r w:rsidR="00B96BF6" w:rsidRPr="0065728B">
        <w:rPr>
          <w:rFonts w:ascii="Times New Roman" w:hAnsi="Times New Roman"/>
          <w:sz w:val="24"/>
          <w:szCs w:val="24"/>
        </w:rPr>
        <w:t xml:space="preserve"> alinhamento local múltiplo </w:t>
      </w:r>
      <w:r w:rsidR="00B96BF6">
        <w:rPr>
          <w:rFonts w:ascii="Times New Roman" w:hAnsi="Times New Roman"/>
          <w:sz w:val="24"/>
          <w:szCs w:val="24"/>
        </w:rPr>
        <w:t xml:space="preserve">utilizou-se o software </w:t>
      </w:r>
      <w:r w:rsidR="00B96BF6" w:rsidRPr="0065728B">
        <w:rPr>
          <w:rFonts w:ascii="Times New Roman" w:hAnsi="Times New Roman"/>
          <w:sz w:val="24"/>
          <w:szCs w:val="24"/>
        </w:rPr>
        <w:t>MEGA X</w:t>
      </w:r>
      <w:r w:rsidR="006727DD">
        <w:rPr>
          <w:rFonts w:ascii="Times New Roman" w:hAnsi="Times New Roman"/>
          <w:sz w:val="24"/>
          <w:szCs w:val="24"/>
        </w:rPr>
        <w:t>. O</w:t>
      </w:r>
      <w:r w:rsidR="00B96BF6" w:rsidRPr="0065728B">
        <w:rPr>
          <w:rFonts w:ascii="Times New Roman" w:hAnsi="Times New Roman"/>
          <w:sz w:val="24"/>
          <w:szCs w:val="24"/>
        </w:rPr>
        <w:t xml:space="preserve"> dendrograma </w:t>
      </w:r>
      <w:r w:rsidR="006727DD">
        <w:rPr>
          <w:rFonts w:ascii="Times New Roman" w:hAnsi="Times New Roman"/>
          <w:sz w:val="24"/>
          <w:szCs w:val="24"/>
        </w:rPr>
        <w:t>foi obtido pelo</w:t>
      </w:r>
      <w:r w:rsidR="00B96BF6" w:rsidRPr="0065728B">
        <w:rPr>
          <w:rFonts w:ascii="Times New Roman" w:hAnsi="Times New Roman"/>
          <w:sz w:val="24"/>
          <w:szCs w:val="24"/>
        </w:rPr>
        <w:t xml:space="preserve"> </w:t>
      </w:r>
      <w:r w:rsidR="00B96BF6">
        <w:rPr>
          <w:rFonts w:ascii="Times New Roman" w:hAnsi="Times New Roman"/>
          <w:sz w:val="24"/>
          <w:szCs w:val="24"/>
        </w:rPr>
        <w:t>programa</w:t>
      </w:r>
      <w:r w:rsidR="006727DD">
        <w:rPr>
          <w:rFonts w:ascii="Times New Roman" w:hAnsi="Times New Roman"/>
          <w:sz w:val="24"/>
          <w:szCs w:val="24"/>
        </w:rPr>
        <w:t xml:space="preserve"> MrBayes. </w:t>
      </w:r>
      <w:r w:rsidR="007E6945">
        <w:rPr>
          <w:rFonts w:ascii="Times New Roman" w:hAnsi="Times New Roman"/>
          <w:sz w:val="24"/>
          <w:szCs w:val="24"/>
        </w:rPr>
        <w:t>Os resultados demonstraram que a sequência proteica</w:t>
      </w:r>
      <w:r w:rsidR="00317CB5">
        <w:rPr>
          <w:rFonts w:ascii="Times New Roman" w:hAnsi="Times New Roman"/>
          <w:sz w:val="24"/>
          <w:szCs w:val="24"/>
        </w:rPr>
        <w:t xml:space="preserve"> de</w:t>
      </w:r>
      <w:r w:rsidR="00317CB5" w:rsidRPr="0065728B">
        <w:rPr>
          <w:rFonts w:ascii="Times New Roman" w:hAnsi="Times New Roman"/>
          <w:sz w:val="24"/>
          <w:szCs w:val="24"/>
        </w:rPr>
        <w:t xml:space="preserve"> </w:t>
      </w:r>
      <w:r w:rsidR="006727DD" w:rsidRPr="0065728B">
        <w:rPr>
          <w:rFonts w:ascii="Times New Roman" w:hAnsi="Times New Roman"/>
          <w:sz w:val="24"/>
          <w:szCs w:val="24"/>
        </w:rPr>
        <w:t>I3PS</w:t>
      </w:r>
      <w:r w:rsidR="006727DD" w:rsidRPr="0065728B" w:rsidDel="00317CB5">
        <w:rPr>
          <w:rFonts w:ascii="Times New Roman" w:hAnsi="Times New Roman"/>
          <w:sz w:val="24"/>
          <w:szCs w:val="24"/>
        </w:rPr>
        <w:t xml:space="preserve"> </w:t>
      </w:r>
      <w:r w:rsidR="007E6945">
        <w:rPr>
          <w:rFonts w:ascii="Times New Roman" w:hAnsi="Times New Roman"/>
          <w:sz w:val="24"/>
          <w:szCs w:val="24"/>
        </w:rPr>
        <w:t xml:space="preserve">é conservada </w:t>
      </w:r>
      <w:r w:rsidR="00317CB5" w:rsidRPr="0065728B">
        <w:rPr>
          <w:rFonts w:ascii="Times New Roman" w:hAnsi="Times New Roman"/>
          <w:sz w:val="24"/>
          <w:szCs w:val="24"/>
        </w:rPr>
        <w:t xml:space="preserve">em diversas espécies de Solanaceae, abrindo possibilidade para desenvolvimento de marcadores moleculares </w:t>
      </w:r>
      <w:r w:rsidR="006727DD">
        <w:rPr>
          <w:rFonts w:ascii="Times New Roman" w:hAnsi="Times New Roman"/>
          <w:sz w:val="24"/>
          <w:szCs w:val="24"/>
        </w:rPr>
        <w:t xml:space="preserve">como ferramenta para programas de </w:t>
      </w:r>
      <w:r w:rsidR="00317CB5" w:rsidRPr="0065728B">
        <w:rPr>
          <w:rFonts w:ascii="Times New Roman" w:hAnsi="Times New Roman"/>
          <w:sz w:val="24"/>
          <w:szCs w:val="24"/>
        </w:rPr>
        <w:t xml:space="preserve">melhoramento </w:t>
      </w:r>
      <w:r w:rsidR="006727DD">
        <w:rPr>
          <w:rFonts w:ascii="Times New Roman" w:hAnsi="Times New Roman"/>
          <w:sz w:val="24"/>
          <w:szCs w:val="24"/>
        </w:rPr>
        <w:t>genético de hortaliças.</w:t>
      </w:r>
    </w:p>
    <w:p w14:paraId="3A279422" w14:textId="77777777" w:rsidR="00B6666A" w:rsidRPr="009E3693" w:rsidRDefault="00B6666A" w:rsidP="00854AC1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B6ABA64" w14:textId="6DAA59F2" w:rsidR="0061543B" w:rsidRDefault="00CF6FDA" w:rsidP="00854A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61543B">
        <w:rPr>
          <w:rFonts w:ascii="Times New Roman" w:hAnsi="Times New Roman"/>
          <w:b/>
          <w:sz w:val="24"/>
          <w:szCs w:val="24"/>
        </w:rPr>
        <w:t xml:space="preserve">alavras-chave: </w:t>
      </w:r>
      <w:r w:rsidR="0065728B">
        <w:rPr>
          <w:rFonts w:ascii="Times New Roman" w:hAnsi="Times New Roman"/>
          <w:sz w:val="24"/>
          <w:szCs w:val="24"/>
        </w:rPr>
        <w:t>bioinformática, tomate, estresse salino</w:t>
      </w:r>
      <w:r w:rsidR="00143FCB">
        <w:rPr>
          <w:rFonts w:ascii="Times New Roman" w:hAnsi="Times New Roman"/>
          <w:sz w:val="24"/>
          <w:szCs w:val="24"/>
        </w:rPr>
        <w:t>, marcador molecular</w:t>
      </w:r>
      <w:r w:rsidR="007E6945">
        <w:rPr>
          <w:rFonts w:ascii="Times New Roman" w:hAnsi="Times New Roman"/>
          <w:sz w:val="24"/>
          <w:szCs w:val="24"/>
        </w:rPr>
        <w:t>.</w:t>
      </w:r>
    </w:p>
    <w:p w14:paraId="687D403A" w14:textId="77777777" w:rsidR="0061543B" w:rsidRDefault="0061543B" w:rsidP="00854A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815F03A" w14:textId="77777777" w:rsidR="0061543B" w:rsidRDefault="0061543B" w:rsidP="00854AC1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1543B">
        <w:rPr>
          <w:rFonts w:ascii="Times New Roman" w:hAnsi="Times New Roman"/>
          <w:b/>
          <w:sz w:val="24"/>
          <w:szCs w:val="24"/>
        </w:rPr>
        <w:t>INTRODUÇÃO</w:t>
      </w:r>
    </w:p>
    <w:p w14:paraId="6CAD9DE9" w14:textId="77777777" w:rsidR="0061543B" w:rsidRDefault="0061543B" w:rsidP="00854AC1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B8FE05D" w14:textId="174C70E3" w:rsidR="006F32CE" w:rsidRPr="006F32CE" w:rsidRDefault="006F32CE" w:rsidP="00854AC1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6F32CE">
        <w:rPr>
          <w:rFonts w:ascii="Times New Roman" w:hAnsi="Times New Roman"/>
          <w:bCs/>
          <w:sz w:val="24"/>
          <w:szCs w:val="24"/>
        </w:rPr>
        <w:t xml:space="preserve">O tomate é o principal fruto olerícola produzido </w:t>
      </w:r>
      <w:r w:rsidR="003D161E">
        <w:rPr>
          <w:rFonts w:ascii="Times New Roman" w:hAnsi="Times New Roman"/>
          <w:bCs/>
          <w:sz w:val="24"/>
          <w:szCs w:val="24"/>
        </w:rPr>
        <w:t>no</w:t>
      </w:r>
      <w:r w:rsidRPr="006F32CE">
        <w:rPr>
          <w:rFonts w:ascii="Times New Roman" w:hAnsi="Times New Roman"/>
          <w:bCs/>
          <w:sz w:val="24"/>
          <w:szCs w:val="24"/>
        </w:rPr>
        <w:t xml:space="preserve"> Brasil, tendo recebido grande foco das entidades de pesquisas brasileiras, ocasionando grandes aumentos em produtividade (de 80</w:t>
      </w:r>
      <w:r w:rsidR="00143FCB">
        <w:rPr>
          <w:rFonts w:ascii="Times New Roman" w:hAnsi="Times New Roman"/>
          <w:bCs/>
          <w:sz w:val="24"/>
          <w:szCs w:val="24"/>
        </w:rPr>
        <w:t xml:space="preserve"> </w:t>
      </w:r>
      <w:r w:rsidRPr="006F32CE">
        <w:rPr>
          <w:rFonts w:ascii="Times New Roman" w:hAnsi="Times New Roman"/>
          <w:bCs/>
          <w:sz w:val="24"/>
          <w:szCs w:val="24"/>
        </w:rPr>
        <w:t>t ha</w:t>
      </w:r>
      <w:r w:rsidRPr="00143FCB">
        <w:rPr>
          <w:rFonts w:ascii="Times New Roman" w:hAnsi="Times New Roman"/>
          <w:bCs/>
          <w:sz w:val="24"/>
          <w:szCs w:val="24"/>
          <w:vertAlign w:val="superscript"/>
        </w:rPr>
        <w:t>-1</w:t>
      </w:r>
      <w:r w:rsidRPr="006F32CE">
        <w:rPr>
          <w:rFonts w:ascii="Times New Roman" w:hAnsi="Times New Roman"/>
          <w:bCs/>
          <w:sz w:val="24"/>
          <w:szCs w:val="24"/>
        </w:rPr>
        <w:t xml:space="preserve"> até 130</w:t>
      </w:r>
      <w:r w:rsidR="00143FCB">
        <w:rPr>
          <w:rFonts w:ascii="Times New Roman" w:hAnsi="Times New Roman"/>
          <w:bCs/>
          <w:sz w:val="24"/>
          <w:szCs w:val="24"/>
        </w:rPr>
        <w:t xml:space="preserve"> </w:t>
      </w:r>
      <w:r w:rsidRPr="006F32CE">
        <w:rPr>
          <w:rFonts w:ascii="Times New Roman" w:hAnsi="Times New Roman"/>
          <w:bCs/>
          <w:sz w:val="24"/>
          <w:szCs w:val="24"/>
        </w:rPr>
        <w:t>t ha</w:t>
      </w:r>
      <w:r w:rsidRPr="00143FCB">
        <w:rPr>
          <w:rFonts w:ascii="Times New Roman" w:hAnsi="Times New Roman"/>
          <w:bCs/>
          <w:sz w:val="24"/>
          <w:szCs w:val="24"/>
          <w:vertAlign w:val="superscript"/>
        </w:rPr>
        <w:t>-1</w:t>
      </w:r>
      <w:r w:rsidRPr="006F32CE">
        <w:rPr>
          <w:rFonts w:ascii="Times New Roman" w:hAnsi="Times New Roman"/>
          <w:bCs/>
          <w:sz w:val="24"/>
          <w:szCs w:val="24"/>
        </w:rPr>
        <w:t xml:space="preserve">) nos últimos 20 anos, graças ao melhoramento </w:t>
      </w:r>
      <w:r w:rsidRPr="006F32CE">
        <w:rPr>
          <w:rFonts w:ascii="Times New Roman" w:hAnsi="Times New Roman"/>
          <w:bCs/>
          <w:sz w:val="24"/>
          <w:szCs w:val="24"/>
        </w:rPr>
        <w:lastRenderedPageBreak/>
        <w:t>genético</w:t>
      </w:r>
      <w:r>
        <w:rPr>
          <w:rFonts w:ascii="Times New Roman" w:hAnsi="Times New Roman"/>
          <w:bCs/>
          <w:sz w:val="24"/>
          <w:szCs w:val="24"/>
        </w:rPr>
        <w:t>,</w:t>
      </w:r>
      <w:r w:rsidRPr="006F32CE">
        <w:rPr>
          <w:rFonts w:ascii="Times New Roman" w:hAnsi="Times New Roman"/>
          <w:bCs/>
          <w:sz w:val="24"/>
          <w:szCs w:val="24"/>
        </w:rPr>
        <w:t xml:space="preserve"> tecnificação de práticas agrícolas e uso racional de recursos (TRANI et al., 2015).</w:t>
      </w:r>
    </w:p>
    <w:p w14:paraId="399F3F34" w14:textId="1395FBE0" w:rsidR="0065728B" w:rsidRPr="0065728B" w:rsidRDefault="00143FCB" w:rsidP="00854AC1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Foi reportado por </w:t>
      </w:r>
      <w:r w:rsidR="0065728B" w:rsidRPr="0065728B">
        <w:rPr>
          <w:rFonts w:ascii="Times New Roman" w:hAnsi="Times New Roman"/>
          <w:sz w:val="24"/>
          <w:szCs w:val="24"/>
        </w:rPr>
        <w:t>Singh et al. (2012) que o tomateiro, sobre estresse salino, tem sua taxa de germinação, vigor e taxa de brotação reduzidos, principalmente em função da maior concentração de íons de sódio nas raízes, que causam a redução da absorção de água pela planta. Ainda concluem que a cada 1 dSm</w:t>
      </w:r>
      <w:r w:rsidR="0065728B" w:rsidRPr="0065728B">
        <w:rPr>
          <w:rFonts w:ascii="Times New Roman" w:hAnsi="Times New Roman"/>
          <w:sz w:val="24"/>
          <w:szCs w:val="24"/>
          <w:vertAlign w:val="superscript"/>
        </w:rPr>
        <w:t>-1</w:t>
      </w:r>
      <w:r w:rsidR="0065728B" w:rsidRPr="0065728B">
        <w:rPr>
          <w:rFonts w:ascii="Times New Roman" w:hAnsi="Times New Roman"/>
          <w:sz w:val="24"/>
          <w:szCs w:val="24"/>
        </w:rPr>
        <w:t xml:space="preserve"> em salinidade acima de 3 dSm</w:t>
      </w:r>
      <w:r w:rsidR="0065728B" w:rsidRPr="0065728B">
        <w:rPr>
          <w:rFonts w:ascii="Times New Roman" w:hAnsi="Times New Roman"/>
          <w:sz w:val="24"/>
          <w:szCs w:val="24"/>
          <w:vertAlign w:val="superscript"/>
        </w:rPr>
        <w:t>-1</w:t>
      </w:r>
      <w:r w:rsidR="0065728B" w:rsidRPr="0065728B">
        <w:rPr>
          <w:rFonts w:ascii="Times New Roman" w:hAnsi="Times New Roman"/>
          <w:sz w:val="24"/>
          <w:szCs w:val="24"/>
        </w:rPr>
        <w:t>, causam redução de cerca de 10% na produtividade, tendo como limite superior 6 dSm</w:t>
      </w:r>
      <w:r w:rsidR="0065728B" w:rsidRPr="0065728B">
        <w:rPr>
          <w:rFonts w:ascii="Times New Roman" w:hAnsi="Times New Roman"/>
          <w:sz w:val="24"/>
          <w:szCs w:val="24"/>
          <w:vertAlign w:val="superscript"/>
        </w:rPr>
        <w:t>-1</w:t>
      </w:r>
      <w:r w:rsidR="0065728B" w:rsidRPr="0065728B">
        <w:rPr>
          <w:rFonts w:ascii="Times New Roman" w:hAnsi="Times New Roman"/>
          <w:sz w:val="24"/>
          <w:szCs w:val="24"/>
        </w:rPr>
        <w:t>, onde se observaram perdas na produção em até 50%.</w:t>
      </w:r>
    </w:p>
    <w:p w14:paraId="531E7C02" w14:textId="6B8CA05E" w:rsidR="006F32CE" w:rsidRDefault="00CF7C8D" w:rsidP="00854AC1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Razali</w:t>
      </w:r>
      <w:r w:rsidR="0065728B" w:rsidRPr="0065728B">
        <w:rPr>
          <w:rFonts w:ascii="Times New Roman" w:hAnsi="Times New Roman"/>
          <w:sz w:val="24"/>
          <w:szCs w:val="24"/>
        </w:rPr>
        <w:t xml:space="preserve"> et al. (2018) identificaram em seu trabalho que </w:t>
      </w:r>
      <w:r w:rsidR="0065728B" w:rsidRPr="00854AC1">
        <w:rPr>
          <w:rFonts w:ascii="Times New Roman" w:hAnsi="Times New Roman"/>
          <w:i/>
          <w:iCs/>
          <w:sz w:val="24"/>
          <w:szCs w:val="24"/>
        </w:rPr>
        <w:t>Solanum pimpinellifolium</w:t>
      </w:r>
      <w:r w:rsidR="0065728B" w:rsidRPr="0065728B">
        <w:rPr>
          <w:rFonts w:ascii="Times New Roman" w:hAnsi="Times New Roman"/>
          <w:sz w:val="24"/>
          <w:szCs w:val="24"/>
        </w:rPr>
        <w:t xml:space="preserve"> (genoma LA0480) tem demonstrado características desejáveis à agricultura, como tolerância a estresses bióticos e abióticos,</w:t>
      </w:r>
      <w:r w:rsidR="00A627F5">
        <w:rPr>
          <w:rFonts w:ascii="Times New Roman" w:hAnsi="Times New Roman"/>
          <w:sz w:val="24"/>
          <w:szCs w:val="24"/>
        </w:rPr>
        <w:t xml:space="preserve"> observa</w:t>
      </w:r>
      <w:r w:rsidR="003D161E">
        <w:rPr>
          <w:rFonts w:ascii="Times New Roman" w:hAnsi="Times New Roman"/>
          <w:sz w:val="24"/>
          <w:szCs w:val="24"/>
        </w:rPr>
        <w:t>ndo</w:t>
      </w:r>
      <w:r w:rsidR="0065728B" w:rsidRPr="0065728B">
        <w:rPr>
          <w:rFonts w:ascii="Times New Roman" w:hAnsi="Times New Roman"/>
          <w:sz w:val="24"/>
          <w:szCs w:val="24"/>
        </w:rPr>
        <w:t xml:space="preserve"> em campo grande tolerância a salinidade comparado com o tomate comercial (</w:t>
      </w:r>
      <w:r w:rsidR="0065728B" w:rsidRPr="00C21D09">
        <w:rPr>
          <w:rFonts w:ascii="Times New Roman" w:hAnsi="Times New Roman"/>
          <w:i/>
          <w:iCs/>
          <w:sz w:val="24"/>
          <w:szCs w:val="24"/>
        </w:rPr>
        <w:t>S. lycopersicum</w:t>
      </w:r>
      <w:r w:rsidR="0065728B" w:rsidRPr="0065728B">
        <w:rPr>
          <w:rFonts w:ascii="Times New Roman" w:hAnsi="Times New Roman"/>
          <w:sz w:val="24"/>
          <w:szCs w:val="24"/>
        </w:rPr>
        <w:t>)</w:t>
      </w:r>
      <w:r w:rsidR="003D161E">
        <w:rPr>
          <w:rFonts w:ascii="Times New Roman" w:hAnsi="Times New Roman"/>
          <w:sz w:val="24"/>
          <w:szCs w:val="24"/>
        </w:rPr>
        <w:t>.</w:t>
      </w:r>
      <w:r w:rsidR="0065728B" w:rsidRPr="0065728B">
        <w:rPr>
          <w:rFonts w:ascii="Times New Roman" w:hAnsi="Times New Roman"/>
          <w:sz w:val="24"/>
          <w:szCs w:val="24"/>
        </w:rPr>
        <w:t xml:space="preserve"> </w:t>
      </w:r>
      <w:r w:rsidR="003D161E">
        <w:rPr>
          <w:rFonts w:ascii="Times New Roman" w:hAnsi="Times New Roman"/>
          <w:sz w:val="24"/>
          <w:szCs w:val="24"/>
        </w:rPr>
        <w:t>I</w:t>
      </w:r>
      <w:r w:rsidR="00143FCB">
        <w:rPr>
          <w:rFonts w:ascii="Times New Roman" w:hAnsi="Times New Roman"/>
          <w:sz w:val="24"/>
          <w:szCs w:val="24"/>
        </w:rPr>
        <w:t>dentificaram</w:t>
      </w:r>
      <w:r w:rsidR="0065728B" w:rsidRPr="0065728B">
        <w:rPr>
          <w:rFonts w:ascii="Times New Roman" w:hAnsi="Times New Roman"/>
          <w:sz w:val="24"/>
          <w:szCs w:val="24"/>
        </w:rPr>
        <w:t xml:space="preserve"> 15 genes, </w:t>
      </w:r>
      <w:r w:rsidR="00143FCB">
        <w:rPr>
          <w:rFonts w:ascii="Times New Roman" w:hAnsi="Times New Roman"/>
          <w:sz w:val="24"/>
          <w:szCs w:val="24"/>
        </w:rPr>
        <w:t>previamente descritos</w:t>
      </w:r>
      <w:r w:rsidR="0065728B" w:rsidRPr="0065728B">
        <w:rPr>
          <w:rFonts w:ascii="Times New Roman" w:hAnsi="Times New Roman"/>
          <w:sz w:val="24"/>
          <w:szCs w:val="24"/>
        </w:rPr>
        <w:t>, que contribuíram para o melhor desempenho do tomate selvagem, em especial, por possuir maior número de cópias dos genes da proteína inositol-3-fosfato sintase</w:t>
      </w:r>
      <w:r w:rsidR="006F32CE">
        <w:rPr>
          <w:rFonts w:ascii="Times New Roman" w:hAnsi="Times New Roman"/>
          <w:sz w:val="24"/>
          <w:szCs w:val="24"/>
        </w:rPr>
        <w:t xml:space="preserve"> (I3PS)</w:t>
      </w:r>
      <w:r w:rsidR="0065728B" w:rsidRPr="0065728B">
        <w:rPr>
          <w:rFonts w:ascii="Times New Roman" w:hAnsi="Times New Roman"/>
          <w:sz w:val="24"/>
          <w:szCs w:val="24"/>
        </w:rPr>
        <w:t xml:space="preserve"> e de fosfatases, que em outra análise, apresentaram-se contribuintes para a maior tolerância da espécie, demonstrando o potencial genético e de cruzamento do </w:t>
      </w:r>
      <w:r w:rsidR="0065728B" w:rsidRPr="00C21D09">
        <w:rPr>
          <w:rFonts w:ascii="Times New Roman" w:hAnsi="Times New Roman"/>
          <w:i/>
          <w:iCs/>
          <w:sz w:val="24"/>
          <w:szCs w:val="24"/>
        </w:rPr>
        <w:t>S. pimpinellifolium</w:t>
      </w:r>
      <w:r w:rsidR="0065728B" w:rsidRPr="0065728B">
        <w:rPr>
          <w:rFonts w:ascii="Times New Roman" w:hAnsi="Times New Roman"/>
          <w:sz w:val="24"/>
          <w:szCs w:val="24"/>
        </w:rPr>
        <w:t>.</w:t>
      </w:r>
      <w:r w:rsidR="007E6945">
        <w:rPr>
          <w:rFonts w:ascii="Times New Roman" w:hAnsi="Times New Roman"/>
          <w:sz w:val="24"/>
          <w:szCs w:val="24"/>
        </w:rPr>
        <w:t xml:space="preserve"> </w:t>
      </w:r>
      <w:r w:rsidR="006F32CE">
        <w:rPr>
          <w:rFonts w:ascii="Times New Roman" w:hAnsi="Times New Roman"/>
          <w:sz w:val="24"/>
          <w:szCs w:val="24"/>
        </w:rPr>
        <w:t>Dada a importância explicitada, objetivou-se neste trabalho</w:t>
      </w:r>
      <w:r w:rsidR="007E6945">
        <w:rPr>
          <w:rFonts w:ascii="Times New Roman" w:hAnsi="Times New Roman"/>
          <w:sz w:val="24"/>
          <w:szCs w:val="24"/>
        </w:rPr>
        <w:t xml:space="preserve"> realizar o alinhamento comparativo da proteína I3PS </w:t>
      </w:r>
      <w:r w:rsidR="007E6945" w:rsidRPr="0065728B">
        <w:rPr>
          <w:rFonts w:ascii="Times New Roman" w:hAnsi="Times New Roman"/>
          <w:sz w:val="24"/>
          <w:szCs w:val="24"/>
        </w:rPr>
        <w:t>em diversas espécies de Solanaceae</w:t>
      </w:r>
      <w:r w:rsidR="007E6945">
        <w:rPr>
          <w:rFonts w:ascii="Times New Roman" w:hAnsi="Times New Roman"/>
          <w:sz w:val="24"/>
          <w:szCs w:val="24"/>
        </w:rPr>
        <w:t xml:space="preserve">. </w:t>
      </w:r>
    </w:p>
    <w:p w14:paraId="5388461F" w14:textId="77777777" w:rsidR="0065728B" w:rsidRDefault="0065728B" w:rsidP="00854AC1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DF6F498" w14:textId="77777777" w:rsidR="00D7399F" w:rsidRDefault="00D7399F" w:rsidP="00854A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7399F">
        <w:rPr>
          <w:rFonts w:ascii="Times New Roman" w:hAnsi="Times New Roman"/>
          <w:b/>
          <w:sz w:val="24"/>
          <w:szCs w:val="24"/>
        </w:rPr>
        <w:t>MATERIAL E MÉTODOS</w:t>
      </w:r>
    </w:p>
    <w:p w14:paraId="7612432E" w14:textId="77777777" w:rsidR="00D7399F" w:rsidRDefault="00D7399F" w:rsidP="00854A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5A8455B" w14:textId="33BDB784" w:rsidR="0065728B" w:rsidRPr="0065728B" w:rsidRDefault="003D161E" w:rsidP="00854AC1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sequência de aminoácidos da proteína </w:t>
      </w:r>
      <w:r w:rsidR="0065728B" w:rsidRPr="0065728B">
        <w:rPr>
          <w:rFonts w:ascii="Times New Roman" w:hAnsi="Times New Roman"/>
          <w:sz w:val="24"/>
          <w:szCs w:val="24"/>
        </w:rPr>
        <w:t xml:space="preserve">I3PS </w:t>
      </w:r>
      <w:r w:rsidR="00CA63A2">
        <w:rPr>
          <w:rFonts w:ascii="Times New Roman" w:hAnsi="Times New Roman"/>
          <w:sz w:val="24"/>
          <w:szCs w:val="24"/>
        </w:rPr>
        <w:t xml:space="preserve">foi obtida por </w:t>
      </w:r>
      <w:r w:rsidR="00CA63A2" w:rsidRPr="00CA63A2">
        <w:rPr>
          <w:rFonts w:ascii="Times New Roman" w:hAnsi="Times New Roman"/>
          <w:sz w:val="24"/>
          <w:szCs w:val="24"/>
        </w:rPr>
        <w:t xml:space="preserve">busca no banco </w:t>
      </w:r>
      <w:r w:rsidR="00CA63A2" w:rsidRPr="00CA63A2">
        <w:rPr>
          <w:rFonts w:ascii="Times New Roman" w:hAnsi="Times New Roman"/>
          <w:i/>
          <w:sz w:val="24"/>
          <w:szCs w:val="24"/>
        </w:rPr>
        <w:t xml:space="preserve">National Center for Biotechnology Information </w:t>
      </w:r>
      <w:r w:rsidR="00CA63A2" w:rsidRPr="00CA63A2">
        <w:rPr>
          <w:rFonts w:ascii="Times New Roman" w:hAnsi="Times New Roman"/>
          <w:sz w:val="24"/>
          <w:szCs w:val="24"/>
        </w:rPr>
        <w:t>(</w:t>
      </w:r>
      <w:r w:rsidR="00CA63A2" w:rsidRPr="00977BB6">
        <w:rPr>
          <w:rFonts w:ascii="Times New Roman" w:hAnsi="Times New Roman"/>
          <w:sz w:val="24"/>
          <w:szCs w:val="24"/>
        </w:rPr>
        <w:t>https://www.ncbi.nlm.nih.gov/</w:t>
      </w:r>
      <w:r w:rsidR="00CA63A2">
        <w:rPr>
          <w:rFonts w:ascii="Times New Roman" w:hAnsi="Times New Roman"/>
          <w:sz w:val="24"/>
          <w:szCs w:val="24"/>
        </w:rPr>
        <w:t xml:space="preserve">). </w:t>
      </w:r>
      <w:r w:rsidR="0065728B" w:rsidRPr="0065728B">
        <w:rPr>
          <w:rFonts w:ascii="Times New Roman" w:hAnsi="Times New Roman"/>
          <w:sz w:val="24"/>
          <w:szCs w:val="24"/>
        </w:rPr>
        <w:t xml:space="preserve">Foram escolhidas, para comparação, as espécies </w:t>
      </w:r>
      <w:r w:rsidR="0065728B" w:rsidRPr="0048299B">
        <w:rPr>
          <w:rFonts w:ascii="Times New Roman" w:hAnsi="Times New Roman"/>
          <w:i/>
          <w:iCs/>
          <w:sz w:val="24"/>
          <w:szCs w:val="24"/>
        </w:rPr>
        <w:t>Solanum pimpinellifolium, S</w:t>
      </w:r>
      <w:r w:rsidR="00CA63A2">
        <w:rPr>
          <w:rFonts w:ascii="Times New Roman" w:hAnsi="Times New Roman"/>
          <w:i/>
          <w:iCs/>
          <w:sz w:val="24"/>
          <w:szCs w:val="24"/>
        </w:rPr>
        <w:t>.</w:t>
      </w:r>
      <w:r w:rsidR="0065728B" w:rsidRPr="0048299B">
        <w:rPr>
          <w:rFonts w:ascii="Times New Roman" w:hAnsi="Times New Roman"/>
          <w:i/>
          <w:iCs/>
          <w:sz w:val="24"/>
          <w:szCs w:val="24"/>
        </w:rPr>
        <w:t xml:space="preserve"> pennellii, S</w:t>
      </w:r>
      <w:r w:rsidR="00CA63A2">
        <w:rPr>
          <w:rFonts w:ascii="Times New Roman" w:hAnsi="Times New Roman"/>
          <w:i/>
          <w:iCs/>
          <w:sz w:val="24"/>
          <w:szCs w:val="24"/>
        </w:rPr>
        <w:t>.</w:t>
      </w:r>
      <w:r w:rsidR="0065728B" w:rsidRPr="0048299B">
        <w:rPr>
          <w:rFonts w:ascii="Times New Roman" w:hAnsi="Times New Roman"/>
          <w:i/>
          <w:iCs/>
          <w:sz w:val="24"/>
          <w:szCs w:val="24"/>
        </w:rPr>
        <w:t xml:space="preserve"> chilense, S</w:t>
      </w:r>
      <w:r w:rsidR="00CA63A2">
        <w:rPr>
          <w:rFonts w:ascii="Times New Roman" w:hAnsi="Times New Roman"/>
          <w:i/>
          <w:iCs/>
          <w:sz w:val="24"/>
          <w:szCs w:val="24"/>
        </w:rPr>
        <w:t>.</w:t>
      </w:r>
      <w:r w:rsidR="0065728B" w:rsidRPr="0048299B">
        <w:rPr>
          <w:rFonts w:ascii="Times New Roman" w:hAnsi="Times New Roman"/>
          <w:i/>
          <w:iCs/>
          <w:sz w:val="24"/>
          <w:szCs w:val="24"/>
        </w:rPr>
        <w:t xml:space="preserve"> tuberosum, Capsicum annuum, C</w:t>
      </w:r>
      <w:r w:rsidR="00CA63A2">
        <w:rPr>
          <w:rFonts w:ascii="Times New Roman" w:hAnsi="Times New Roman"/>
          <w:i/>
          <w:iCs/>
          <w:sz w:val="24"/>
          <w:szCs w:val="24"/>
        </w:rPr>
        <w:t>.</w:t>
      </w:r>
      <w:r w:rsidR="0065728B" w:rsidRPr="0048299B">
        <w:rPr>
          <w:rFonts w:ascii="Times New Roman" w:hAnsi="Times New Roman"/>
          <w:i/>
          <w:iCs/>
          <w:sz w:val="24"/>
          <w:szCs w:val="24"/>
        </w:rPr>
        <w:t xml:space="preserve"> baccatum</w:t>
      </w:r>
      <w:r w:rsidR="00CA63A2">
        <w:rPr>
          <w:rFonts w:ascii="Times New Roman" w:hAnsi="Times New Roman"/>
          <w:sz w:val="24"/>
          <w:szCs w:val="24"/>
        </w:rPr>
        <w:t>,</w:t>
      </w:r>
      <w:r w:rsidR="0065728B" w:rsidRPr="0048299B">
        <w:rPr>
          <w:rFonts w:ascii="Times New Roman" w:hAnsi="Times New Roman"/>
          <w:i/>
          <w:iCs/>
          <w:sz w:val="24"/>
          <w:szCs w:val="24"/>
        </w:rPr>
        <w:t xml:space="preserve"> Nicotiana tabacum </w:t>
      </w:r>
      <w:r w:rsidR="0065728B" w:rsidRPr="0048299B">
        <w:rPr>
          <w:rFonts w:ascii="Times New Roman" w:hAnsi="Times New Roman"/>
          <w:sz w:val="24"/>
          <w:szCs w:val="24"/>
        </w:rPr>
        <w:t>e</w:t>
      </w:r>
      <w:r w:rsidR="0065728B" w:rsidRPr="0048299B">
        <w:rPr>
          <w:rFonts w:ascii="Times New Roman" w:hAnsi="Times New Roman"/>
          <w:i/>
          <w:iCs/>
          <w:sz w:val="24"/>
          <w:szCs w:val="24"/>
        </w:rPr>
        <w:t xml:space="preserve"> Arabidopsis thaliana</w:t>
      </w:r>
      <w:r w:rsidR="0065728B" w:rsidRPr="0065728B">
        <w:rPr>
          <w:rFonts w:ascii="Times New Roman" w:hAnsi="Times New Roman"/>
          <w:sz w:val="24"/>
          <w:szCs w:val="24"/>
        </w:rPr>
        <w:t xml:space="preserve"> para servir como </w:t>
      </w:r>
      <w:r w:rsidR="00A627F5">
        <w:rPr>
          <w:rFonts w:ascii="Times New Roman" w:hAnsi="Times New Roman"/>
          <w:sz w:val="24"/>
          <w:szCs w:val="24"/>
        </w:rPr>
        <w:t>“</w:t>
      </w:r>
      <w:r w:rsidR="00A627F5" w:rsidRPr="00095C9F">
        <w:rPr>
          <w:rFonts w:ascii="Times New Roman" w:hAnsi="Times New Roman"/>
          <w:sz w:val="24"/>
          <w:szCs w:val="24"/>
        </w:rPr>
        <w:t>outgroup</w:t>
      </w:r>
      <w:r w:rsidR="00A627F5">
        <w:rPr>
          <w:rFonts w:ascii="Times New Roman" w:hAnsi="Times New Roman"/>
          <w:sz w:val="24"/>
          <w:szCs w:val="24"/>
        </w:rPr>
        <w:t>”</w:t>
      </w:r>
      <w:r w:rsidR="0065728B" w:rsidRPr="0065728B">
        <w:rPr>
          <w:rFonts w:ascii="Times New Roman" w:hAnsi="Times New Roman"/>
          <w:sz w:val="24"/>
          <w:szCs w:val="24"/>
        </w:rPr>
        <w:t xml:space="preserve"> </w:t>
      </w:r>
      <w:r w:rsidR="00CA63A2">
        <w:rPr>
          <w:rFonts w:ascii="Times New Roman" w:hAnsi="Times New Roman"/>
          <w:sz w:val="24"/>
          <w:szCs w:val="24"/>
        </w:rPr>
        <w:t>e</w:t>
      </w:r>
      <w:r w:rsidR="00A627F5">
        <w:rPr>
          <w:rFonts w:ascii="Times New Roman" w:hAnsi="Times New Roman"/>
          <w:sz w:val="24"/>
          <w:szCs w:val="24"/>
        </w:rPr>
        <w:t xml:space="preserve"> como ponto</w:t>
      </w:r>
      <w:r w:rsidR="0065728B" w:rsidRPr="0065728B">
        <w:rPr>
          <w:rFonts w:ascii="Times New Roman" w:hAnsi="Times New Roman"/>
          <w:sz w:val="24"/>
          <w:szCs w:val="24"/>
        </w:rPr>
        <w:t xml:space="preserve"> de enraizamento no dendrograma</w:t>
      </w:r>
      <w:r w:rsidR="00CA63A2">
        <w:rPr>
          <w:rFonts w:ascii="Times New Roman" w:hAnsi="Times New Roman"/>
          <w:sz w:val="24"/>
          <w:szCs w:val="24"/>
        </w:rPr>
        <w:t>,</w:t>
      </w:r>
      <w:r w:rsidR="0065728B" w:rsidRPr="0065728B">
        <w:rPr>
          <w:rFonts w:ascii="Times New Roman" w:hAnsi="Times New Roman"/>
          <w:sz w:val="24"/>
          <w:szCs w:val="24"/>
        </w:rPr>
        <w:t xml:space="preserve"> por ser conhecidamente um organismo distal em relação à família estudada.</w:t>
      </w:r>
    </w:p>
    <w:p w14:paraId="13798176" w14:textId="225528E7" w:rsidR="00D7399F" w:rsidRDefault="0065728B" w:rsidP="00854AC1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728B">
        <w:rPr>
          <w:rFonts w:ascii="Times New Roman" w:hAnsi="Times New Roman"/>
          <w:sz w:val="24"/>
          <w:szCs w:val="24"/>
        </w:rPr>
        <w:t xml:space="preserve">O alinhamento local básico foi </w:t>
      </w:r>
      <w:r w:rsidR="00CA63A2">
        <w:rPr>
          <w:rFonts w:ascii="Times New Roman" w:hAnsi="Times New Roman"/>
          <w:sz w:val="24"/>
          <w:szCs w:val="24"/>
        </w:rPr>
        <w:t>realizado</w:t>
      </w:r>
      <w:r w:rsidRPr="0065728B">
        <w:rPr>
          <w:rFonts w:ascii="Times New Roman" w:hAnsi="Times New Roman"/>
          <w:sz w:val="24"/>
          <w:szCs w:val="24"/>
        </w:rPr>
        <w:t xml:space="preserve"> </w:t>
      </w:r>
      <w:r w:rsidR="00CA63A2">
        <w:rPr>
          <w:rFonts w:ascii="Times New Roman" w:hAnsi="Times New Roman"/>
          <w:sz w:val="24"/>
          <w:szCs w:val="24"/>
        </w:rPr>
        <w:t xml:space="preserve">utilizando </w:t>
      </w:r>
      <w:r w:rsidRPr="0065728B">
        <w:rPr>
          <w:rFonts w:ascii="Times New Roman" w:hAnsi="Times New Roman"/>
          <w:sz w:val="24"/>
          <w:szCs w:val="24"/>
        </w:rPr>
        <w:t>a ferramenta BLAST</w:t>
      </w:r>
      <w:r w:rsidR="00CA63A2">
        <w:rPr>
          <w:rFonts w:ascii="Times New Roman" w:hAnsi="Times New Roman"/>
          <w:sz w:val="24"/>
          <w:szCs w:val="24"/>
        </w:rPr>
        <w:t xml:space="preserve"> (</w:t>
      </w:r>
      <w:r w:rsidR="00CA63A2" w:rsidRPr="00977BB6">
        <w:rPr>
          <w:rFonts w:ascii="Times New Roman" w:hAnsi="Times New Roman"/>
          <w:sz w:val="24"/>
          <w:szCs w:val="24"/>
        </w:rPr>
        <w:t>https://blast.ncbi.nlm.nih.gov/Blast.cgi</w:t>
      </w:r>
      <w:r w:rsidR="00CA63A2">
        <w:rPr>
          <w:rFonts w:ascii="Times New Roman" w:hAnsi="Times New Roman"/>
          <w:sz w:val="24"/>
          <w:szCs w:val="24"/>
        </w:rPr>
        <w:t>)</w:t>
      </w:r>
      <w:r w:rsidRPr="0065728B">
        <w:rPr>
          <w:rFonts w:ascii="Times New Roman" w:hAnsi="Times New Roman"/>
          <w:sz w:val="24"/>
          <w:szCs w:val="24"/>
        </w:rPr>
        <w:t xml:space="preserve"> (ALTSCHUL et al., 1990) nos bancos de dados do NCBI e Sol Genomics Network</w:t>
      </w:r>
      <w:r w:rsidR="00143FCB">
        <w:rPr>
          <w:rFonts w:ascii="Times New Roman" w:hAnsi="Times New Roman"/>
          <w:sz w:val="24"/>
          <w:szCs w:val="24"/>
        </w:rPr>
        <w:t>.</w:t>
      </w:r>
      <w:r w:rsidRPr="0065728B">
        <w:rPr>
          <w:rFonts w:ascii="Times New Roman" w:hAnsi="Times New Roman"/>
          <w:sz w:val="24"/>
          <w:szCs w:val="24"/>
        </w:rPr>
        <w:t xml:space="preserve"> </w:t>
      </w:r>
      <w:r w:rsidR="004476B6">
        <w:rPr>
          <w:rFonts w:ascii="Times New Roman" w:hAnsi="Times New Roman"/>
          <w:sz w:val="24"/>
          <w:szCs w:val="24"/>
        </w:rPr>
        <w:t>Para a</w:t>
      </w:r>
      <w:r w:rsidRPr="0065728B">
        <w:rPr>
          <w:rFonts w:ascii="Times New Roman" w:hAnsi="Times New Roman"/>
          <w:sz w:val="24"/>
          <w:szCs w:val="24"/>
        </w:rPr>
        <w:t xml:space="preserve"> confirmação da identidade das proteínas </w:t>
      </w:r>
      <w:r w:rsidR="004476B6">
        <w:rPr>
          <w:rFonts w:ascii="Times New Roman" w:hAnsi="Times New Roman"/>
          <w:sz w:val="24"/>
          <w:szCs w:val="24"/>
        </w:rPr>
        <w:t>utilizou-se</w:t>
      </w:r>
      <w:r w:rsidRPr="0065728B">
        <w:rPr>
          <w:rFonts w:ascii="Times New Roman" w:hAnsi="Times New Roman"/>
          <w:sz w:val="24"/>
          <w:szCs w:val="24"/>
        </w:rPr>
        <w:t xml:space="preserve"> a ferramenta </w:t>
      </w:r>
      <w:r w:rsidRPr="00CA63A2">
        <w:rPr>
          <w:rFonts w:ascii="Times New Roman" w:hAnsi="Times New Roman"/>
          <w:i/>
          <w:sz w:val="24"/>
          <w:szCs w:val="24"/>
        </w:rPr>
        <w:t>Conserved Domain Database</w:t>
      </w:r>
      <w:r w:rsidR="004476B6">
        <w:rPr>
          <w:rFonts w:ascii="Times New Roman" w:hAnsi="Times New Roman"/>
          <w:i/>
          <w:sz w:val="24"/>
          <w:szCs w:val="24"/>
        </w:rPr>
        <w:t xml:space="preserve"> </w:t>
      </w:r>
      <w:r w:rsidR="004476B6" w:rsidRPr="004476B6">
        <w:rPr>
          <w:rFonts w:ascii="Times New Roman" w:hAnsi="Times New Roman"/>
          <w:sz w:val="24"/>
          <w:szCs w:val="24"/>
        </w:rPr>
        <w:t>(CDD-</w:t>
      </w:r>
      <w:r w:rsidR="004476B6" w:rsidRPr="004476B6">
        <w:rPr>
          <w:rFonts w:ascii="Times New Roman" w:hAnsi="Times New Roman"/>
          <w:i/>
          <w:sz w:val="24"/>
          <w:szCs w:val="24"/>
        </w:rPr>
        <w:t>Search</w:t>
      </w:r>
      <w:r w:rsidR="004476B6" w:rsidRPr="004476B6">
        <w:rPr>
          <w:rFonts w:ascii="Times New Roman" w:hAnsi="Times New Roman"/>
          <w:sz w:val="24"/>
          <w:szCs w:val="24"/>
        </w:rPr>
        <w:t>)</w:t>
      </w:r>
      <w:r w:rsidR="004476B6" w:rsidRPr="0065728B">
        <w:rPr>
          <w:rFonts w:ascii="Times New Roman" w:hAnsi="Times New Roman"/>
          <w:sz w:val="24"/>
          <w:szCs w:val="24"/>
        </w:rPr>
        <w:t xml:space="preserve"> </w:t>
      </w:r>
      <w:r w:rsidRPr="0065728B">
        <w:rPr>
          <w:rFonts w:ascii="Times New Roman" w:hAnsi="Times New Roman"/>
          <w:sz w:val="24"/>
          <w:szCs w:val="24"/>
        </w:rPr>
        <w:t xml:space="preserve">(MARCHLER-BAUER, 2016). O alinhamento local múltiplo entre as sequências foi feito utilizando-se </w:t>
      </w:r>
      <w:r w:rsidR="00A627F5">
        <w:rPr>
          <w:rFonts w:ascii="Times New Roman" w:hAnsi="Times New Roman"/>
          <w:sz w:val="24"/>
          <w:szCs w:val="24"/>
        </w:rPr>
        <w:t xml:space="preserve">o software </w:t>
      </w:r>
      <w:r w:rsidRPr="0065728B">
        <w:rPr>
          <w:rFonts w:ascii="Times New Roman" w:hAnsi="Times New Roman"/>
          <w:sz w:val="24"/>
          <w:szCs w:val="24"/>
        </w:rPr>
        <w:t xml:space="preserve">MEGA X (KUMAR et al., 2018), </w:t>
      </w:r>
      <w:r w:rsidR="004476B6">
        <w:rPr>
          <w:rFonts w:ascii="Times New Roman" w:hAnsi="Times New Roman"/>
          <w:sz w:val="24"/>
          <w:szCs w:val="24"/>
        </w:rPr>
        <w:t>utili</w:t>
      </w:r>
      <w:r w:rsidR="00CA63A2">
        <w:rPr>
          <w:rFonts w:ascii="Times New Roman" w:hAnsi="Times New Roman"/>
          <w:sz w:val="24"/>
          <w:szCs w:val="24"/>
        </w:rPr>
        <w:t xml:space="preserve">zando </w:t>
      </w:r>
      <w:r w:rsidRPr="0065728B">
        <w:rPr>
          <w:rFonts w:ascii="Times New Roman" w:hAnsi="Times New Roman"/>
          <w:sz w:val="24"/>
          <w:szCs w:val="24"/>
        </w:rPr>
        <w:t xml:space="preserve">alinhamento </w:t>
      </w:r>
      <w:r w:rsidR="00CA63A2">
        <w:rPr>
          <w:rFonts w:ascii="Times New Roman" w:hAnsi="Times New Roman"/>
          <w:sz w:val="24"/>
          <w:szCs w:val="24"/>
        </w:rPr>
        <w:t>do tipo</w:t>
      </w:r>
      <w:r w:rsidRPr="0065728B">
        <w:rPr>
          <w:rFonts w:ascii="Times New Roman" w:hAnsi="Times New Roman"/>
          <w:sz w:val="24"/>
          <w:szCs w:val="24"/>
        </w:rPr>
        <w:t xml:space="preserve"> MUSCLE</w:t>
      </w:r>
      <w:r w:rsidR="00CA63A2">
        <w:rPr>
          <w:rFonts w:ascii="Times New Roman" w:hAnsi="Times New Roman"/>
          <w:sz w:val="24"/>
          <w:szCs w:val="24"/>
        </w:rPr>
        <w:t>, sendo que</w:t>
      </w:r>
      <w:r w:rsidRPr="0065728B">
        <w:rPr>
          <w:rFonts w:ascii="Times New Roman" w:hAnsi="Times New Roman"/>
          <w:sz w:val="24"/>
          <w:szCs w:val="24"/>
        </w:rPr>
        <w:t xml:space="preserve"> a construção do dendrograma </w:t>
      </w:r>
      <w:r w:rsidR="004476B6">
        <w:rPr>
          <w:rFonts w:ascii="Times New Roman" w:hAnsi="Times New Roman"/>
          <w:sz w:val="24"/>
          <w:szCs w:val="24"/>
        </w:rPr>
        <w:t>foi r</w:t>
      </w:r>
      <w:r w:rsidR="00CA63A2">
        <w:rPr>
          <w:rFonts w:ascii="Times New Roman" w:hAnsi="Times New Roman"/>
          <w:sz w:val="24"/>
          <w:szCs w:val="24"/>
        </w:rPr>
        <w:t xml:space="preserve">ealizada </w:t>
      </w:r>
      <w:r w:rsidRPr="0065728B">
        <w:rPr>
          <w:rFonts w:ascii="Times New Roman" w:hAnsi="Times New Roman"/>
          <w:sz w:val="24"/>
          <w:szCs w:val="24"/>
        </w:rPr>
        <w:t xml:space="preserve"> </w:t>
      </w:r>
      <w:r w:rsidR="00CA63A2">
        <w:rPr>
          <w:rFonts w:ascii="Times New Roman" w:hAnsi="Times New Roman"/>
          <w:sz w:val="24"/>
          <w:szCs w:val="24"/>
        </w:rPr>
        <w:t>pel</w:t>
      </w:r>
      <w:r w:rsidRPr="0065728B">
        <w:rPr>
          <w:rFonts w:ascii="Times New Roman" w:hAnsi="Times New Roman"/>
          <w:sz w:val="24"/>
          <w:szCs w:val="24"/>
        </w:rPr>
        <w:t xml:space="preserve">o </w:t>
      </w:r>
      <w:r w:rsidR="00A627F5">
        <w:rPr>
          <w:rFonts w:ascii="Times New Roman" w:hAnsi="Times New Roman"/>
          <w:sz w:val="24"/>
          <w:szCs w:val="24"/>
        </w:rPr>
        <w:t>programa</w:t>
      </w:r>
      <w:r w:rsidR="004476B6">
        <w:rPr>
          <w:rFonts w:ascii="Times New Roman" w:hAnsi="Times New Roman"/>
          <w:sz w:val="24"/>
          <w:szCs w:val="24"/>
        </w:rPr>
        <w:t xml:space="preserve"> MrBayes (RONQUIST;</w:t>
      </w:r>
      <w:r w:rsidRPr="0065728B">
        <w:rPr>
          <w:rFonts w:ascii="Times New Roman" w:hAnsi="Times New Roman"/>
          <w:sz w:val="24"/>
          <w:szCs w:val="24"/>
        </w:rPr>
        <w:t xml:space="preserve"> HUELSENBECK, 2003), que utiliza o método bayesiano para o cálculo das árvores, com 1 milhão de </w:t>
      </w:r>
      <w:r w:rsidR="00143FCB">
        <w:rPr>
          <w:rFonts w:ascii="Times New Roman" w:hAnsi="Times New Roman"/>
          <w:sz w:val="24"/>
          <w:szCs w:val="24"/>
        </w:rPr>
        <w:t>simulações</w:t>
      </w:r>
      <w:r w:rsidRPr="0065728B">
        <w:rPr>
          <w:rFonts w:ascii="Times New Roman" w:hAnsi="Times New Roman"/>
          <w:sz w:val="24"/>
          <w:szCs w:val="24"/>
        </w:rPr>
        <w:t xml:space="preserve"> em bootstrap.</w:t>
      </w:r>
    </w:p>
    <w:p w14:paraId="0B4517E2" w14:textId="77777777" w:rsidR="007C529E" w:rsidRDefault="007C529E" w:rsidP="00854AC1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7F9C66" w14:textId="77777777" w:rsidR="007C529E" w:rsidRDefault="007C529E" w:rsidP="00854AC1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8F91A9C" w14:textId="74B1FE8F" w:rsidR="00D7399F" w:rsidRDefault="00D7399F" w:rsidP="00854AC1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7399F">
        <w:rPr>
          <w:rFonts w:ascii="Times New Roman" w:hAnsi="Times New Roman"/>
          <w:b/>
          <w:sz w:val="24"/>
          <w:szCs w:val="24"/>
        </w:rPr>
        <w:lastRenderedPageBreak/>
        <w:t>RESULTADOS E DISCUSSÃO</w:t>
      </w:r>
    </w:p>
    <w:p w14:paraId="477EAF6F" w14:textId="77777777" w:rsidR="00D7399F" w:rsidRDefault="00D7399F" w:rsidP="00854AC1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1D0A37" w14:textId="727C97A2" w:rsidR="0065728B" w:rsidRPr="0065728B" w:rsidRDefault="008B40F8" w:rsidP="00854AC1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alinhamento realizado </w:t>
      </w:r>
      <w:r w:rsidR="00CA63A2">
        <w:rPr>
          <w:rFonts w:ascii="Times New Roman" w:hAnsi="Times New Roman"/>
          <w:sz w:val="24"/>
          <w:szCs w:val="24"/>
        </w:rPr>
        <w:t>demonstrou</w:t>
      </w:r>
      <w:r>
        <w:rPr>
          <w:rFonts w:ascii="Times New Roman" w:hAnsi="Times New Roman"/>
          <w:sz w:val="24"/>
          <w:szCs w:val="24"/>
        </w:rPr>
        <w:t xml:space="preserve"> altas taxas de confiabilidade e identidade</w:t>
      </w:r>
      <w:r w:rsidR="00CA63A2">
        <w:rPr>
          <w:rFonts w:ascii="Times New Roman" w:hAnsi="Times New Roman"/>
          <w:sz w:val="24"/>
          <w:szCs w:val="24"/>
        </w:rPr>
        <w:t>.</w:t>
      </w:r>
      <w:r w:rsidR="004476B6">
        <w:rPr>
          <w:rFonts w:ascii="Times New Roman" w:hAnsi="Times New Roman"/>
          <w:sz w:val="24"/>
          <w:szCs w:val="24"/>
        </w:rPr>
        <w:t xml:space="preserve"> </w:t>
      </w:r>
      <w:r w:rsidR="00CA63A2">
        <w:rPr>
          <w:rFonts w:ascii="Times New Roman" w:hAnsi="Times New Roman"/>
          <w:sz w:val="24"/>
          <w:szCs w:val="24"/>
        </w:rPr>
        <w:t>A</w:t>
      </w:r>
      <w:r w:rsidR="0065728B" w:rsidRPr="0065728B">
        <w:rPr>
          <w:rFonts w:ascii="Times New Roman" w:hAnsi="Times New Roman"/>
          <w:sz w:val="24"/>
          <w:szCs w:val="24"/>
        </w:rPr>
        <w:t>s informações do alinhamento local básico estão descritas na tabela 1</w:t>
      </w:r>
      <w:r w:rsidR="00B96BF6">
        <w:rPr>
          <w:rFonts w:ascii="Times New Roman" w:hAnsi="Times New Roman"/>
          <w:sz w:val="24"/>
          <w:szCs w:val="24"/>
        </w:rPr>
        <w:t>.</w:t>
      </w:r>
      <w:r w:rsidR="0065728B" w:rsidRPr="0065728B">
        <w:rPr>
          <w:rFonts w:ascii="Times New Roman" w:hAnsi="Times New Roman"/>
          <w:sz w:val="24"/>
          <w:szCs w:val="24"/>
        </w:rPr>
        <w:t xml:space="preserve"> </w:t>
      </w:r>
    </w:p>
    <w:p w14:paraId="7CE7272C" w14:textId="4AD6BDCB" w:rsidR="00C21D09" w:rsidRDefault="00C21D09" w:rsidP="00854A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7062A12" w14:textId="169701C5" w:rsidR="0065728B" w:rsidRPr="0048299B" w:rsidRDefault="007E6945" w:rsidP="00854A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Tabela 1.</w:t>
      </w:r>
      <w:r w:rsidR="0065728B" w:rsidRPr="0048299B">
        <w:rPr>
          <w:rFonts w:ascii="Times New Roman" w:hAnsi="Times New Roman"/>
          <w:sz w:val="24"/>
          <w:szCs w:val="24"/>
        </w:rPr>
        <w:t xml:space="preserve"> Dados sobre o alinhamento local básico</w:t>
      </w:r>
      <w:r w:rsidR="00B96BF6">
        <w:rPr>
          <w:rFonts w:ascii="Times New Roman" w:hAnsi="Times New Roman"/>
          <w:sz w:val="24"/>
          <w:szCs w:val="24"/>
        </w:rPr>
        <w:t xml:space="preserve"> com valores de e-value, p-ident e respectivos números de identificação (ID) no NCBI</w:t>
      </w:r>
      <w:r w:rsidR="00B96BF6">
        <w:rPr>
          <w:rStyle w:val="nfase"/>
          <w:rFonts w:ascii="Arial" w:hAnsi="Arial" w:cs="Arial"/>
          <w:b/>
          <w:bCs/>
          <w:i w:val="0"/>
          <w:iCs w:val="0"/>
          <w:color w:val="6A6A6A"/>
          <w:sz w:val="21"/>
          <w:szCs w:val="21"/>
          <w:shd w:val="clear" w:color="auto" w:fill="FFFFFF"/>
        </w:rPr>
        <w:t>.</w:t>
      </w:r>
    </w:p>
    <w:tbl>
      <w:tblPr>
        <w:tblW w:w="90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1006"/>
        <w:gridCol w:w="425"/>
        <w:gridCol w:w="1163"/>
        <w:gridCol w:w="2915"/>
      </w:tblGrid>
      <w:tr w:rsidR="00143FCB" w:rsidRPr="0026260F" w14:paraId="3AC37F55" w14:textId="77777777" w:rsidTr="00143FCB">
        <w:trPr>
          <w:trHeight w:val="340"/>
          <w:jc w:val="center"/>
        </w:trPr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8AA0A" w14:textId="77777777" w:rsidR="00143FCB" w:rsidRPr="0026260F" w:rsidRDefault="00143FCB" w:rsidP="00854AC1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6260F">
              <w:rPr>
                <w:rFonts w:ascii="Times New Roman" w:hAnsi="Times New Roman"/>
              </w:rPr>
              <w:t>Espécie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00FA3" w14:textId="77777777" w:rsidR="00143FCB" w:rsidRPr="0026260F" w:rsidRDefault="00143FCB" w:rsidP="00854AC1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6260F">
              <w:rPr>
                <w:rFonts w:ascii="Times New Roman" w:hAnsi="Times New Roman"/>
              </w:rPr>
              <w:t>e-value¹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949710" w14:textId="77777777" w:rsidR="00143FCB" w:rsidRPr="0026260F" w:rsidRDefault="00143FCB" w:rsidP="00854AC1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41926" w14:textId="77777777" w:rsidR="00143FCB" w:rsidRPr="0026260F" w:rsidRDefault="00143FCB" w:rsidP="00854AC1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6260F">
              <w:rPr>
                <w:rFonts w:ascii="Times New Roman" w:hAnsi="Times New Roman"/>
              </w:rPr>
              <w:t>p-ident²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5CCED" w14:textId="77777777" w:rsidR="00143FCB" w:rsidRPr="0026260F" w:rsidRDefault="00143FCB" w:rsidP="00854AC1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6260F">
              <w:rPr>
                <w:rFonts w:ascii="Times New Roman" w:hAnsi="Times New Roman"/>
              </w:rPr>
              <w:t>ID</w:t>
            </w:r>
          </w:p>
        </w:tc>
      </w:tr>
      <w:tr w:rsidR="00143FCB" w:rsidRPr="0026260F" w14:paraId="6515B5E5" w14:textId="77777777" w:rsidTr="00143FCB">
        <w:trPr>
          <w:trHeight w:val="300"/>
          <w:jc w:val="center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8B48B" w14:textId="77777777" w:rsidR="00143FCB" w:rsidRPr="0026260F" w:rsidRDefault="00143FCB" w:rsidP="00854AC1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6260F">
              <w:rPr>
                <w:rFonts w:ascii="Times New Roman" w:hAnsi="Times New Roman"/>
                <w:i/>
                <w:iCs/>
              </w:rPr>
              <w:t>Solanum lycopersicum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34270" w14:textId="77777777" w:rsidR="00143FCB" w:rsidRPr="0026260F" w:rsidRDefault="00143FCB" w:rsidP="00854AC1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6260F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188ABF6" w14:textId="77777777" w:rsidR="00143FCB" w:rsidRPr="0026260F" w:rsidRDefault="00143FCB" w:rsidP="00854AC1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9DE26" w14:textId="77777777" w:rsidR="00143FCB" w:rsidRPr="0026260F" w:rsidRDefault="00143FCB" w:rsidP="00854AC1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6260F">
              <w:rPr>
                <w:rFonts w:ascii="Times New Roman" w:hAnsi="Times New Roman"/>
              </w:rPr>
              <w:t>-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C3337" w14:textId="77777777" w:rsidR="00143FCB" w:rsidRPr="0026260F" w:rsidRDefault="00143FCB" w:rsidP="00854AC1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6260F">
              <w:rPr>
                <w:rFonts w:ascii="Times New Roman" w:hAnsi="Times New Roman"/>
              </w:rPr>
              <w:t>NP_001296998.1</w:t>
            </w:r>
          </w:p>
        </w:tc>
      </w:tr>
      <w:tr w:rsidR="00143FCB" w:rsidRPr="0026260F" w14:paraId="42B80720" w14:textId="77777777" w:rsidTr="00143FCB">
        <w:trPr>
          <w:trHeight w:val="300"/>
          <w:jc w:val="center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00835" w14:textId="77777777" w:rsidR="00143FCB" w:rsidRPr="0026260F" w:rsidRDefault="00143FCB" w:rsidP="00854AC1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6260F">
              <w:rPr>
                <w:rFonts w:ascii="Times New Roman" w:hAnsi="Times New Roman"/>
                <w:i/>
                <w:iCs/>
              </w:rPr>
              <w:t>Solanum pimpinellifolium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78FF3" w14:textId="77777777" w:rsidR="00143FCB" w:rsidRPr="0026260F" w:rsidRDefault="00143FCB" w:rsidP="00854AC1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6260F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8DA4E0B" w14:textId="77777777" w:rsidR="00143FCB" w:rsidRPr="0026260F" w:rsidRDefault="00143FCB" w:rsidP="00854AC1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0E412" w14:textId="77777777" w:rsidR="00143FCB" w:rsidRPr="0026260F" w:rsidRDefault="00143FCB" w:rsidP="00854AC1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6260F">
              <w:rPr>
                <w:rFonts w:ascii="Times New Roman" w:hAnsi="Times New Roman"/>
              </w:rPr>
              <w:t>100%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A6BD8" w14:textId="77777777" w:rsidR="00143FCB" w:rsidRPr="0026260F" w:rsidRDefault="00143FCB" w:rsidP="00854AC1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6260F">
              <w:rPr>
                <w:rFonts w:ascii="Times New Roman" w:hAnsi="Times New Roman"/>
              </w:rPr>
              <w:t>Sopim05g051850</w:t>
            </w:r>
          </w:p>
        </w:tc>
      </w:tr>
      <w:tr w:rsidR="00143FCB" w:rsidRPr="0026260F" w14:paraId="79465D98" w14:textId="77777777" w:rsidTr="00143FCB">
        <w:trPr>
          <w:trHeight w:val="300"/>
          <w:jc w:val="center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61F4F" w14:textId="77777777" w:rsidR="00143FCB" w:rsidRPr="0026260F" w:rsidRDefault="00143FCB" w:rsidP="00854AC1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6260F">
              <w:rPr>
                <w:rFonts w:ascii="Times New Roman" w:hAnsi="Times New Roman"/>
                <w:i/>
                <w:iCs/>
              </w:rPr>
              <w:t>Solanum pennellii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BD486" w14:textId="77777777" w:rsidR="00143FCB" w:rsidRPr="0026260F" w:rsidRDefault="00143FCB" w:rsidP="00854AC1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6260F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7B4BC59" w14:textId="77777777" w:rsidR="00143FCB" w:rsidRPr="0026260F" w:rsidRDefault="00143FCB" w:rsidP="00854AC1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A677F" w14:textId="77777777" w:rsidR="00143FCB" w:rsidRPr="0026260F" w:rsidRDefault="00143FCB" w:rsidP="00854AC1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6260F">
              <w:rPr>
                <w:rFonts w:ascii="Times New Roman" w:hAnsi="Times New Roman"/>
              </w:rPr>
              <w:t>99,80%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1195A" w14:textId="77777777" w:rsidR="00143FCB" w:rsidRPr="0026260F" w:rsidRDefault="00143FCB" w:rsidP="00854AC1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6260F">
              <w:rPr>
                <w:rFonts w:ascii="Times New Roman" w:hAnsi="Times New Roman"/>
              </w:rPr>
              <w:t>XP_015076316.1</w:t>
            </w:r>
          </w:p>
        </w:tc>
      </w:tr>
      <w:tr w:rsidR="00143FCB" w:rsidRPr="0026260F" w14:paraId="582C3BE5" w14:textId="77777777" w:rsidTr="00143FCB">
        <w:trPr>
          <w:trHeight w:val="300"/>
          <w:jc w:val="center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19080" w14:textId="77777777" w:rsidR="00143FCB" w:rsidRPr="0026260F" w:rsidRDefault="00143FCB" w:rsidP="00854AC1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6260F">
              <w:rPr>
                <w:rFonts w:ascii="Times New Roman" w:hAnsi="Times New Roman"/>
                <w:i/>
                <w:iCs/>
              </w:rPr>
              <w:t>Solanum chilense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130C7" w14:textId="77777777" w:rsidR="00143FCB" w:rsidRPr="0026260F" w:rsidRDefault="00143FCB" w:rsidP="00854AC1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6260F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109178F" w14:textId="77777777" w:rsidR="00143FCB" w:rsidRPr="0026260F" w:rsidRDefault="00143FCB" w:rsidP="00854AC1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9BDEA" w14:textId="77777777" w:rsidR="00143FCB" w:rsidRPr="0026260F" w:rsidRDefault="00143FCB" w:rsidP="00854AC1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6260F">
              <w:rPr>
                <w:rFonts w:ascii="Times New Roman" w:hAnsi="Times New Roman"/>
              </w:rPr>
              <w:t>99,80%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7823E" w14:textId="77777777" w:rsidR="00143FCB" w:rsidRPr="0026260F" w:rsidRDefault="00143FCB" w:rsidP="00854AC1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6260F">
              <w:rPr>
                <w:rFonts w:ascii="Times New Roman" w:hAnsi="Times New Roman"/>
              </w:rPr>
              <w:t>TMW85925.1</w:t>
            </w:r>
          </w:p>
        </w:tc>
      </w:tr>
      <w:tr w:rsidR="00143FCB" w:rsidRPr="0026260F" w14:paraId="4DDE6826" w14:textId="77777777" w:rsidTr="00143FCB">
        <w:trPr>
          <w:trHeight w:val="300"/>
          <w:jc w:val="center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2A2F3" w14:textId="77777777" w:rsidR="00143FCB" w:rsidRPr="0026260F" w:rsidRDefault="00143FCB" w:rsidP="00854AC1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6260F">
              <w:rPr>
                <w:rFonts w:ascii="Times New Roman" w:hAnsi="Times New Roman"/>
                <w:i/>
                <w:iCs/>
              </w:rPr>
              <w:t>Solanum tuberosum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20730" w14:textId="77777777" w:rsidR="00143FCB" w:rsidRPr="0026260F" w:rsidRDefault="00143FCB" w:rsidP="00854AC1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6260F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E4A9E24" w14:textId="77777777" w:rsidR="00143FCB" w:rsidRPr="0026260F" w:rsidRDefault="00143FCB" w:rsidP="00854AC1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1C5E3" w14:textId="77777777" w:rsidR="00143FCB" w:rsidRPr="0026260F" w:rsidRDefault="00143FCB" w:rsidP="00854AC1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6260F">
              <w:rPr>
                <w:rFonts w:ascii="Times New Roman" w:hAnsi="Times New Roman"/>
              </w:rPr>
              <w:t>98,82%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16437" w14:textId="77777777" w:rsidR="00143FCB" w:rsidRPr="0026260F" w:rsidRDefault="00143FCB" w:rsidP="00854AC1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6260F">
              <w:rPr>
                <w:rFonts w:ascii="Times New Roman" w:hAnsi="Times New Roman"/>
              </w:rPr>
              <w:t>XP_006366522.1</w:t>
            </w:r>
          </w:p>
        </w:tc>
      </w:tr>
      <w:tr w:rsidR="00143FCB" w:rsidRPr="0026260F" w14:paraId="4B476842" w14:textId="77777777" w:rsidTr="00143FCB">
        <w:trPr>
          <w:trHeight w:val="300"/>
          <w:jc w:val="center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E4F4C" w14:textId="77777777" w:rsidR="00143FCB" w:rsidRPr="0026260F" w:rsidRDefault="00143FCB" w:rsidP="00854AC1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6260F">
              <w:rPr>
                <w:rFonts w:ascii="Times New Roman" w:hAnsi="Times New Roman"/>
                <w:i/>
                <w:iCs/>
              </w:rPr>
              <w:t>Capsicum annuum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4FA1E" w14:textId="77777777" w:rsidR="00143FCB" w:rsidRPr="0026260F" w:rsidRDefault="00143FCB" w:rsidP="00854AC1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6260F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43C0CC4" w14:textId="77777777" w:rsidR="00143FCB" w:rsidRPr="0026260F" w:rsidRDefault="00143FCB" w:rsidP="00854AC1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29A0F" w14:textId="77777777" w:rsidR="00143FCB" w:rsidRPr="0026260F" w:rsidRDefault="00143FCB" w:rsidP="00854AC1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6260F">
              <w:rPr>
                <w:rFonts w:ascii="Times New Roman" w:hAnsi="Times New Roman"/>
              </w:rPr>
              <w:t>96,47%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D3002" w14:textId="77777777" w:rsidR="00143FCB" w:rsidRPr="0026260F" w:rsidRDefault="00143FCB" w:rsidP="00854AC1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6260F">
              <w:rPr>
                <w:rFonts w:ascii="Times New Roman" w:hAnsi="Times New Roman"/>
              </w:rPr>
              <w:t>XP_016573222.1</w:t>
            </w:r>
          </w:p>
        </w:tc>
      </w:tr>
      <w:tr w:rsidR="00143FCB" w:rsidRPr="0026260F" w14:paraId="5563ACF3" w14:textId="77777777" w:rsidTr="00143FCB">
        <w:trPr>
          <w:trHeight w:val="300"/>
          <w:jc w:val="center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79A46" w14:textId="77777777" w:rsidR="00143FCB" w:rsidRPr="0026260F" w:rsidRDefault="00143FCB" w:rsidP="00854AC1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6260F">
              <w:rPr>
                <w:rFonts w:ascii="Times New Roman" w:hAnsi="Times New Roman"/>
                <w:i/>
                <w:iCs/>
              </w:rPr>
              <w:t>Capsicum baccatum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6314B" w14:textId="77777777" w:rsidR="00143FCB" w:rsidRPr="0026260F" w:rsidRDefault="00143FCB" w:rsidP="00854AC1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6260F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B7DD720" w14:textId="77777777" w:rsidR="00143FCB" w:rsidRPr="0026260F" w:rsidRDefault="00143FCB" w:rsidP="00854AC1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A80A" w14:textId="77777777" w:rsidR="00143FCB" w:rsidRPr="0026260F" w:rsidRDefault="00143FCB" w:rsidP="00854AC1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6260F">
              <w:rPr>
                <w:rFonts w:ascii="Times New Roman" w:hAnsi="Times New Roman"/>
              </w:rPr>
              <w:t>96,27%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55111" w14:textId="77777777" w:rsidR="00143FCB" w:rsidRPr="0026260F" w:rsidRDefault="00143FCB" w:rsidP="00854AC1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6260F">
              <w:rPr>
                <w:rFonts w:ascii="Times New Roman" w:hAnsi="Times New Roman"/>
              </w:rPr>
              <w:t>PHT48463.1</w:t>
            </w:r>
          </w:p>
        </w:tc>
      </w:tr>
      <w:tr w:rsidR="00143FCB" w:rsidRPr="0026260F" w14:paraId="24CEDB75" w14:textId="77777777" w:rsidTr="00143FCB">
        <w:trPr>
          <w:trHeight w:val="300"/>
          <w:jc w:val="center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ED3D3" w14:textId="77777777" w:rsidR="00143FCB" w:rsidRPr="0026260F" w:rsidRDefault="00143FCB" w:rsidP="00854AC1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6260F">
              <w:rPr>
                <w:rFonts w:ascii="Times New Roman" w:hAnsi="Times New Roman"/>
                <w:i/>
                <w:iCs/>
              </w:rPr>
              <w:t>Nicotiana tabacum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2590" w14:textId="77777777" w:rsidR="00143FCB" w:rsidRPr="0026260F" w:rsidRDefault="00143FCB" w:rsidP="00854AC1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6260F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24ACBF9" w14:textId="77777777" w:rsidR="00143FCB" w:rsidRPr="0026260F" w:rsidRDefault="00143FCB" w:rsidP="00854AC1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FCDF2" w14:textId="77777777" w:rsidR="00143FCB" w:rsidRPr="0026260F" w:rsidRDefault="00143FCB" w:rsidP="00854AC1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6260F">
              <w:rPr>
                <w:rFonts w:ascii="Times New Roman" w:hAnsi="Times New Roman"/>
              </w:rPr>
              <w:t>94,71%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CA97B" w14:textId="77777777" w:rsidR="00143FCB" w:rsidRPr="0026260F" w:rsidRDefault="00143FCB" w:rsidP="00854AC1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6260F">
              <w:rPr>
                <w:rFonts w:ascii="Times New Roman" w:hAnsi="Times New Roman"/>
              </w:rPr>
              <w:t>NP_001311846.1</w:t>
            </w:r>
          </w:p>
        </w:tc>
      </w:tr>
      <w:tr w:rsidR="00143FCB" w:rsidRPr="0026260F" w14:paraId="469362E7" w14:textId="77777777" w:rsidTr="0026260F">
        <w:trPr>
          <w:trHeight w:val="80"/>
          <w:jc w:val="center"/>
        </w:trPr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5D013" w14:textId="77777777" w:rsidR="00143FCB" w:rsidRPr="0026260F" w:rsidRDefault="00143FCB" w:rsidP="00854AC1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6260F">
              <w:rPr>
                <w:rFonts w:ascii="Times New Roman" w:hAnsi="Times New Roman"/>
                <w:i/>
                <w:iCs/>
              </w:rPr>
              <w:t>Arabidopsis thaliana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C480F" w14:textId="77777777" w:rsidR="00143FCB" w:rsidRPr="0026260F" w:rsidRDefault="00143FCB" w:rsidP="00854AC1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6260F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55B84" w14:textId="77777777" w:rsidR="00143FCB" w:rsidRPr="0026260F" w:rsidRDefault="00143FCB" w:rsidP="00854AC1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4985E" w14:textId="77777777" w:rsidR="00143FCB" w:rsidRPr="0026260F" w:rsidRDefault="00143FCB" w:rsidP="00854AC1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6260F">
              <w:rPr>
                <w:rFonts w:ascii="Times New Roman" w:hAnsi="Times New Roman"/>
              </w:rPr>
              <w:t>89,02%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61795" w14:textId="77777777" w:rsidR="00143FCB" w:rsidRPr="0026260F" w:rsidRDefault="00143FCB" w:rsidP="00854AC1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6260F">
              <w:rPr>
                <w:rFonts w:ascii="Times New Roman" w:hAnsi="Times New Roman"/>
              </w:rPr>
              <w:t>OAO91569.1</w:t>
            </w:r>
          </w:p>
        </w:tc>
      </w:tr>
    </w:tbl>
    <w:p w14:paraId="1F462577" w14:textId="4187D760" w:rsidR="0065728B" w:rsidRPr="0048299B" w:rsidRDefault="0065728B" w:rsidP="00854AC1">
      <w:pPr>
        <w:spacing w:after="0" w:line="276" w:lineRule="auto"/>
        <w:jc w:val="center"/>
        <w:rPr>
          <w:rFonts w:ascii="Times New Roman" w:hAnsi="Times New Roman"/>
        </w:rPr>
      </w:pPr>
      <w:r w:rsidRPr="0048299B">
        <w:rPr>
          <w:rFonts w:ascii="Times New Roman" w:hAnsi="Times New Roman"/>
        </w:rPr>
        <w:t>¹</w:t>
      </w:r>
      <w:r w:rsidR="00854AC1">
        <w:rPr>
          <w:rFonts w:ascii="Times New Roman" w:hAnsi="Times New Roman"/>
        </w:rPr>
        <w:t>probabilidade</w:t>
      </w:r>
      <w:r w:rsidRPr="0048299B">
        <w:rPr>
          <w:rFonts w:ascii="Times New Roman" w:hAnsi="Times New Roman"/>
        </w:rPr>
        <w:t xml:space="preserve"> de alinhamento ao acaso, ²valor em porcentagem dos aminoácidos alinhados</w:t>
      </w:r>
      <w:r w:rsidR="0048299B" w:rsidRPr="0048299B">
        <w:rPr>
          <w:rFonts w:ascii="Times New Roman" w:hAnsi="Times New Roman"/>
        </w:rPr>
        <w:t>.</w:t>
      </w:r>
    </w:p>
    <w:p w14:paraId="61180F22" w14:textId="77777777" w:rsidR="0065728B" w:rsidRPr="0065728B" w:rsidRDefault="0065728B" w:rsidP="00854A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EB789B7" w14:textId="089C6154" w:rsidR="0065728B" w:rsidRPr="0065728B" w:rsidRDefault="0065728B" w:rsidP="00854AC1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728B">
        <w:rPr>
          <w:rFonts w:ascii="Times New Roman" w:hAnsi="Times New Roman"/>
          <w:sz w:val="24"/>
          <w:szCs w:val="24"/>
        </w:rPr>
        <w:t>A análise de domínios conservados</w:t>
      </w:r>
      <w:r w:rsidR="008B40F8">
        <w:rPr>
          <w:rFonts w:ascii="Times New Roman" w:hAnsi="Times New Roman"/>
          <w:sz w:val="24"/>
          <w:szCs w:val="24"/>
        </w:rPr>
        <w:t xml:space="preserve"> no </w:t>
      </w:r>
      <w:r w:rsidR="008B40F8" w:rsidRPr="004476B6">
        <w:rPr>
          <w:rFonts w:ascii="Times New Roman" w:hAnsi="Times New Roman"/>
          <w:i/>
          <w:sz w:val="24"/>
          <w:szCs w:val="24"/>
        </w:rPr>
        <w:t>CDD-Sear</w:t>
      </w:r>
      <w:r w:rsidR="008B40F8">
        <w:rPr>
          <w:rFonts w:ascii="Times New Roman" w:hAnsi="Times New Roman"/>
          <w:sz w:val="24"/>
          <w:szCs w:val="24"/>
        </w:rPr>
        <w:t>ch</w:t>
      </w:r>
      <w:r w:rsidRPr="0065728B">
        <w:rPr>
          <w:rFonts w:ascii="Times New Roman" w:hAnsi="Times New Roman"/>
          <w:sz w:val="24"/>
          <w:szCs w:val="24"/>
        </w:rPr>
        <w:t xml:space="preserve"> confirmou que as proteínas são as mesmas, com funções iguais, tendo como nome alternativo mio-inositol-1-fosfato sintase, com o PSSM-ID 178057, acesso PLN02438, pertencendo à superfamília cl00554.</w:t>
      </w:r>
      <w:r w:rsidR="00CC329E">
        <w:rPr>
          <w:rFonts w:ascii="Times New Roman" w:hAnsi="Times New Roman"/>
          <w:sz w:val="24"/>
          <w:szCs w:val="24"/>
        </w:rPr>
        <w:t xml:space="preserve"> </w:t>
      </w:r>
      <w:r w:rsidRPr="0065728B">
        <w:rPr>
          <w:rFonts w:ascii="Times New Roman" w:hAnsi="Times New Roman"/>
          <w:sz w:val="24"/>
          <w:szCs w:val="24"/>
        </w:rPr>
        <w:t xml:space="preserve">O dendrograma resultante da análise no software MrBayes está </w:t>
      </w:r>
      <w:r w:rsidR="00B96BF6">
        <w:rPr>
          <w:rFonts w:ascii="Times New Roman" w:hAnsi="Times New Roman"/>
          <w:sz w:val="24"/>
          <w:szCs w:val="24"/>
        </w:rPr>
        <w:t>representado</w:t>
      </w:r>
      <w:r w:rsidRPr="0065728B">
        <w:rPr>
          <w:rFonts w:ascii="Times New Roman" w:hAnsi="Times New Roman"/>
          <w:sz w:val="24"/>
          <w:szCs w:val="24"/>
        </w:rPr>
        <w:t xml:space="preserve"> na figura 1.</w:t>
      </w:r>
      <w:r w:rsidR="00977BB6" w:rsidRPr="00977BB6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</w:p>
    <w:p w14:paraId="42E94D36" w14:textId="77777777" w:rsidR="004476B6" w:rsidRDefault="004476B6" w:rsidP="0026260F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6167BD92" w14:textId="26FBFAB5" w:rsidR="00C21D09" w:rsidRDefault="004476B6" w:rsidP="00854AC1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Figura 1</w:t>
      </w:r>
      <w:r w:rsidR="007E694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21D09" w:rsidRPr="00C21D09">
        <w:rPr>
          <w:rFonts w:ascii="Times New Roman" w:hAnsi="Times New Roman"/>
          <w:sz w:val="24"/>
          <w:szCs w:val="24"/>
        </w:rPr>
        <w:t xml:space="preserve">Dendrograma consenso em escala da proteína I3PS dentre espécies de Solanaceae, enraizado em </w:t>
      </w:r>
      <w:r w:rsidR="00C21D09" w:rsidRPr="008B40F8">
        <w:rPr>
          <w:rFonts w:ascii="Times New Roman" w:hAnsi="Times New Roman"/>
          <w:i/>
          <w:iCs/>
          <w:sz w:val="24"/>
          <w:szCs w:val="24"/>
        </w:rPr>
        <w:t>A. thaliana</w:t>
      </w:r>
      <w:r w:rsidR="00C21D09" w:rsidRPr="00C21D09">
        <w:rPr>
          <w:rFonts w:ascii="Times New Roman" w:hAnsi="Times New Roman"/>
          <w:sz w:val="24"/>
          <w:szCs w:val="24"/>
        </w:rPr>
        <w:t>.</w:t>
      </w:r>
    </w:p>
    <w:p w14:paraId="2BCDB38B" w14:textId="0C53A9F0" w:rsidR="0026260F" w:rsidRPr="00C21D09" w:rsidRDefault="00DD792C" w:rsidP="00854AC1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0AB0B3F" wp14:editId="6B8B4820">
            <wp:extent cx="4391025" cy="234721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99"/>
                    <a:stretch/>
                  </pic:blipFill>
                  <pic:spPr bwMode="auto">
                    <a:xfrm>
                      <a:off x="0" y="0"/>
                      <a:ext cx="4430253" cy="236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D97371E" w14:textId="27B003D2" w:rsidR="0065728B" w:rsidRPr="00C21D09" w:rsidRDefault="0065728B" w:rsidP="00854AC1">
      <w:pPr>
        <w:spacing w:after="0" w:line="276" w:lineRule="auto"/>
        <w:jc w:val="center"/>
        <w:rPr>
          <w:rFonts w:ascii="Times New Roman" w:hAnsi="Times New Roman"/>
          <w:sz w:val="20"/>
          <w:szCs w:val="20"/>
        </w:rPr>
      </w:pPr>
      <w:r w:rsidRPr="00C21D09">
        <w:rPr>
          <w:rFonts w:ascii="Times New Roman" w:hAnsi="Times New Roman"/>
          <w:sz w:val="20"/>
          <w:szCs w:val="20"/>
        </w:rPr>
        <w:t xml:space="preserve">*Porcentagens se referem à probabilidade posterior, indicando a confiabilidade do </w:t>
      </w:r>
      <w:r w:rsidR="004476B6">
        <w:rPr>
          <w:rFonts w:ascii="Times New Roman" w:hAnsi="Times New Roman"/>
          <w:sz w:val="20"/>
          <w:szCs w:val="20"/>
        </w:rPr>
        <w:t>ramo</w:t>
      </w:r>
      <w:r w:rsidRPr="00C21D09">
        <w:rPr>
          <w:rFonts w:ascii="Times New Roman" w:hAnsi="Times New Roman"/>
          <w:sz w:val="20"/>
          <w:szCs w:val="20"/>
        </w:rPr>
        <w:t>.</w:t>
      </w:r>
    </w:p>
    <w:p w14:paraId="4D2A3F48" w14:textId="77777777" w:rsidR="0065728B" w:rsidRPr="0065728B" w:rsidRDefault="0065728B" w:rsidP="00854A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8CA8EA3" w14:textId="63B30BD6" w:rsidR="0065728B" w:rsidRPr="0065728B" w:rsidRDefault="0065728B" w:rsidP="00854AC1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728B">
        <w:rPr>
          <w:rFonts w:ascii="Times New Roman" w:hAnsi="Times New Roman"/>
          <w:sz w:val="24"/>
          <w:szCs w:val="24"/>
        </w:rPr>
        <w:t>A partir do dendrograma consenso, pode-se concluir que a árvore gerada é confiável, sendo que a menor probabilidade posterior é de 99,71%, valor alto devido ao tipo de dados utilizados.</w:t>
      </w:r>
      <w:r w:rsidR="0048299B">
        <w:rPr>
          <w:rFonts w:ascii="Times New Roman" w:hAnsi="Times New Roman"/>
          <w:sz w:val="24"/>
          <w:szCs w:val="24"/>
        </w:rPr>
        <w:t xml:space="preserve"> </w:t>
      </w:r>
      <w:r w:rsidRPr="0065728B">
        <w:rPr>
          <w:rFonts w:ascii="Times New Roman" w:hAnsi="Times New Roman"/>
          <w:sz w:val="24"/>
          <w:szCs w:val="24"/>
        </w:rPr>
        <w:t xml:space="preserve">Os </w:t>
      </w:r>
      <w:r w:rsidR="004476B6">
        <w:rPr>
          <w:rFonts w:ascii="Times New Roman" w:hAnsi="Times New Roman"/>
          <w:sz w:val="24"/>
          <w:szCs w:val="24"/>
        </w:rPr>
        <w:t>ramos</w:t>
      </w:r>
      <w:r w:rsidRPr="0065728B">
        <w:rPr>
          <w:rFonts w:ascii="Times New Roman" w:hAnsi="Times New Roman"/>
          <w:sz w:val="24"/>
          <w:szCs w:val="24"/>
        </w:rPr>
        <w:t xml:space="preserve"> gerados demonstram a proximidade entre as proteínas estudadas, sendo agrupadas dentre os nós, as proteínas mais similares entre si</w:t>
      </w:r>
      <w:r>
        <w:rPr>
          <w:rFonts w:ascii="Times New Roman" w:hAnsi="Times New Roman"/>
          <w:sz w:val="24"/>
          <w:szCs w:val="24"/>
        </w:rPr>
        <w:t>.</w:t>
      </w:r>
      <w:r w:rsidR="006F32CE">
        <w:rPr>
          <w:rFonts w:ascii="Times New Roman" w:hAnsi="Times New Roman"/>
          <w:sz w:val="24"/>
          <w:szCs w:val="24"/>
        </w:rPr>
        <w:t xml:space="preserve"> Apesar das proteínas diferirem em alguns aminoácidos, o nível de conservação se mostra alto, devido à agregação apresentada no dendrograma.</w:t>
      </w:r>
    </w:p>
    <w:p w14:paraId="3DCEE91E" w14:textId="77777777" w:rsidR="00D7399F" w:rsidRDefault="00D7399F" w:rsidP="00854A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5D1FEF0" w14:textId="77777777" w:rsidR="00D7399F" w:rsidRPr="00D7399F" w:rsidRDefault="00D7399F" w:rsidP="00854AC1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7399F">
        <w:rPr>
          <w:rFonts w:ascii="Times New Roman" w:hAnsi="Times New Roman"/>
          <w:b/>
          <w:sz w:val="24"/>
          <w:szCs w:val="24"/>
        </w:rPr>
        <w:t>CONCLUSÕES</w:t>
      </w:r>
    </w:p>
    <w:p w14:paraId="242E0B44" w14:textId="77777777" w:rsidR="0061543B" w:rsidRDefault="0061543B" w:rsidP="00854AC1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572ED86" w14:textId="78600308" w:rsidR="00D7399F" w:rsidRDefault="006F32CE" w:rsidP="00854AC1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</w:t>
      </w:r>
      <w:r w:rsidR="0065728B" w:rsidRPr="0065728B">
        <w:rPr>
          <w:rFonts w:ascii="Times New Roman" w:hAnsi="Times New Roman"/>
          <w:sz w:val="24"/>
          <w:szCs w:val="24"/>
        </w:rPr>
        <w:t xml:space="preserve"> possível afirmar que a proteína I3PS</w:t>
      </w:r>
      <w:r w:rsidR="0048299B">
        <w:rPr>
          <w:rFonts w:ascii="Times New Roman" w:hAnsi="Times New Roman"/>
          <w:sz w:val="24"/>
          <w:szCs w:val="24"/>
        </w:rPr>
        <w:t xml:space="preserve"> </w:t>
      </w:r>
      <w:r w:rsidR="0065728B" w:rsidRPr="0065728B">
        <w:rPr>
          <w:rFonts w:ascii="Times New Roman" w:hAnsi="Times New Roman"/>
          <w:sz w:val="24"/>
          <w:szCs w:val="24"/>
        </w:rPr>
        <w:t>é con</w:t>
      </w:r>
      <w:r w:rsidR="00ED2B48">
        <w:rPr>
          <w:rFonts w:ascii="Times New Roman" w:hAnsi="Times New Roman"/>
          <w:sz w:val="24"/>
          <w:szCs w:val="24"/>
        </w:rPr>
        <w:t>s</w:t>
      </w:r>
      <w:r w:rsidR="0065728B" w:rsidRPr="0065728B">
        <w:rPr>
          <w:rFonts w:ascii="Times New Roman" w:hAnsi="Times New Roman"/>
          <w:sz w:val="24"/>
          <w:szCs w:val="24"/>
        </w:rPr>
        <w:t>er</w:t>
      </w:r>
      <w:r w:rsidR="00ED2B48">
        <w:rPr>
          <w:rFonts w:ascii="Times New Roman" w:hAnsi="Times New Roman"/>
          <w:sz w:val="24"/>
          <w:szCs w:val="24"/>
        </w:rPr>
        <w:t>v</w:t>
      </w:r>
      <w:r w:rsidR="0065728B" w:rsidRPr="0065728B">
        <w:rPr>
          <w:rFonts w:ascii="Times New Roman" w:hAnsi="Times New Roman"/>
          <w:sz w:val="24"/>
          <w:szCs w:val="24"/>
        </w:rPr>
        <w:t>ada</w:t>
      </w:r>
      <w:r w:rsidR="0048299B">
        <w:rPr>
          <w:rFonts w:ascii="Times New Roman" w:hAnsi="Times New Roman"/>
          <w:sz w:val="24"/>
          <w:szCs w:val="24"/>
        </w:rPr>
        <w:t xml:space="preserve"> entre </w:t>
      </w:r>
      <w:r w:rsidR="00CF7C8D">
        <w:rPr>
          <w:rFonts w:ascii="Times New Roman" w:hAnsi="Times New Roman"/>
          <w:sz w:val="24"/>
          <w:szCs w:val="24"/>
        </w:rPr>
        <w:t xml:space="preserve">as </w:t>
      </w:r>
      <w:r w:rsidR="00CF7C8D" w:rsidRPr="0065728B">
        <w:rPr>
          <w:rFonts w:ascii="Times New Roman" w:hAnsi="Times New Roman"/>
          <w:sz w:val="24"/>
          <w:szCs w:val="24"/>
        </w:rPr>
        <w:t>espécies de Solanaceae</w:t>
      </w:r>
      <w:r w:rsidR="00CF7C8D">
        <w:rPr>
          <w:rFonts w:ascii="Times New Roman" w:hAnsi="Times New Roman"/>
          <w:sz w:val="24"/>
          <w:szCs w:val="24"/>
        </w:rPr>
        <w:t xml:space="preserve"> </w:t>
      </w:r>
      <w:r w:rsidR="0048299B">
        <w:rPr>
          <w:rFonts w:ascii="Times New Roman" w:hAnsi="Times New Roman"/>
          <w:sz w:val="24"/>
          <w:szCs w:val="24"/>
        </w:rPr>
        <w:t>estudad</w:t>
      </w:r>
      <w:r w:rsidR="00CF7C8D">
        <w:rPr>
          <w:rFonts w:ascii="Times New Roman" w:hAnsi="Times New Roman"/>
          <w:sz w:val="24"/>
          <w:szCs w:val="24"/>
        </w:rPr>
        <w:t>a</w:t>
      </w:r>
      <w:r w:rsidR="0048299B">
        <w:rPr>
          <w:rFonts w:ascii="Times New Roman" w:hAnsi="Times New Roman"/>
          <w:sz w:val="24"/>
          <w:szCs w:val="24"/>
        </w:rPr>
        <w:t>s</w:t>
      </w:r>
      <w:r w:rsidR="00B96BF6">
        <w:rPr>
          <w:rFonts w:ascii="Times New Roman" w:hAnsi="Times New Roman"/>
          <w:sz w:val="24"/>
          <w:szCs w:val="24"/>
        </w:rPr>
        <w:t xml:space="preserve">, possibilitando </w:t>
      </w:r>
      <w:r w:rsidR="0065728B" w:rsidRPr="0065728B">
        <w:rPr>
          <w:rFonts w:ascii="Times New Roman" w:hAnsi="Times New Roman"/>
          <w:sz w:val="24"/>
          <w:szCs w:val="24"/>
        </w:rPr>
        <w:t xml:space="preserve">a construção de um marcador molecular único, </w:t>
      </w:r>
      <w:r w:rsidR="00B96BF6">
        <w:rPr>
          <w:rFonts w:ascii="Times New Roman" w:hAnsi="Times New Roman"/>
          <w:sz w:val="24"/>
          <w:szCs w:val="24"/>
        </w:rPr>
        <w:t>servindo como uma importante ferramenta para</w:t>
      </w:r>
      <w:r w:rsidR="0065728B" w:rsidRPr="0065728B">
        <w:rPr>
          <w:rFonts w:ascii="Times New Roman" w:hAnsi="Times New Roman"/>
          <w:sz w:val="24"/>
          <w:szCs w:val="24"/>
        </w:rPr>
        <w:t xml:space="preserve"> programas de melhoramento</w:t>
      </w:r>
      <w:r w:rsidR="00B96BF6">
        <w:rPr>
          <w:rFonts w:ascii="Times New Roman" w:hAnsi="Times New Roman"/>
          <w:sz w:val="24"/>
          <w:szCs w:val="24"/>
        </w:rPr>
        <w:t xml:space="preserve"> genético</w:t>
      </w:r>
      <w:r w:rsidR="006727DD">
        <w:rPr>
          <w:rFonts w:ascii="Times New Roman" w:hAnsi="Times New Roman"/>
          <w:sz w:val="24"/>
          <w:szCs w:val="24"/>
        </w:rPr>
        <w:t xml:space="preserve"> de hortaliças</w:t>
      </w:r>
      <w:r w:rsidR="00977BB6">
        <w:rPr>
          <w:rFonts w:ascii="Times New Roman" w:hAnsi="Times New Roman"/>
          <w:sz w:val="24"/>
          <w:szCs w:val="24"/>
        </w:rPr>
        <w:t>.</w:t>
      </w:r>
    </w:p>
    <w:p w14:paraId="750EDB88" w14:textId="77777777" w:rsidR="00BB7E9F" w:rsidRDefault="00BB7E9F" w:rsidP="00854A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608F6E7" w14:textId="77777777" w:rsidR="00D7399F" w:rsidRPr="008B5421" w:rsidRDefault="00D7399F" w:rsidP="00854AC1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B5421">
        <w:rPr>
          <w:rFonts w:ascii="Times New Roman" w:hAnsi="Times New Roman"/>
          <w:b/>
          <w:sz w:val="24"/>
          <w:szCs w:val="24"/>
        </w:rPr>
        <w:t>REFERÊNCIAS</w:t>
      </w:r>
    </w:p>
    <w:p w14:paraId="30F4D78E" w14:textId="77777777" w:rsidR="00D7399F" w:rsidRPr="008B5421" w:rsidRDefault="00D7399F" w:rsidP="00854AC1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BFE420C" w14:textId="461B8A51" w:rsidR="0065728B" w:rsidRPr="008B40F8" w:rsidRDefault="00CF7C8D" w:rsidP="00CF7C8D">
      <w:pPr>
        <w:spacing w:before="120" w:after="120" w:line="276" w:lineRule="auto"/>
        <w:rPr>
          <w:rFonts w:ascii="Times New Roman" w:hAnsi="Times New Roman"/>
          <w:sz w:val="23"/>
          <w:szCs w:val="23"/>
        </w:rPr>
      </w:pPr>
      <w:r w:rsidRPr="008B5421">
        <w:rPr>
          <w:rFonts w:ascii="Times New Roman" w:hAnsi="Times New Roman"/>
          <w:sz w:val="23"/>
          <w:szCs w:val="23"/>
        </w:rPr>
        <w:t>ALTSCHUL, S.</w:t>
      </w:r>
      <w:r w:rsidR="0065728B" w:rsidRPr="008B5421">
        <w:rPr>
          <w:rFonts w:ascii="Times New Roman" w:hAnsi="Times New Roman"/>
          <w:sz w:val="23"/>
          <w:szCs w:val="23"/>
        </w:rPr>
        <w:t xml:space="preserve">F. et al. </w:t>
      </w:r>
      <w:r w:rsidR="0065728B" w:rsidRPr="008B40F8">
        <w:rPr>
          <w:rFonts w:ascii="Times New Roman" w:hAnsi="Times New Roman"/>
          <w:sz w:val="23"/>
          <w:szCs w:val="23"/>
          <w:lang w:val="en-US"/>
        </w:rPr>
        <w:t xml:space="preserve">Basic local alignment search tool. </w:t>
      </w:r>
      <w:r w:rsidR="0065728B" w:rsidRPr="008B40F8">
        <w:rPr>
          <w:rFonts w:ascii="Times New Roman" w:hAnsi="Times New Roman"/>
          <w:b/>
          <w:bCs/>
          <w:sz w:val="23"/>
          <w:szCs w:val="23"/>
          <w:lang w:val="en-US"/>
        </w:rPr>
        <w:t>Journal of Molecular Biology</w:t>
      </w:r>
      <w:r w:rsidR="0065728B" w:rsidRPr="008B40F8">
        <w:rPr>
          <w:rFonts w:ascii="Times New Roman" w:hAnsi="Times New Roman"/>
          <w:sz w:val="23"/>
          <w:szCs w:val="23"/>
          <w:lang w:val="en-US"/>
        </w:rPr>
        <w:t xml:space="preserve">, v. 215, n. 3, p. 403–410, 1990. </w:t>
      </w:r>
      <w:r w:rsidR="0065728B" w:rsidRPr="008B40F8">
        <w:rPr>
          <w:rFonts w:ascii="Times New Roman" w:hAnsi="Times New Roman"/>
          <w:sz w:val="23"/>
          <w:szCs w:val="23"/>
        </w:rPr>
        <w:t>Disponível em: &lt;https://www.sciencedirect.com/science/article/pii/S0022283605803602?via%3Dihub&gt;.</w:t>
      </w:r>
    </w:p>
    <w:p w14:paraId="24388992" w14:textId="004B5918" w:rsidR="0065728B" w:rsidRPr="008B40F8" w:rsidRDefault="0065728B" w:rsidP="00CF7C8D">
      <w:pPr>
        <w:spacing w:before="120" w:after="120" w:line="276" w:lineRule="auto"/>
        <w:rPr>
          <w:rFonts w:ascii="Times New Roman" w:hAnsi="Times New Roman"/>
          <w:sz w:val="23"/>
          <w:szCs w:val="23"/>
          <w:lang w:val="en-US"/>
        </w:rPr>
      </w:pPr>
      <w:r w:rsidRPr="008B40F8">
        <w:rPr>
          <w:rFonts w:ascii="Times New Roman" w:hAnsi="Times New Roman"/>
          <w:sz w:val="23"/>
          <w:szCs w:val="23"/>
          <w:lang w:val="en-US"/>
        </w:rPr>
        <w:t>KUMAR, S</w:t>
      </w:r>
      <w:r w:rsidR="00CF7C8D">
        <w:rPr>
          <w:rFonts w:ascii="Times New Roman" w:hAnsi="Times New Roman"/>
          <w:sz w:val="23"/>
          <w:szCs w:val="23"/>
          <w:lang w:val="en-US"/>
        </w:rPr>
        <w:t>.</w:t>
      </w:r>
      <w:r w:rsidRPr="008B40F8">
        <w:rPr>
          <w:rFonts w:ascii="Times New Roman" w:hAnsi="Times New Roman"/>
          <w:sz w:val="23"/>
          <w:szCs w:val="23"/>
          <w:lang w:val="en-US"/>
        </w:rPr>
        <w:t xml:space="preserve"> et al. MEGA X: Molecular evolutionary genetics analysis across computing platforms. </w:t>
      </w:r>
      <w:r w:rsidRPr="008B40F8">
        <w:rPr>
          <w:rFonts w:ascii="Times New Roman" w:hAnsi="Times New Roman"/>
          <w:b/>
          <w:bCs/>
          <w:sz w:val="23"/>
          <w:szCs w:val="23"/>
          <w:lang w:val="en-US"/>
        </w:rPr>
        <w:t>Molecular Biology and Evolution</w:t>
      </w:r>
      <w:r w:rsidRPr="008B40F8">
        <w:rPr>
          <w:rFonts w:ascii="Times New Roman" w:hAnsi="Times New Roman"/>
          <w:sz w:val="23"/>
          <w:szCs w:val="23"/>
          <w:lang w:val="en-US"/>
        </w:rPr>
        <w:t>, v. 35, n. 6, p. 1547–1549, 2018.</w:t>
      </w:r>
    </w:p>
    <w:p w14:paraId="28027D42" w14:textId="009F923E" w:rsidR="0065728B" w:rsidRPr="008B40F8" w:rsidRDefault="0065728B" w:rsidP="00CF7C8D">
      <w:pPr>
        <w:spacing w:before="120" w:after="120" w:line="276" w:lineRule="auto"/>
        <w:rPr>
          <w:rFonts w:ascii="Times New Roman" w:hAnsi="Times New Roman"/>
          <w:sz w:val="23"/>
          <w:szCs w:val="23"/>
          <w:lang w:val="en-US"/>
        </w:rPr>
      </w:pPr>
      <w:r w:rsidRPr="008B40F8">
        <w:rPr>
          <w:rFonts w:ascii="Times New Roman" w:hAnsi="Times New Roman"/>
          <w:sz w:val="23"/>
          <w:szCs w:val="23"/>
          <w:lang w:val="en-US"/>
        </w:rPr>
        <w:t>MARCHLER-BAUER, A</w:t>
      </w:r>
      <w:r w:rsidR="00CF7C8D">
        <w:rPr>
          <w:rFonts w:ascii="Times New Roman" w:hAnsi="Times New Roman"/>
          <w:sz w:val="23"/>
          <w:szCs w:val="23"/>
          <w:lang w:val="en-US"/>
        </w:rPr>
        <w:t>.</w:t>
      </w:r>
      <w:r w:rsidRPr="008B40F8">
        <w:rPr>
          <w:rFonts w:ascii="Times New Roman" w:hAnsi="Times New Roman"/>
          <w:sz w:val="23"/>
          <w:szCs w:val="23"/>
          <w:lang w:val="en-US"/>
        </w:rPr>
        <w:t xml:space="preserve"> et al. CDD/SPARCLE: Functional classification of proteins via subfamily domain architectures. </w:t>
      </w:r>
      <w:r w:rsidRPr="008B40F8">
        <w:rPr>
          <w:rFonts w:ascii="Times New Roman" w:hAnsi="Times New Roman"/>
          <w:b/>
          <w:bCs/>
          <w:sz w:val="23"/>
          <w:szCs w:val="23"/>
          <w:lang w:val="en-US"/>
        </w:rPr>
        <w:t>Nucleic Acids Research</w:t>
      </w:r>
      <w:r w:rsidRPr="008B40F8">
        <w:rPr>
          <w:rFonts w:ascii="Times New Roman" w:hAnsi="Times New Roman"/>
          <w:sz w:val="23"/>
          <w:szCs w:val="23"/>
          <w:lang w:val="en-US"/>
        </w:rPr>
        <w:t>, v. 45, n. D1, p. D200–D203, 2017.</w:t>
      </w:r>
    </w:p>
    <w:p w14:paraId="028C10F1" w14:textId="51BC8E97" w:rsidR="0065728B" w:rsidRPr="008B40F8" w:rsidRDefault="0065728B" w:rsidP="00CF7C8D">
      <w:pPr>
        <w:spacing w:before="120" w:after="120" w:line="276" w:lineRule="auto"/>
        <w:rPr>
          <w:rFonts w:ascii="Times New Roman" w:hAnsi="Times New Roman"/>
          <w:sz w:val="23"/>
          <w:szCs w:val="23"/>
          <w:lang w:val="en-US"/>
        </w:rPr>
      </w:pPr>
      <w:r w:rsidRPr="008B40F8">
        <w:rPr>
          <w:rFonts w:ascii="Times New Roman" w:hAnsi="Times New Roman"/>
          <w:sz w:val="23"/>
          <w:szCs w:val="23"/>
          <w:lang w:val="en-US"/>
        </w:rPr>
        <w:t>RAZALI, R</w:t>
      </w:r>
      <w:r w:rsidR="00CF7C8D">
        <w:rPr>
          <w:rFonts w:ascii="Times New Roman" w:hAnsi="Times New Roman"/>
          <w:sz w:val="23"/>
          <w:szCs w:val="23"/>
          <w:lang w:val="en-US"/>
        </w:rPr>
        <w:t>.</w:t>
      </w:r>
      <w:r w:rsidRPr="008B40F8">
        <w:rPr>
          <w:rFonts w:ascii="Times New Roman" w:hAnsi="Times New Roman"/>
          <w:sz w:val="23"/>
          <w:szCs w:val="23"/>
          <w:lang w:val="en-US"/>
        </w:rPr>
        <w:t xml:space="preserve"> et al. The genome sequence of the wild tomato</w:t>
      </w:r>
      <w:r w:rsidRPr="008B40F8">
        <w:rPr>
          <w:rFonts w:ascii="Times New Roman" w:hAnsi="Times New Roman"/>
          <w:i/>
          <w:iCs/>
          <w:sz w:val="23"/>
          <w:szCs w:val="23"/>
          <w:lang w:val="en-US"/>
        </w:rPr>
        <w:t xml:space="preserve"> </w:t>
      </w:r>
      <w:r w:rsidR="00C21D09" w:rsidRPr="008B40F8">
        <w:rPr>
          <w:rFonts w:ascii="Times New Roman" w:hAnsi="Times New Roman"/>
          <w:i/>
          <w:iCs/>
          <w:sz w:val="23"/>
          <w:szCs w:val="23"/>
          <w:lang w:val="en-US"/>
        </w:rPr>
        <w:t>S</w:t>
      </w:r>
      <w:r w:rsidRPr="008B40F8">
        <w:rPr>
          <w:rFonts w:ascii="Times New Roman" w:hAnsi="Times New Roman"/>
          <w:i/>
          <w:iCs/>
          <w:sz w:val="23"/>
          <w:szCs w:val="23"/>
          <w:lang w:val="en-US"/>
        </w:rPr>
        <w:t xml:space="preserve">olanum pimpinellifolium </w:t>
      </w:r>
      <w:r w:rsidRPr="008B40F8">
        <w:rPr>
          <w:rFonts w:ascii="Times New Roman" w:hAnsi="Times New Roman"/>
          <w:sz w:val="23"/>
          <w:szCs w:val="23"/>
          <w:lang w:val="en-US"/>
        </w:rPr>
        <w:t xml:space="preserve">provides insights into salinity tolerance. </w:t>
      </w:r>
      <w:r w:rsidRPr="008B40F8">
        <w:rPr>
          <w:rFonts w:ascii="Times New Roman" w:hAnsi="Times New Roman"/>
          <w:b/>
          <w:bCs/>
          <w:sz w:val="23"/>
          <w:szCs w:val="23"/>
          <w:lang w:val="en-US"/>
        </w:rPr>
        <w:t>Frontiers in Plant Science</w:t>
      </w:r>
      <w:r w:rsidRPr="008B40F8">
        <w:rPr>
          <w:rFonts w:ascii="Times New Roman" w:hAnsi="Times New Roman"/>
          <w:sz w:val="23"/>
          <w:szCs w:val="23"/>
          <w:lang w:val="en-US"/>
        </w:rPr>
        <w:t>, v. 9, 4 out. 2018.</w:t>
      </w:r>
    </w:p>
    <w:p w14:paraId="5272975C" w14:textId="074021E8" w:rsidR="0065728B" w:rsidRPr="008B40F8" w:rsidRDefault="0065728B" w:rsidP="00CF7C8D">
      <w:pPr>
        <w:spacing w:before="120" w:after="120" w:line="276" w:lineRule="auto"/>
        <w:rPr>
          <w:rFonts w:ascii="Times New Roman" w:hAnsi="Times New Roman"/>
          <w:sz w:val="23"/>
          <w:szCs w:val="23"/>
          <w:lang w:val="en-US"/>
        </w:rPr>
      </w:pPr>
      <w:r w:rsidRPr="008B40F8">
        <w:rPr>
          <w:rFonts w:ascii="Times New Roman" w:hAnsi="Times New Roman"/>
          <w:sz w:val="23"/>
          <w:szCs w:val="23"/>
          <w:lang w:val="en-US"/>
        </w:rPr>
        <w:t>RONQUIST, F</w:t>
      </w:r>
      <w:r w:rsidR="00CF7C8D">
        <w:rPr>
          <w:rFonts w:ascii="Times New Roman" w:hAnsi="Times New Roman"/>
          <w:sz w:val="23"/>
          <w:szCs w:val="23"/>
          <w:lang w:val="en-US"/>
        </w:rPr>
        <w:t>.;</w:t>
      </w:r>
      <w:r w:rsidRPr="008B40F8">
        <w:rPr>
          <w:rFonts w:ascii="Times New Roman" w:hAnsi="Times New Roman"/>
          <w:sz w:val="23"/>
          <w:szCs w:val="23"/>
          <w:lang w:val="en-US"/>
        </w:rPr>
        <w:t xml:space="preserve"> HUELSENBECK, J</w:t>
      </w:r>
      <w:r w:rsidR="00CF7C8D">
        <w:rPr>
          <w:rFonts w:ascii="Times New Roman" w:hAnsi="Times New Roman"/>
          <w:sz w:val="23"/>
          <w:szCs w:val="23"/>
          <w:lang w:val="en-US"/>
        </w:rPr>
        <w:t>.</w:t>
      </w:r>
      <w:r w:rsidRPr="008B40F8">
        <w:rPr>
          <w:rFonts w:ascii="Times New Roman" w:hAnsi="Times New Roman"/>
          <w:sz w:val="23"/>
          <w:szCs w:val="23"/>
          <w:lang w:val="en-US"/>
        </w:rPr>
        <w:t xml:space="preserve"> P. MrBayes 3: Bayesian phylogenetic inference under mixed models. </w:t>
      </w:r>
      <w:r w:rsidRPr="008B40F8">
        <w:rPr>
          <w:rFonts w:ascii="Times New Roman" w:hAnsi="Times New Roman"/>
          <w:b/>
          <w:bCs/>
          <w:sz w:val="23"/>
          <w:szCs w:val="23"/>
          <w:lang w:val="en-US"/>
        </w:rPr>
        <w:t>Bioinformatics</w:t>
      </w:r>
      <w:r w:rsidRPr="008B40F8">
        <w:rPr>
          <w:rFonts w:ascii="Times New Roman" w:hAnsi="Times New Roman"/>
          <w:sz w:val="23"/>
          <w:szCs w:val="23"/>
          <w:lang w:val="en-US"/>
        </w:rPr>
        <w:t>, v. 19, n. 12, p. 1572–1574, 2003.</w:t>
      </w:r>
    </w:p>
    <w:p w14:paraId="11258BE7" w14:textId="5DC799DF" w:rsidR="0061543B" w:rsidRPr="008B40F8" w:rsidRDefault="0065728B" w:rsidP="00CF7C8D">
      <w:pPr>
        <w:spacing w:before="120" w:after="120" w:line="276" w:lineRule="auto"/>
        <w:rPr>
          <w:rFonts w:ascii="Times New Roman" w:hAnsi="Times New Roman"/>
          <w:sz w:val="23"/>
          <w:szCs w:val="23"/>
          <w:lang w:val="en-US"/>
        </w:rPr>
      </w:pPr>
      <w:r w:rsidRPr="008B40F8">
        <w:rPr>
          <w:rFonts w:ascii="Times New Roman" w:hAnsi="Times New Roman"/>
          <w:sz w:val="23"/>
          <w:szCs w:val="23"/>
          <w:lang w:val="en-US"/>
        </w:rPr>
        <w:t>SINGH, J</w:t>
      </w:r>
      <w:r w:rsidR="00CF7C8D">
        <w:rPr>
          <w:rFonts w:ascii="Times New Roman" w:hAnsi="Times New Roman"/>
          <w:sz w:val="23"/>
          <w:szCs w:val="23"/>
          <w:lang w:val="en-US"/>
        </w:rPr>
        <w:t>.</w:t>
      </w:r>
      <w:r w:rsidRPr="008B40F8">
        <w:rPr>
          <w:rFonts w:ascii="Times New Roman" w:hAnsi="Times New Roman"/>
          <w:sz w:val="23"/>
          <w:szCs w:val="23"/>
          <w:lang w:val="en-US"/>
        </w:rPr>
        <w:t>; SASTRY, E. V.</w:t>
      </w:r>
      <w:r w:rsidR="00854AC1" w:rsidRPr="008B40F8">
        <w:rPr>
          <w:rFonts w:ascii="Times New Roman" w:hAnsi="Times New Roman"/>
          <w:sz w:val="23"/>
          <w:szCs w:val="23"/>
          <w:lang w:val="en-US"/>
        </w:rPr>
        <w:t xml:space="preserve"> </w:t>
      </w:r>
      <w:r w:rsidRPr="008B40F8">
        <w:rPr>
          <w:rFonts w:ascii="Times New Roman" w:hAnsi="Times New Roman"/>
          <w:sz w:val="23"/>
          <w:szCs w:val="23"/>
          <w:lang w:val="en-US"/>
        </w:rPr>
        <w:t>D</w:t>
      </w:r>
      <w:r w:rsidR="00CF7C8D">
        <w:rPr>
          <w:rFonts w:ascii="Times New Roman" w:hAnsi="Times New Roman"/>
          <w:sz w:val="23"/>
          <w:szCs w:val="23"/>
          <w:lang w:val="en-US"/>
        </w:rPr>
        <w:t>.</w:t>
      </w:r>
      <w:r w:rsidRPr="008B40F8">
        <w:rPr>
          <w:rFonts w:ascii="Times New Roman" w:hAnsi="Times New Roman"/>
          <w:sz w:val="23"/>
          <w:szCs w:val="23"/>
          <w:lang w:val="en-US"/>
        </w:rPr>
        <w:t>; SINGH, V</w:t>
      </w:r>
      <w:r w:rsidR="00CF7C8D">
        <w:rPr>
          <w:rFonts w:ascii="Times New Roman" w:hAnsi="Times New Roman"/>
          <w:sz w:val="23"/>
          <w:szCs w:val="23"/>
          <w:lang w:val="en-US"/>
        </w:rPr>
        <w:t>.</w:t>
      </w:r>
      <w:r w:rsidRPr="008B40F8">
        <w:rPr>
          <w:rFonts w:ascii="Times New Roman" w:hAnsi="Times New Roman"/>
          <w:sz w:val="23"/>
          <w:szCs w:val="23"/>
          <w:lang w:val="en-US"/>
        </w:rPr>
        <w:t xml:space="preserve"> Effect of salinity on tomato (</w:t>
      </w:r>
      <w:r w:rsidRPr="008B40F8">
        <w:rPr>
          <w:rFonts w:ascii="Times New Roman" w:hAnsi="Times New Roman"/>
          <w:i/>
          <w:iCs/>
          <w:sz w:val="23"/>
          <w:szCs w:val="23"/>
          <w:lang w:val="en-US"/>
        </w:rPr>
        <w:t>Lycopersicon</w:t>
      </w:r>
      <w:r w:rsidRPr="008B40F8">
        <w:rPr>
          <w:rFonts w:ascii="Times New Roman" w:hAnsi="Times New Roman"/>
          <w:sz w:val="23"/>
          <w:szCs w:val="23"/>
          <w:lang w:val="en-US"/>
        </w:rPr>
        <w:t xml:space="preserve"> </w:t>
      </w:r>
      <w:r w:rsidRPr="008B40F8">
        <w:rPr>
          <w:rFonts w:ascii="Times New Roman" w:hAnsi="Times New Roman"/>
          <w:i/>
          <w:iCs/>
          <w:sz w:val="23"/>
          <w:szCs w:val="23"/>
          <w:lang w:val="en-US"/>
        </w:rPr>
        <w:t>esculentum</w:t>
      </w:r>
      <w:r w:rsidRPr="008B40F8">
        <w:rPr>
          <w:rFonts w:ascii="Times New Roman" w:hAnsi="Times New Roman"/>
          <w:sz w:val="23"/>
          <w:szCs w:val="23"/>
          <w:lang w:val="en-US"/>
        </w:rPr>
        <w:t xml:space="preserve"> Mill.) during seed germination stage. </w:t>
      </w:r>
      <w:r w:rsidRPr="008B40F8">
        <w:rPr>
          <w:rFonts w:ascii="Times New Roman" w:hAnsi="Times New Roman"/>
          <w:b/>
          <w:bCs/>
          <w:sz w:val="23"/>
          <w:szCs w:val="23"/>
          <w:lang w:val="en-US"/>
        </w:rPr>
        <w:t>Physiology and Molecular Biology of Plants</w:t>
      </w:r>
      <w:r w:rsidRPr="008B40F8">
        <w:rPr>
          <w:rFonts w:ascii="Times New Roman" w:hAnsi="Times New Roman"/>
          <w:sz w:val="23"/>
          <w:szCs w:val="23"/>
          <w:lang w:val="en-US"/>
        </w:rPr>
        <w:t>, v. 18, n. 1, p. 45–50, 2012.</w:t>
      </w:r>
    </w:p>
    <w:p w14:paraId="6874E17A" w14:textId="77777777" w:rsidR="00143FCB" w:rsidRPr="008B40F8" w:rsidRDefault="00143FCB" w:rsidP="00CF7C8D">
      <w:pPr>
        <w:spacing w:before="120" w:after="120" w:line="276" w:lineRule="auto"/>
        <w:rPr>
          <w:rFonts w:ascii="Times New Roman" w:hAnsi="Times New Roman"/>
          <w:sz w:val="23"/>
          <w:szCs w:val="23"/>
        </w:rPr>
      </w:pPr>
      <w:r w:rsidRPr="008B40F8">
        <w:rPr>
          <w:rFonts w:ascii="Times New Roman" w:hAnsi="Times New Roman"/>
          <w:sz w:val="23"/>
          <w:szCs w:val="23"/>
          <w:lang w:val="en-US"/>
        </w:rPr>
        <w:t xml:space="preserve">TRANI, P. E. et al. </w:t>
      </w:r>
      <w:r w:rsidRPr="008B40F8">
        <w:rPr>
          <w:rFonts w:ascii="Times New Roman" w:hAnsi="Times New Roman"/>
          <w:sz w:val="23"/>
          <w:szCs w:val="23"/>
        </w:rPr>
        <w:t xml:space="preserve">Calagem e Adubação do Tomate de Mesa. </w:t>
      </w:r>
      <w:r w:rsidRPr="008B40F8">
        <w:rPr>
          <w:rFonts w:ascii="Times New Roman" w:hAnsi="Times New Roman"/>
          <w:b/>
          <w:bCs/>
          <w:sz w:val="23"/>
          <w:szCs w:val="23"/>
        </w:rPr>
        <w:t>Boletim Técnico IAC</w:t>
      </w:r>
      <w:r w:rsidRPr="008B40F8">
        <w:rPr>
          <w:rFonts w:ascii="Times New Roman" w:hAnsi="Times New Roman"/>
          <w:sz w:val="23"/>
          <w:szCs w:val="23"/>
        </w:rPr>
        <w:t>, Campinas, n. 215, 2015. ISSN 1809-7936.</w:t>
      </w:r>
    </w:p>
    <w:sectPr w:rsidR="00143FCB" w:rsidRPr="008B40F8" w:rsidSect="00854AC1">
      <w:headerReference w:type="default" r:id="rId8"/>
      <w:pgSz w:w="11906" w:h="16838" w:code="9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EFD1F" w14:textId="77777777" w:rsidR="00672CC1" w:rsidRDefault="00672CC1" w:rsidP="009E3693">
      <w:pPr>
        <w:spacing w:after="0" w:line="240" w:lineRule="auto"/>
      </w:pPr>
      <w:r>
        <w:separator/>
      </w:r>
    </w:p>
  </w:endnote>
  <w:endnote w:type="continuationSeparator" w:id="0">
    <w:p w14:paraId="3F05F950" w14:textId="77777777" w:rsidR="00672CC1" w:rsidRDefault="00672CC1" w:rsidP="009E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95726" w14:textId="77777777" w:rsidR="00672CC1" w:rsidRDefault="00672CC1" w:rsidP="009E3693">
      <w:pPr>
        <w:spacing w:after="0" w:line="240" w:lineRule="auto"/>
      </w:pPr>
      <w:r>
        <w:separator/>
      </w:r>
    </w:p>
  </w:footnote>
  <w:footnote w:type="continuationSeparator" w:id="0">
    <w:p w14:paraId="51071E87" w14:textId="77777777" w:rsidR="00672CC1" w:rsidRDefault="00672CC1" w:rsidP="009E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D8D49" w14:textId="57B6B401" w:rsidR="0028395B" w:rsidRPr="00A24AC9" w:rsidRDefault="00854AC1" w:rsidP="00A24AC9">
    <w:pPr>
      <w:pStyle w:val="Cabealho"/>
    </w:pPr>
    <w:r>
      <w:rPr>
        <w:noProof/>
        <w:lang w:eastAsia="pt-BR"/>
      </w:rPr>
      <w:drawing>
        <wp:inline distT="0" distB="0" distL="0" distR="0" wp14:anchorId="01569E8C" wp14:editId="6F2774BF">
          <wp:extent cx="5400675" cy="1666875"/>
          <wp:effectExtent l="0" t="0" r="0" b="0"/>
          <wp:docPr id="4" name="Imagem 4" descr="WhatsApp Image 2019-06-28 a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atsApp Image 2019-06-28 at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93"/>
    <w:rsid w:val="00071664"/>
    <w:rsid w:val="00081FC2"/>
    <w:rsid w:val="00095C9F"/>
    <w:rsid w:val="000C6E95"/>
    <w:rsid w:val="00143FCB"/>
    <w:rsid w:val="00184722"/>
    <w:rsid w:val="00221E94"/>
    <w:rsid w:val="0026260F"/>
    <w:rsid w:val="0028395B"/>
    <w:rsid w:val="00317CB5"/>
    <w:rsid w:val="00332D4E"/>
    <w:rsid w:val="003D161E"/>
    <w:rsid w:val="004036AD"/>
    <w:rsid w:val="004476B6"/>
    <w:rsid w:val="00473A38"/>
    <w:rsid w:val="0048263F"/>
    <w:rsid w:val="0048299B"/>
    <w:rsid w:val="004B3F2A"/>
    <w:rsid w:val="005035D6"/>
    <w:rsid w:val="005048A9"/>
    <w:rsid w:val="0061543B"/>
    <w:rsid w:val="0065728B"/>
    <w:rsid w:val="006678D0"/>
    <w:rsid w:val="006727DD"/>
    <w:rsid w:val="00672CC1"/>
    <w:rsid w:val="006B6285"/>
    <w:rsid w:val="006F32CE"/>
    <w:rsid w:val="00713A76"/>
    <w:rsid w:val="007C529E"/>
    <w:rsid w:val="007D36FF"/>
    <w:rsid w:val="007E6945"/>
    <w:rsid w:val="007E7CB8"/>
    <w:rsid w:val="00854AC1"/>
    <w:rsid w:val="008B40F8"/>
    <w:rsid w:val="008B5421"/>
    <w:rsid w:val="00927B93"/>
    <w:rsid w:val="00970DDA"/>
    <w:rsid w:val="00977BB6"/>
    <w:rsid w:val="009A3B83"/>
    <w:rsid w:val="009C1C86"/>
    <w:rsid w:val="009E3693"/>
    <w:rsid w:val="00A24AC9"/>
    <w:rsid w:val="00A47199"/>
    <w:rsid w:val="00A627F5"/>
    <w:rsid w:val="00AD3043"/>
    <w:rsid w:val="00B6666A"/>
    <w:rsid w:val="00B84D46"/>
    <w:rsid w:val="00B96BF6"/>
    <w:rsid w:val="00BB7E9F"/>
    <w:rsid w:val="00C15B87"/>
    <w:rsid w:val="00C21D09"/>
    <w:rsid w:val="00CA63A2"/>
    <w:rsid w:val="00CB0497"/>
    <w:rsid w:val="00CC329E"/>
    <w:rsid w:val="00CF6FDA"/>
    <w:rsid w:val="00CF7C8D"/>
    <w:rsid w:val="00D17729"/>
    <w:rsid w:val="00D7399F"/>
    <w:rsid w:val="00D806BE"/>
    <w:rsid w:val="00DD792C"/>
    <w:rsid w:val="00E000AB"/>
    <w:rsid w:val="00E17377"/>
    <w:rsid w:val="00E4469D"/>
    <w:rsid w:val="00EB35A1"/>
    <w:rsid w:val="00ED2B48"/>
    <w:rsid w:val="00FD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7EEF2"/>
  <w15:docId w15:val="{FB745ED9-8709-47E9-83BC-62AD5541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96BF6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693"/>
  </w:style>
  <w:style w:type="paragraph" w:styleId="Rodap">
    <w:name w:val="footer"/>
    <w:basedOn w:val="Normal"/>
    <w:link w:val="Rodap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69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E369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9E3693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9E3693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5C9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CA63A2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B96B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6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21B02-C039-47B2-9C1D-5FD428630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1301</Words>
  <Characters>7027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Leandro Ribeiro</cp:lastModifiedBy>
  <cp:revision>8</cp:revision>
  <dcterms:created xsi:type="dcterms:W3CDTF">2019-09-15T20:41:00Z</dcterms:created>
  <dcterms:modified xsi:type="dcterms:W3CDTF">2019-10-10T14:39:00Z</dcterms:modified>
</cp:coreProperties>
</file>