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09C8E" w14:textId="5F95BEBB" w:rsidR="003C5CE7" w:rsidRPr="002742F3" w:rsidRDefault="00651821" w:rsidP="002742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lang w:val="en-US"/>
        </w:rPr>
      </w:pPr>
      <w:r w:rsidRPr="002742F3">
        <w:rPr>
          <w:rFonts w:ascii="Times New Roman" w:eastAsia="Times" w:hAnsi="Times New Roman" w:cs="Times New Roman"/>
          <w:b/>
          <w:color w:val="000000"/>
          <w:lang w:val="en-US"/>
        </w:rPr>
        <w:t>INTRODUÇÃO</w:t>
      </w:r>
    </w:p>
    <w:p w14:paraId="4BBCA23B" w14:textId="6F2F6CC1" w:rsidR="00C764E6" w:rsidRPr="00ED4A07" w:rsidRDefault="00F51CAC" w:rsidP="00ED4A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 w:firstLine="720"/>
        <w:jc w:val="both"/>
        <w:rPr>
          <w:rFonts w:ascii="Times New Roman" w:hAnsi="Times New Roman" w:cs="Times New Roman"/>
        </w:rPr>
      </w:pPr>
      <w:r w:rsidRPr="002742F3">
        <w:rPr>
          <w:rFonts w:ascii="Times New Roman" w:hAnsi="Times New Roman" w:cs="Times New Roman"/>
        </w:rPr>
        <w:t xml:space="preserve">A </w:t>
      </w:r>
      <w:proofErr w:type="spellStart"/>
      <w:r w:rsidRPr="002742F3">
        <w:rPr>
          <w:rFonts w:ascii="Times New Roman" w:hAnsi="Times New Roman" w:cs="Times New Roman"/>
        </w:rPr>
        <w:t>gel</w:t>
      </w:r>
      <w:r w:rsidR="00D356C0">
        <w:rPr>
          <w:rFonts w:ascii="Times New Roman" w:hAnsi="Times New Roman" w:cs="Times New Roman"/>
        </w:rPr>
        <w:t>é</w:t>
      </w:r>
      <w:r w:rsidRPr="002742F3">
        <w:rPr>
          <w:rFonts w:ascii="Times New Roman" w:hAnsi="Times New Roman" w:cs="Times New Roman"/>
        </w:rPr>
        <w:t>ia</w:t>
      </w:r>
      <w:proofErr w:type="spellEnd"/>
      <w:r w:rsidRPr="002742F3">
        <w:rPr>
          <w:rFonts w:ascii="Times New Roman" w:hAnsi="Times New Roman" w:cs="Times New Roman"/>
        </w:rPr>
        <w:t xml:space="preserve"> de fruta é definida como um produto obtido pela cocção de frutas inteiras ou em pedaços, polpas ou sucos de frutas, com açúcar e água, e concentração até a consistência gelatinosa.</w:t>
      </w:r>
      <w:r w:rsidRPr="002742F3">
        <w:rPr>
          <w:rFonts w:ascii="Times New Roman" w:hAnsi="Times New Roman" w:cs="Times New Roman"/>
          <w:b/>
          <w:vertAlign w:val="superscript"/>
        </w:rPr>
        <w:t>1</w:t>
      </w:r>
      <w:r w:rsidR="00507C14">
        <w:rPr>
          <w:rFonts w:ascii="Times New Roman" w:hAnsi="Times New Roman" w:cs="Times New Roman"/>
          <w:b/>
          <w:vertAlign w:val="superscript"/>
        </w:rPr>
        <w:t xml:space="preserve"> </w:t>
      </w:r>
      <w:r w:rsidR="00D56AC0" w:rsidRPr="00165427">
        <w:rPr>
          <w:rFonts w:ascii="Times New Roman" w:hAnsi="Times New Roman" w:cs="Times New Roman"/>
        </w:rPr>
        <w:t>A qualidade do produto final irá depender da qualidade das matérias primas utilizadas e da quantidade certa na combinação dos eleme</w:t>
      </w:r>
      <w:r w:rsidR="00507C14" w:rsidRPr="00165427">
        <w:rPr>
          <w:rFonts w:ascii="Times New Roman" w:hAnsi="Times New Roman" w:cs="Times New Roman"/>
        </w:rPr>
        <w:t>n</w:t>
      </w:r>
      <w:r w:rsidR="00D56AC0" w:rsidRPr="00165427">
        <w:rPr>
          <w:rFonts w:ascii="Times New Roman" w:hAnsi="Times New Roman" w:cs="Times New Roman"/>
        </w:rPr>
        <w:t>tos</w:t>
      </w:r>
      <w:r w:rsidR="00507C14" w:rsidRPr="00165427">
        <w:rPr>
          <w:rFonts w:ascii="Times New Roman" w:hAnsi="Times New Roman" w:cs="Times New Roman"/>
        </w:rPr>
        <w:t>.</w:t>
      </w:r>
      <w:r w:rsidR="00507C14" w:rsidRPr="00165427">
        <w:rPr>
          <w:rFonts w:ascii="Times New Roman" w:hAnsi="Times New Roman" w:cs="Times New Roman"/>
          <w:b/>
          <w:vertAlign w:val="superscript"/>
        </w:rPr>
        <w:t>2</w:t>
      </w:r>
      <w:r w:rsidR="00ED4A07" w:rsidRPr="00165427">
        <w:rPr>
          <w:rFonts w:ascii="Times New Roman" w:hAnsi="Times New Roman" w:cs="Times New Roman"/>
          <w:b/>
        </w:rPr>
        <w:t xml:space="preserve"> </w:t>
      </w:r>
      <w:r w:rsidR="00507C14" w:rsidRPr="002742F3">
        <w:rPr>
          <w:rFonts w:ascii="Times New Roman" w:hAnsi="Times New Roman" w:cs="Times New Roman"/>
        </w:rPr>
        <w:t xml:space="preserve">A </w:t>
      </w:r>
      <w:proofErr w:type="spellStart"/>
      <w:r w:rsidR="00507C14" w:rsidRPr="002742F3">
        <w:rPr>
          <w:rFonts w:ascii="Times New Roman" w:hAnsi="Times New Roman" w:cs="Times New Roman"/>
        </w:rPr>
        <w:t>gel</w:t>
      </w:r>
      <w:r w:rsidR="00D356C0">
        <w:rPr>
          <w:rFonts w:ascii="Times New Roman" w:hAnsi="Times New Roman" w:cs="Times New Roman"/>
        </w:rPr>
        <w:t>é</w:t>
      </w:r>
      <w:r w:rsidR="00507C14" w:rsidRPr="002742F3">
        <w:rPr>
          <w:rFonts w:ascii="Times New Roman" w:hAnsi="Times New Roman" w:cs="Times New Roman"/>
        </w:rPr>
        <w:t>ia</w:t>
      </w:r>
      <w:proofErr w:type="spellEnd"/>
      <w:r w:rsidR="00507C14" w:rsidRPr="002742F3">
        <w:rPr>
          <w:rFonts w:ascii="Times New Roman" w:hAnsi="Times New Roman" w:cs="Times New Roman"/>
        </w:rPr>
        <w:t xml:space="preserve"> pode ser originada a pa</w:t>
      </w:r>
      <w:r w:rsidR="00507C14">
        <w:rPr>
          <w:rFonts w:ascii="Times New Roman" w:hAnsi="Times New Roman" w:cs="Times New Roman"/>
        </w:rPr>
        <w:t xml:space="preserve">rtir de diversas frutas devendo </w:t>
      </w:r>
      <w:r w:rsidR="00507C14" w:rsidRPr="002742F3">
        <w:rPr>
          <w:rFonts w:ascii="Times New Roman" w:hAnsi="Times New Roman" w:cs="Times New Roman"/>
        </w:rPr>
        <w:t xml:space="preserve">estas </w:t>
      </w:r>
      <w:r w:rsidR="00507C14">
        <w:rPr>
          <w:rFonts w:ascii="Times New Roman" w:hAnsi="Times New Roman" w:cs="Times New Roman"/>
        </w:rPr>
        <w:t xml:space="preserve">estarem </w:t>
      </w:r>
      <w:r w:rsidR="00507C14" w:rsidRPr="002742F3">
        <w:rPr>
          <w:rFonts w:ascii="Times New Roman" w:hAnsi="Times New Roman" w:cs="Times New Roman"/>
        </w:rPr>
        <w:t xml:space="preserve">sãs, limpas, isentas de matéria terrosa e de fermentação. </w:t>
      </w:r>
      <w:r w:rsidRPr="002742F3">
        <w:rPr>
          <w:rFonts w:ascii="Times New Roman" w:hAnsi="Times New Roman" w:cs="Times New Roman"/>
        </w:rPr>
        <w:t>Também é permitida a adição de acidulantes e de pectina para compensar qualquer deficiência no conteúdo natural de pectina ou de acidez da fruta.</w:t>
      </w:r>
      <w:r w:rsidR="00165427" w:rsidRPr="00165427">
        <w:rPr>
          <w:rFonts w:ascii="Times New Roman" w:hAnsi="Times New Roman" w:cs="Times New Roman"/>
          <w:vertAlign w:val="superscript"/>
        </w:rPr>
        <w:t>2</w:t>
      </w:r>
      <w:r w:rsidRPr="002742F3">
        <w:rPr>
          <w:rFonts w:ascii="Times New Roman" w:hAnsi="Times New Roman" w:cs="Times New Roman"/>
        </w:rPr>
        <w:t xml:space="preserve"> A Resolução n°12/1978 da CNNPA</w:t>
      </w:r>
      <w:r w:rsidRPr="002742F3">
        <w:rPr>
          <w:rFonts w:ascii="Times New Roman" w:hAnsi="Times New Roman" w:cs="Times New Roman"/>
          <w:b/>
          <w:vertAlign w:val="superscript"/>
        </w:rPr>
        <w:t xml:space="preserve"> </w:t>
      </w:r>
      <w:r w:rsidR="00507C14">
        <w:rPr>
          <w:rFonts w:ascii="Times New Roman" w:hAnsi="Times New Roman" w:cs="Times New Roman"/>
          <w:b/>
          <w:vertAlign w:val="superscript"/>
        </w:rPr>
        <w:t>3</w:t>
      </w:r>
      <w:r w:rsidRPr="002742F3">
        <w:rPr>
          <w:rFonts w:ascii="Times New Roman" w:hAnsi="Times New Roman" w:cs="Times New Roman"/>
        </w:rPr>
        <w:t xml:space="preserve"> também estabelece as características </w:t>
      </w:r>
      <w:r w:rsidR="00F848CD" w:rsidRPr="002742F3">
        <w:rPr>
          <w:rFonts w:ascii="Times New Roman" w:hAnsi="Times New Roman" w:cs="Times New Roman"/>
        </w:rPr>
        <w:t>sensoriais</w:t>
      </w:r>
      <w:r w:rsidRPr="002742F3">
        <w:rPr>
          <w:rFonts w:ascii="Times New Roman" w:hAnsi="Times New Roman" w:cs="Times New Roman"/>
        </w:rPr>
        <w:t xml:space="preserve"> da</w:t>
      </w:r>
      <w:r w:rsidR="00D356C0">
        <w:rPr>
          <w:rFonts w:ascii="Times New Roman" w:hAnsi="Times New Roman" w:cs="Times New Roman"/>
        </w:rPr>
        <w:t>s</w:t>
      </w:r>
      <w:r w:rsidRPr="002742F3">
        <w:rPr>
          <w:rFonts w:ascii="Times New Roman" w:hAnsi="Times New Roman" w:cs="Times New Roman"/>
        </w:rPr>
        <w:t xml:space="preserve"> </w:t>
      </w:r>
      <w:proofErr w:type="spellStart"/>
      <w:r w:rsidRPr="002742F3">
        <w:rPr>
          <w:rFonts w:ascii="Times New Roman" w:hAnsi="Times New Roman" w:cs="Times New Roman"/>
        </w:rPr>
        <w:t>gel</w:t>
      </w:r>
      <w:r w:rsidR="00D356C0">
        <w:rPr>
          <w:rFonts w:ascii="Times New Roman" w:hAnsi="Times New Roman" w:cs="Times New Roman"/>
        </w:rPr>
        <w:t>é</w:t>
      </w:r>
      <w:r w:rsidRPr="002742F3">
        <w:rPr>
          <w:rFonts w:ascii="Times New Roman" w:hAnsi="Times New Roman" w:cs="Times New Roman"/>
        </w:rPr>
        <w:t>ia</w:t>
      </w:r>
      <w:r w:rsidR="00D356C0">
        <w:rPr>
          <w:rFonts w:ascii="Times New Roman" w:hAnsi="Times New Roman" w:cs="Times New Roman"/>
        </w:rPr>
        <w:t>s</w:t>
      </w:r>
      <w:proofErr w:type="spellEnd"/>
      <w:r w:rsidRPr="002742F3">
        <w:rPr>
          <w:rFonts w:ascii="Times New Roman" w:hAnsi="Times New Roman" w:cs="Times New Roman"/>
        </w:rPr>
        <w:t xml:space="preserve"> de frutas, devendo estas apresentar-se sob aspecto de base gelatinosa e podendo manter-se em estado </w:t>
      </w:r>
      <w:proofErr w:type="spellStart"/>
      <w:r w:rsidRPr="002742F3">
        <w:rPr>
          <w:rFonts w:ascii="Times New Roman" w:hAnsi="Times New Roman" w:cs="Times New Roman"/>
        </w:rPr>
        <w:t>semi-sólido</w:t>
      </w:r>
      <w:proofErr w:type="spellEnd"/>
      <w:r w:rsidRPr="002742F3">
        <w:rPr>
          <w:rFonts w:ascii="Times New Roman" w:hAnsi="Times New Roman" w:cs="Times New Roman"/>
        </w:rPr>
        <w:t xml:space="preserve">, mesmo após serem extraídas de seus recipientes. Além disso, a cor e o cheiro das </w:t>
      </w:r>
      <w:proofErr w:type="spellStart"/>
      <w:r w:rsidRPr="002742F3">
        <w:rPr>
          <w:rFonts w:ascii="Times New Roman" w:hAnsi="Times New Roman" w:cs="Times New Roman"/>
        </w:rPr>
        <w:t>gel</w:t>
      </w:r>
      <w:r w:rsidR="00D356C0">
        <w:rPr>
          <w:rFonts w:ascii="Times New Roman" w:hAnsi="Times New Roman" w:cs="Times New Roman"/>
        </w:rPr>
        <w:t>é</w:t>
      </w:r>
      <w:r w:rsidRPr="002742F3">
        <w:rPr>
          <w:rFonts w:ascii="Times New Roman" w:hAnsi="Times New Roman" w:cs="Times New Roman"/>
        </w:rPr>
        <w:t>ias</w:t>
      </w:r>
      <w:proofErr w:type="spellEnd"/>
      <w:r w:rsidRPr="002742F3">
        <w:rPr>
          <w:rFonts w:ascii="Times New Roman" w:hAnsi="Times New Roman" w:cs="Times New Roman"/>
        </w:rPr>
        <w:t xml:space="preserve"> devem ser próprios da fruta de origem</w:t>
      </w:r>
      <w:r w:rsidR="00271EA1" w:rsidRPr="002742F3">
        <w:rPr>
          <w:rFonts w:ascii="Times New Roman" w:eastAsia="Times" w:hAnsi="Times New Roman" w:cs="Times New Roman"/>
          <w:b/>
          <w:color w:val="000000"/>
          <w:lang w:val="en-US"/>
        </w:rPr>
        <w:t xml:space="preserve">. </w:t>
      </w:r>
    </w:p>
    <w:p w14:paraId="3AECF572" w14:textId="400BF491" w:rsidR="00957DFA" w:rsidRDefault="00507C14" w:rsidP="00507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 w:firstLine="720"/>
        <w:jc w:val="both"/>
        <w:rPr>
          <w:rFonts w:ascii="Times New Roman" w:hAnsi="Times New Roman" w:cs="Times New Roman"/>
        </w:rPr>
      </w:pPr>
      <w:r w:rsidRPr="00507C14">
        <w:rPr>
          <w:rFonts w:ascii="Times New Roman" w:hAnsi="Times New Roman" w:cs="Times New Roman"/>
        </w:rPr>
        <w:t>O consumo de frutas vermelhas</w:t>
      </w:r>
      <w:r w:rsidR="00D356C0">
        <w:rPr>
          <w:rFonts w:ascii="Times New Roman" w:hAnsi="Times New Roman" w:cs="Times New Roman"/>
        </w:rPr>
        <w:t xml:space="preserve"> frutas </w:t>
      </w:r>
      <w:r w:rsidRPr="00507C14">
        <w:rPr>
          <w:rFonts w:ascii="Times New Roman" w:hAnsi="Times New Roman" w:cs="Times New Roman"/>
        </w:rPr>
        <w:t xml:space="preserve">tem correlação com a prevenção de doenças crônicas não transmissíveis como doenças cardíacas e o câncer. A relação se encontra nos compostos </w:t>
      </w:r>
      <w:proofErr w:type="spellStart"/>
      <w:r w:rsidRPr="00507C14">
        <w:rPr>
          <w:rFonts w:ascii="Times New Roman" w:hAnsi="Times New Roman" w:cs="Times New Roman"/>
        </w:rPr>
        <w:t>bioativos</w:t>
      </w:r>
      <w:proofErr w:type="spellEnd"/>
      <w:r w:rsidRPr="00507C14">
        <w:rPr>
          <w:rFonts w:ascii="Times New Roman" w:hAnsi="Times New Roman" w:cs="Times New Roman"/>
        </w:rPr>
        <w:t xml:space="preserve"> nelas presentes, que atuam como reparadores de DNA, antioxidantes, moduladores </w:t>
      </w:r>
      <w:proofErr w:type="spellStart"/>
      <w:r w:rsidRPr="00507C14">
        <w:rPr>
          <w:rFonts w:ascii="Times New Roman" w:hAnsi="Times New Roman" w:cs="Times New Roman"/>
        </w:rPr>
        <w:t>enximáticos</w:t>
      </w:r>
      <w:proofErr w:type="spellEnd"/>
      <w:r w:rsidRPr="00507C14">
        <w:rPr>
          <w:rFonts w:ascii="Times New Roman" w:hAnsi="Times New Roman" w:cs="Times New Roman"/>
        </w:rPr>
        <w:t>, anti-inflamatórios, dentre outras atividades.</w:t>
      </w:r>
      <w:r w:rsidRPr="00507C14">
        <w:rPr>
          <w:rFonts w:ascii="Times New Roman" w:hAnsi="Times New Roman" w:cs="Times New Roman"/>
          <w:vertAlign w:val="superscript"/>
        </w:rPr>
        <w:t>4</w:t>
      </w:r>
      <w:r w:rsidR="00ED4A07" w:rsidRPr="00507C14">
        <w:rPr>
          <w:rFonts w:ascii="Times New Roman" w:hAnsi="Times New Roman" w:cs="Times New Roman"/>
          <w:vertAlign w:val="superscript"/>
        </w:rPr>
        <w:t xml:space="preserve"> </w:t>
      </w:r>
      <w:r w:rsidR="00D329EB" w:rsidRPr="002742F3">
        <w:rPr>
          <w:rFonts w:ascii="Times New Roman" w:hAnsi="Times New Roman" w:cs="Times New Roman"/>
        </w:rPr>
        <w:t>Além disso, as frutas vermelhas possuem outras características bastante procuradas, como baixo teor de proteína e lipídios, enquanto possuem altos teores de carboidratos conferindo-lhes um sabor doce</w:t>
      </w:r>
      <w:r w:rsidR="0058086D" w:rsidRPr="002742F3">
        <w:rPr>
          <w:rFonts w:ascii="Times New Roman" w:hAnsi="Times New Roman" w:cs="Times New Roman"/>
        </w:rPr>
        <w:t>. T</w:t>
      </w:r>
      <w:r w:rsidR="00D329EB" w:rsidRPr="002742F3">
        <w:rPr>
          <w:rFonts w:ascii="Times New Roman" w:hAnsi="Times New Roman" w:cs="Times New Roman"/>
        </w:rPr>
        <w:t xml:space="preserve">em-se observado uma crescente obtenção de frutas vermelhas, dentre elas o </w:t>
      </w:r>
      <w:proofErr w:type="spellStart"/>
      <w:r w:rsidR="00D329EB" w:rsidRPr="002742F3">
        <w:rPr>
          <w:rFonts w:ascii="Times New Roman" w:hAnsi="Times New Roman" w:cs="Times New Roman"/>
        </w:rPr>
        <w:t>mirtilo</w:t>
      </w:r>
      <w:proofErr w:type="spellEnd"/>
      <w:r w:rsidR="00D329EB" w:rsidRPr="002742F3">
        <w:rPr>
          <w:rFonts w:ascii="Times New Roman" w:hAnsi="Times New Roman" w:cs="Times New Roman"/>
        </w:rPr>
        <w:t>, morango, uva e amora, para o consumo “in natura” e para utilização como matéria</w:t>
      </w:r>
      <w:r w:rsidR="00C764E6">
        <w:rPr>
          <w:rFonts w:ascii="Times New Roman" w:hAnsi="Times New Roman" w:cs="Times New Roman"/>
        </w:rPr>
        <w:t xml:space="preserve"> prima para diversos produtos: sucos, polpas, doces, </w:t>
      </w:r>
      <w:proofErr w:type="spellStart"/>
      <w:r w:rsidR="00C764E6">
        <w:rPr>
          <w:rFonts w:ascii="Times New Roman" w:hAnsi="Times New Roman" w:cs="Times New Roman"/>
        </w:rPr>
        <w:t>etc</w:t>
      </w:r>
      <w:proofErr w:type="spellEnd"/>
      <w:r w:rsidR="00C764E6">
        <w:rPr>
          <w:rFonts w:ascii="Times New Roman" w:hAnsi="Times New Roman" w:cs="Times New Roman"/>
        </w:rPr>
        <w:t>)</w:t>
      </w:r>
      <w:r w:rsidR="00D329EB" w:rsidRPr="002742F3">
        <w:rPr>
          <w:rFonts w:ascii="Times New Roman" w:hAnsi="Times New Roman" w:cs="Times New Roman"/>
        </w:rPr>
        <w:t xml:space="preserve"> </w:t>
      </w:r>
      <w:r w:rsidR="00C764E6">
        <w:rPr>
          <w:rFonts w:ascii="Times New Roman" w:hAnsi="Times New Roman" w:cs="Times New Roman"/>
        </w:rPr>
        <w:t xml:space="preserve">Tendo isto em vista, a </w:t>
      </w:r>
      <w:r w:rsidR="00A210B7">
        <w:rPr>
          <w:rFonts w:ascii="Times New Roman" w:hAnsi="Times New Roman" w:cs="Times New Roman"/>
        </w:rPr>
        <w:t>geração de novos produtos</w:t>
      </w:r>
      <w:r w:rsidR="00D329EB" w:rsidRPr="002742F3">
        <w:rPr>
          <w:rFonts w:ascii="Times New Roman" w:hAnsi="Times New Roman" w:cs="Times New Roman"/>
        </w:rPr>
        <w:t xml:space="preserve"> a p</w:t>
      </w:r>
      <w:r w:rsidR="00A210B7">
        <w:rPr>
          <w:rFonts w:ascii="Times New Roman" w:hAnsi="Times New Roman" w:cs="Times New Roman"/>
        </w:rPr>
        <w:t xml:space="preserve">artir de frutas vermelhas tem um </w:t>
      </w:r>
      <w:r w:rsidR="00D329EB" w:rsidRPr="002742F3">
        <w:rPr>
          <w:rFonts w:ascii="Times New Roman" w:hAnsi="Times New Roman" w:cs="Times New Roman"/>
        </w:rPr>
        <w:t>grande</w:t>
      </w:r>
      <w:r w:rsidR="00A210B7">
        <w:rPr>
          <w:rFonts w:ascii="Times New Roman" w:hAnsi="Times New Roman" w:cs="Times New Roman"/>
        </w:rPr>
        <w:t xml:space="preserve"> potencial de</w:t>
      </w:r>
      <w:r w:rsidR="00D329EB" w:rsidRPr="002742F3">
        <w:rPr>
          <w:rFonts w:ascii="Times New Roman" w:hAnsi="Times New Roman" w:cs="Times New Roman"/>
        </w:rPr>
        <w:t xml:space="preserve"> aceitabilidade</w:t>
      </w:r>
      <w:r w:rsidR="00221900" w:rsidRPr="00221900">
        <w:rPr>
          <w:rFonts w:ascii="Times New Roman" w:hAnsi="Times New Roman" w:cs="Times New Roman"/>
          <w:b/>
          <w:vertAlign w:val="superscript"/>
        </w:rPr>
        <w:t xml:space="preserve"> </w:t>
      </w:r>
      <w:r w:rsidR="00F51CAC" w:rsidRPr="00221900">
        <w:rPr>
          <w:rFonts w:ascii="Times New Roman" w:hAnsi="Times New Roman" w:cs="Times New Roman"/>
          <w:b/>
          <w:vertAlign w:val="superscript"/>
        </w:rPr>
        <w:t>2</w:t>
      </w:r>
      <w:r w:rsidR="00D329EB" w:rsidRPr="002742F3">
        <w:rPr>
          <w:rFonts w:ascii="Times New Roman" w:hAnsi="Times New Roman" w:cs="Times New Roman"/>
        </w:rPr>
        <w:t xml:space="preserve">. </w:t>
      </w:r>
    </w:p>
    <w:p w14:paraId="37E2CCC2" w14:textId="704408CF" w:rsidR="00F51CAC" w:rsidRDefault="00D356C0" w:rsidP="006C3A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 w:firstLine="720"/>
        <w:jc w:val="both"/>
        <w:rPr>
          <w:rFonts w:ascii="Times New Roman" w:eastAsia="Times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</w:rPr>
        <w:t>O</w:t>
      </w:r>
      <w:r w:rsidR="00D329EB" w:rsidRPr="002742F3">
        <w:rPr>
          <w:rFonts w:ascii="Times New Roman" w:hAnsi="Times New Roman" w:cs="Times New Roman"/>
        </w:rPr>
        <w:t xml:space="preserve"> objetivo d</w:t>
      </w:r>
      <w:r>
        <w:rPr>
          <w:rFonts w:ascii="Times New Roman" w:hAnsi="Times New Roman" w:cs="Times New Roman"/>
        </w:rPr>
        <w:t>o</w:t>
      </w:r>
      <w:r w:rsidR="00D329EB" w:rsidRPr="002742F3">
        <w:rPr>
          <w:rFonts w:ascii="Times New Roman" w:hAnsi="Times New Roman" w:cs="Times New Roman"/>
        </w:rPr>
        <w:t xml:space="preserve"> presente trabalho foi produzir uma geleia de frutas vermelhas, utilizando uma mistura de quatro frutas: morango, </w:t>
      </w:r>
      <w:proofErr w:type="spellStart"/>
      <w:r w:rsidR="00D329EB" w:rsidRPr="002742F3">
        <w:rPr>
          <w:rFonts w:ascii="Times New Roman" w:hAnsi="Times New Roman" w:cs="Times New Roman"/>
        </w:rPr>
        <w:t>mirtilo</w:t>
      </w:r>
      <w:proofErr w:type="spellEnd"/>
      <w:r w:rsidR="00D329EB" w:rsidRPr="002742F3">
        <w:rPr>
          <w:rFonts w:ascii="Times New Roman" w:hAnsi="Times New Roman" w:cs="Times New Roman"/>
        </w:rPr>
        <w:t>, uva e amora, buscando verificar a aceitação potencial do produto no mercado.</w:t>
      </w:r>
    </w:p>
    <w:p w14:paraId="10D18003" w14:textId="77777777" w:rsidR="006C3A9C" w:rsidRPr="006C3A9C" w:rsidRDefault="006C3A9C" w:rsidP="006C3A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 w:firstLine="720"/>
        <w:jc w:val="both"/>
        <w:rPr>
          <w:rFonts w:ascii="Times New Roman" w:eastAsia="Times" w:hAnsi="Times New Roman" w:cs="Times New Roman"/>
          <w:b/>
          <w:color w:val="000000"/>
          <w:lang w:val="en-US"/>
        </w:rPr>
      </w:pPr>
    </w:p>
    <w:p w14:paraId="12D60612" w14:textId="27BFCBA8" w:rsidR="003C5CE7" w:rsidRDefault="00651821" w:rsidP="002742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rPr>
          <w:rFonts w:ascii="Times New Roman" w:eastAsia="Times" w:hAnsi="Times New Roman" w:cs="Times New Roman"/>
          <w:b/>
          <w:color w:val="000000"/>
          <w:lang w:val="en-US"/>
        </w:rPr>
      </w:pPr>
      <w:r w:rsidRPr="002742F3">
        <w:rPr>
          <w:rFonts w:ascii="Times New Roman" w:eastAsia="Times" w:hAnsi="Times New Roman" w:cs="Times New Roman"/>
          <w:b/>
          <w:color w:val="000000"/>
          <w:lang w:val="en-US"/>
        </w:rPr>
        <w:t>M</w:t>
      </w:r>
      <w:r w:rsidR="008261C1" w:rsidRPr="002742F3">
        <w:rPr>
          <w:rFonts w:ascii="Times New Roman" w:eastAsia="Times" w:hAnsi="Times New Roman" w:cs="Times New Roman"/>
          <w:b/>
          <w:color w:val="000000"/>
          <w:lang w:val="en-US"/>
        </w:rPr>
        <w:t>ATERIAIS E MÉTODOS</w:t>
      </w:r>
    </w:p>
    <w:p w14:paraId="7EE6468A" w14:textId="77777777" w:rsidR="0011393F" w:rsidRDefault="00C764E6" w:rsidP="00A210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hAnsi="Times New Roman" w:cs="Times New Roman"/>
        </w:rPr>
      </w:pPr>
      <w:r>
        <w:tab/>
      </w:r>
      <w:r w:rsidRPr="00A210B7">
        <w:rPr>
          <w:rFonts w:ascii="Times New Roman" w:hAnsi="Times New Roman" w:cs="Times New Roman"/>
        </w:rPr>
        <w:t xml:space="preserve">Este experimento </w:t>
      </w:r>
      <w:r w:rsidR="0067337D">
        <w:rPr>
          <w:rFonts w:ascii="Times New Roman" w:hAnsi="Times New Roman" w:cs="Times New Roman"/>
        </w:rPr>
        <w:t>dividiu-se</w:t>
      </w:r>
      <w:r w:rsidR="00A210B7">
        <w:rPr>
          <w:rFonts w:ascii="Times New Roman" w:hAnsi="Times New Roman" w:cs="Times New Roman"/>
        </w:rPr>
        <w:t xml:space="preserve"> em duas etapas. A </w:t>
      </w:r>
      <w:bookmarkStart w:id="0" w:name="_GoBack"/>
      <w:bookmarkEnd w:id="0"/>
      <w:r w:rsidR="00A210B7">
        <w:rPr>
          <w:rFonts w:ascii="Times New Roman" w:hAnsi="Times New Roman" w:cs="Times New Roman"/>
        </w:rPr>
        <w:t xml:space="preserve">primeira </w:t>
      </w:r>
      <w:r w:rsidR="00A210B7" w:rsidRPr="00A210B7">
        <w:rPr>
          <w:rFonts w:ascii="Times New Roman" w:hAnsi="Times New Roman" w:cs="Times New Roman"/>
        </w:rPr>
        <w:t>foi</w:t>
      </w:r>
      <w:r w:rsidRPr="00A210B7">
        <w:rPr>
          <w:rFonts w:ascii="Times New Roman" w:hAnsi="Times New Roman" w:cs="Times New Roman"/>
        </w:rPr>
        <w:t xml:space="preserve"> realizada</w:t>
      </w:r>
      <w:r w:rsidR="00A210B7" w:rsidRPr="00A210B7">
        <w:rPr>
          <w:rFonts w:ascii="Times New Roman" w:hAnsi="Times New Roman" w:cs="Times New Roman"/>
        </w:rPr>
        <w:t xml:space="preserve"> no Laboratório de Análise Sensorial do Departamento de Engenharia de Alimentos da Universidade Federal do Ceará (UFC). </w:t>
      </w:r>
      <w:r w:rsidR="0011393F">
        <w:rPr>
          <w:rFonts w:ascii="Times New Roman" w:hAnsi="Times New Roman" w:cs="Times New Roman"/>
        </w:rPr>
        <w:tab/>
      </w:r>
    </w:p>
    <w:p w14:paraId="3787D281" w14:textId="73E1511F" w:rsidR="00C764E6" w:rsidRDefault="00A210B7" w:rsidP="001139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 w:firstLine="720"/>
        <w:jc w:val="both"/>
        <w:rPr>
          <w:rFonts w:ascii="Times New Roman" w:hAnsi="Times New Roman" w:cs="Times New Roman"/>
        </w:rPr>
      </w:pPr>
      <w:r w:rsidRPr="00A210B7">
        <w:rPr>
          <w:rFonts w:ascii="Times New Roman" w:hAnsi="Times New Roman" w:cs="Times New Roman"/>
        </w:rPr>
        <w:t>Para fins de comparação e verificação de aceitação junto aos consumidores, foram elaboradas três formulações</w:t>
      </w:r>
      <w:r>
        <w:rPr>
          <w:rFonts w:ascii="Times New Roman" w:hAnsi="Times New Roman" w:cs="Times New Roman"/>
        </w:rPr>
        <w:t xml:space="preserve"> utiliz</w:t>
      </w:r>
      <w:r w:rsidRPr="00A210B7">
        <w:rPr>
          <w:rFonts w:ascii="Times New Roman" w:hAnsi="Times New Roman" w:cs="Times New Roman"/>
        </w:rPr>
        <w:t>ando-se como matéria-prima</w:t>
      </w:r>
      <w:r>
        <w:rPr>
          <w:rFonts w:ascii="Times New Roman" w:hAnsi="Times New Roman" w:cs="Times New Roman"/>
        </w:rPr>
        <w:t>:</w:t>
      </w:r>
      <w:r w:rsidRPr="00A210B7">
        <w:rPr>
          <w:rFonts w:ascii="Times New Roman" w:hAnsi="Times New Roman" w:cs="Times New Roman"/>
        </w:rPr>
        <w:t xml:space="preserve"> morango, uva, amora, </w:t>
      </w:r>
      <w:proofErr w:type="spellStart"/>
      <w:r w:rsidRPr="00A210B7">
        <w:rPr>
          <w:rFonts w:ascii="Times New Roman" w:hAnsi="Times New Roman" w:cs="Times New Roman"/>
        </w:rPr>
        <w:t>mirtilo</w:t>
      </w:r>
      <w:proofErr w:type="spellEnd"/>
      <w:r w:rsidRPr="00A210B7">
        <w:rPr>
          <w:rFonts w:ascii="Times New Roman" w:hAnsi="Times New Roman" w:cs="Times New Roman"/>
        </w:rPr>
        <w:t>, açúcar, água e pectina.</w:t>
      </w:r>
      <w:r w:rsidR="0011393F">
        <w:rPr>
          <w:rFonts w:ascii="Times New Roman" w:hAnsi="Times New Roman" w:cs="Times New Roman"/>
        </w:rPr>
        <w:t xml:space="preserve"> </w:t>
      </w:r>
      <w:r w:rsidR="0077228B">
        <w:rPr>
          <w:rFonts w:ascii="Times New Roman" w:hAnsi="Times New Roman" w:cs="Times New Roman"/>
        </w:rPr>
        <w:t>A</w:t>
      </w:r>
      <w:r w:rsidR="00AD151E">
        <w:rPr>
          <w:rFonts w:ascii="Times New Roman" w:hAnsi="Times New Roman" w:cs="Times New Roman"/>
        </w:rPr>
        <w:t xml:space="preserve"> produção da</w:t>
      </w:r>
      <w:r w:rsidR="0077228B">
        <w:rPr>
          <w:rFonts w:ascii="Times New Roman" w:hAnsi="Times New Roman" w:cs="Times New Roman"/>
        </w:rPr>
        <w:t xml:space="preserve">s </w:t>
      </w:r>
      <w:r w:rsidR="00AD151E">
        <w:rPr>
          <w:rFonts w:ascii="Times New Roman" w:hAnsi="Times New Roman" w:cs="Times New Roman"/>
        </w:rPr>
        <w:t>formulações seguiu</w:t>
      </w:r>
      <w:r w:rsidR="0077228B">
        <w:rPr>
          <w:rFonts w:ascii="Times New Roman" w:hAnsi="Times New Roman" w:cs="Times New Roman"/>
        </w:rPr>
        <w:t xml:space="preserve"> </w:t>
      </w:r>
      <w:r w:rsidR="00AD151E">
        <w:rPr>
          <w:rFonts w:ascii="Times New Roman" w:hAnsi="Times New Roman" w:cs="Times New Roman"/>
        </w:rPr>
        <w:t>as seguintes etapas:</w:t>
      </w:r>
    </w:p>
    <w:p w14:paraId="3446537B" w14:textId="78965D07" w:rsidR="00A210B7" w:rsidRPr="00A210B7" w:rsidRDefault="00A210B7" w:rsidP="00A210B7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2742F3">
        <w:rPr>
          <w:rFonts w:ascii="Times New Roman" w:hAnsi="Times New Roman" w:cs="Times New Roman"/>
        </w:rPr>
        <w:t>1.</w:t>
      </w:r>
      <w:r w:rsidRPr="002742F3">
        <w:rPr>
          <w:rFonts w:ascii="Times New Roman" w:hAnsi="Times New Roman" w:cs="Times New Roman"/>
          <w:i/>
        </w:rPr>
        <w:t xml:space="preserve"> </w:t>
      </w:r>
      <w:r w:rsidRPr="00AB6A47">
        <w:rPr>
          <w:rFonts w:ascii="Times New Roman" w:hAnsi="Times New Roman" w:cs="Times New Roman"/>
        </w:rPr>
        <w:t>Lavagem/Seleção</w:t>
      </w:r>
      <w:r w:rsidRPr="002742F3">
        <w:rPr>
          <w:rFonts w:ascii="Times New Roman" w:hAnsi="Times New Roman" w:cs="Times New Roman"/>
        </w:rPr>
        <w:t xml:space="preserve">; 2. </w:t>
      </w:r>
      <w:r w:rsidRPr="00AB6A47">
        <w:rPr>
          <w:rFonts w:ascii="Times New Roman" w:hAnsi="Times New Roman" w:cs="Times New Roman"/>
        </w:rPr>
        <w:t>Descascamento</w:t>
      </w:r>
      <w:r w:rsidRPr="002742F3">
        <w:rPr>
          <w:rFonts w:ascii="Times New Roman" w:hAnsi="Times New Roman" w:cs="Times New Roman"/>
        </w:rPr>
        <w:t xml:space="preserve">; 3. </w:t>
      </w:r>
      <w:r w:rsidRPr="00AB6A47">
        <w:rPr>
          <w:rFonts w:ascii="Times New Roman" w:hAnsi="Times New Roman" w:cs="Times New Roman"/>
        </w:rPr>
        <w:t>Despolpamento/Extração</w:t>
      </w:r>
      <w:r w:rsidRPr="002742F3">
        <w:rPr>
          <w:rFonts w:ascii="Times New Roman" w:hAnsi="Times New Roman" w:cs="Times New Roman"/>
        </w:rPr>
        <w:t>; 4.</w:t>
      </w:r>
      <w:r w:rsidRPr="00AB6A47">
        <w:rPr>
          <w:rFonts w:ascii="Times New Roman" w:hAnsi="Times New Roman" w:cs="Times New Roman"/>
        </w:rPr>
        <w:t xml:space="preserve"> Adição de água</w:t>
      </w:r>
      <w:r w:rsidRPr="002742F3">
        <w:rPr>
          <w:rFonts w:ascii="Times New Roman" w:hAnsi="Times New Roman" w:cs="Times New Roman"/>
        </w:rPr>
        <w:t xml:space="preserve"> e</w:t>
      </w:r>
      <w:r w:rsidRPr="00AB6A47">
        <w:rPr>
          <w:rFonts w:ascii="Times New Roman" w:hAnsi="Times New Roman" w:cs="Times New Roman"/>
        </w:rPr>
        <w:t xml:space="preserve"> 1/3 do açúcar</w:t>
      </w:r>
      <w:r w:rsidRPr="002742F3">
        <w:rPr>
          <w:rFonts w:ascii="Times New Roman" w:hAnsi="Times New Roman" w:cs="Times New Roman"/>
        </w:rPr>
        <w:t xml:space="preserve">; 5. </w:t>
      </w:r>
      <w:r w:rsidRPr="00AB6A47">
        <w:rPr>
          <w:rFonts w:ascii="Times New Roman" w:hAnsi="Times New Roman" w:cs="Times New Roman"/>
        </w:rPr>
        <w:t>Cocção</w:t>
      </w:r>
      <w:r w:rsidRPr="002742F3">
        <w:rPr>
          <w:rFonts w:ascii="Times New Roman" w:hAnsi="Times New Roman" w:cs="Times New Roman"/>
        </w:rPr>
        <w:t xml:space="preserve"> 6.</w:t>
      </w:r>
      <w:r w:rsidRPr="00AB6A47">
        <w:rPr>
          <w:rFonts w:ascii="Times New Roman" w:hAnsi="Times New Roman" w:cs="Times New Roman"/>
        </w:rPr>
        <w:t xml:space="preserve"> Adição de pectina e 2/3 do açúcar</w:t>
      </w:r>
      <w:r w:rsidRPr="002742F3">
        <w:rPr>
          <w:rFonts w:ascii="Times New Roman" w:hAnsi="Times New Roman" w:cs="Times New Roman"/>
        </w:rPr>
        <w:t xml:space="preserve">; 7. </w:t>
      </w:r>
      <w:r w:rsidRPr="00AB6A47">
        <w:rPr>
          <w:rFonts w:ascii="Times New Roman" w:hAnsi="Times New Roman" w:cs="Times New Roman"/>
        </w:rPr>
        <w:t>Determinação do ponto final</w:t>
      </w:r>
      <w:r w:rsidRPr="002742F3">
        <w:rPr>
          <w:rFonts w:ascii="Times New Roman" w:hAnsi="Times New Roman" w:cs="Times New Roman"/>
        </w:rPr>
        <w:t xml:space="preserve"> a partir do </w:t>
      </w:r>
      <w:r w:rsidRPr="00AB6A47">
        <w:rPr>
          <w:rFonts w:ascii="Times New Roman" w:hAnsi="Times New Roman" w:cs="Times New Roman"/>
        </w:rPr>
        <w:t>índice de refração</w:t>
      </w:r>
      <w:r w:rsidR="0011393F">
        <w:rPr>
          <w:rFonts w:ascii="Times New Roman" w:hAnsi="Times New Roman" w:cs="Times New Roman"/>
        </w:rPr>
        <w:t xml:space="preserve"> (</w:t>
      </w:r>
      <w:r w:rsidRPr="00AB6A47">
        <w:rPr>
          <w:rFonts w:ascii="Times New Roman" w:hAnsi="Times New Roman" w:cs="Times New Roman"/>
        </w:rPr>
        <w:t xml:space="preserve">em 66 </w:t>
      </w:r>
      <w:proofErr w:type="spellStart"/>
      <w:r w:rsidRPr="00AB6A47">
        <w:rPr>
          <w:rFonts w:ascii="Times New Roman" w:hAnsi="Times New Roman" w:cs="Times New Roman"/>
        </w:rPr>
        <w:t>°Brix</w:t>
      </w:r>
      <w:proofErr w:type="spellEnd"/>
      <w:r w:rsidR="0011393F">
        <w:rPr>
          <w:rFonts w:ascii="Times New Roman" w:hAnsi="Times New Roman" w:cs="Times New Roman"/>
        </w:rPr>
        <w:t xml:space="preserve">), </w:t>
      </w:r>
      <w:r w:rsidRPr="00AB6A47">
        <w:rPr>
          <w:rFonts w:ascii="Times New Roman" w:hAnsi="Times New Roman" w:cs="Times New Roman"/>
        </w:rPr>
        <w:t xml:space="preserve">e pelo teste de colher. </w:t>
      </w:r>
      <w:r w:rsidRPr="002742F3">
        <w:rPr>
          <w:rFonts w:ascii="Times New Roman" w:hAnsi="Times New Roman" w:cs="Times New Roman"/>
        </w:rPr>
        <w:t>8.</w:t>
      </w:r>
      <w:r w:rsidRPr="00AB6A47">
        <w:rPr>
          <w:rFonts w:ascii="Times New Roman" w:hAnsi="Times New Roman" w:cs="Times New Roman"/>
        </w:rPr>
        <w:t xml:space="preserve"> Fechamento</w:t>
      </w:r>
      <w:r w:rsidRPr="002742F3">
        <w:rPr>
          <w:rFonts w:ascii="Times New Roman" w:hAnsi="Times New Roman" w:cs="Times New Roman"/>
        </w:rPr>
        <w:t xml:space="preserve">; 9. </w:t>
      </w:r>
      <w:r w:rsidRPr="00AB6A47">
        <w:rPr>
          <w:rFonts w:ascii="Times New Roman" w:hAnsi="Times New Roman" w:cs="Times New Roman"/>
        </w:rPr>
        <w:t>Resfriamento e Armazenamento</w:t>
      </w:r>
      <w:r w:rsidRPr="002742F3">
        <w:rPr>
          <w:rFonts w:ascii="Times New Roman" w:hAnsi="Times New Roman" w:cs="Times New Roman"/>
        </w:rPr>
        <w:t>.</w:t>
      </w:r>
    </w:p>
    <w:p w14:paraId="37B3A0FA" w14:textId="6D352D7B" w:rsidR="007F191E" w:rsidRPr="00A210B7" w:rsidRDefault="0058086D" w:rsidP="00A210B7">
      <w:pPr>
        <w:pStyle w:val="SemEspaamento"/>
        <w:ind w:firstLine="720"/>
        <w:jc w:val="both"/>
        <w:rPr>
          <w:rFonts w:ascii="Times New Roman" w:hAnsi="Times New Roman" w:cs="Times New Roman"/>
        </w:rPr>
      </w:pPr>
      <w:r w:rsidRPr="00A210B7">
        <w:rPr>
          <w:rFonts w:ascii="Times New Roman" w:hAnsi="Times New Roman" w:cs="Times New Roman"/>
        </w:rPr>
        <w:t xml:space="preserve">As três amostras foram produzidas com as formulações descritas na Tabela 1. </w:t>
      </w:r>
    </w:p>
    <w:p w14:paraId="013378C1" w14:textId="77777777" w:rsidR="00BA1385" w:rsidRPr="002742F3" w:rsidRDefault="00BA1385" w:rsidP="002742F3">
      <w:pPr>
        <w:pStyle w:val="SemEspaamento"/>
        <w:ind w:firstLine="720"/>
        <w:jc w:val="both"/>
        <w:rPr>
          <w:rFonts w:ascii="Times New Roman" w:hAnsi="Times New Roman" w:cs="Times New Roman"/>
        </w:rPr>
      </w:pPr>
    </w:p>
    <w:p w14:paraId="2EAC471A" w14:textId="77777777" w:rsidR="00AB6A47" w:rsidRPr="002742F3" w:rsidRDefault="00651821" w:rsidP="002742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hAnsi="Times New Roman" w:cs="Times New Roman"/>
          <w:i/>
        </w:rPr>
      </w:pPr>
      <w:r w:rsidRPr="002742F3">
        <w:rPr>
          <w:rFonts w:ascii="Times New Roman" w:eastAsia="Times" w:hAnsi="Times New Roman" w:cs="Times New Roman"/>
          <w:b/>
          <w:color w:val="222222"/>
        </w:rPr>
        <w:t>Tabela 1</w:t>
      </w:r>
      <w:r w:rsidRPr="002742F3">
        <w:rPr>
          <w:rFonts w:ascii="Times New Roman" w:eastAsia="Times" w:hAnsi="Times New Roman" w:cs="Times New Roman"/>
          <w:color w:val="222222"/>
        </w:rPr>
        <w:t>.</w:t>
      </w:r>
      <w:r w:rsidR="00AB6A47" w:rsidRPr="002742F3">
        <w:rPr>
          <w:rFonts w:ascii="Times New Roman" w:hAnsi="Times New Roman" w:cs="Times New Roman"/>
          <w:i/>
        </w:rPr>
        <w:t xml:space="preserve"> Formulação das geleias de frutas produzidas.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9"/>
        <w:gridCol w:w="1665"/>
        <w:gridCol w:w="860"/>
      </w:tblGrid>
      <w:tr w:rsidR="00AB6A47" w:rsidRPr="002742F3" w14:paraId="66F2159C" w14:textId="77777777" w:rsidTr="0011393F">
        <w:trPr>
          <w:trHeight w:val="252"/>
          <w:jc w:val="center"/>
        </w:trPr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3072C3" w14:textId="77777777" w:rsidR="00AB6A47" w:rsidRPr="002742F3" w:rsidRDefault="00AB6A47" w:rsidP="002742F3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  <w:r w:rsidRPr="002742F3">
              <w:rPr>
                <w:rFonts w:ascii="Times New Roman" w:hAnsi="Times New Roman" w:cs="Times New Roman"/>
                <w:b/>
                <w:i/>
              </w:rPr>
              <w:t>Ingredientes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AF584D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42F3">
              <w:rPr>
                <w:rFonts w:ascii="Times New Roman" w:hAnsi="Times New Roman" w:cs="Times New Roman"/>
                <w:b/>
                <w:i/>
              </w:rPr>
              <w:t>Quantidade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DB5FAB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42F3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AB6A47" w:rsidRPr="002742F3" w14:paraId="372555AD" w14:textId="77777777" w:rsidTr="0011393F">
        <w:trPr>
          <w:trHeight w:val="273"/>
          <w:jc w:val="center"/>
        </w:trPr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033F07D" w14:textId="77777777" w:rsidR="00AB6A47" w:rsidRPr="002742F3" w:rsidRDefault="00AB6A47" w:rsidP="002742F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742F3">
              <w:rPr>
                <w:rFonts w:ascii="Times New Roman" w:hAnsi="Times New Roman" w:cs="Times New Roman"/>
                <w:i/>
              </w:rPr>
              <w:t>Formulação 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9DDE0E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5C6F44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A47" w:rsidRPr="002742F3" w14:paraId="75604481" w14:textId="77777777" w:rsidTr="0011393F">
        <w:trPr>
          <w:trHeight w:val="273"/>
          <w:jc w:val="center"/>
        </w:trPr>
        <w:tc>
          <w:tcPr>
            <w:tcW w:w="1909" w:type="dxa"/>
            <w:hideMark/>
          </w:tcPr>
          <w:p w14:paraId="2E549CC0" w14:textId="77777777" w:rsidR="00AB6A47" w:rsidRPr="002742F3" w:rsidRDefault="00AB6A47" w:rsidP="002742F3">
            <w:pPr>
              <w:jc w:val="both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Polpa de frutas</w:t>
            </w:r>
          </w:p>
        </w:tc>
        <w:tc>
          <w:tcPr>
            <w:tcW w:w="1665" w:type="dxa"/>
            <w:hideMark/>
          </w:tcPr>
          <w:p w14:paraId="7F0E2F7D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1 kg</w:t>
            </w:r>
          </w:p>
        </w:tc>
        <w:tc>
          <w:tcPr>
            <w:tcW w:w="860" w:type="dxa"/>
            <w:hideMark/>
          </w:tcPr>
          <w:p w14:paraId="5E40C206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50</w:t>
            </w:r>
          </w:p>
        </w:tc>
      </w:tr>
      <w:tr w:rsidR="00AB6A47" w:rsidRPr="002742F3" w14:paraId="62DE4B38" w14:textId="77777777" w:rsidTr="0011393F">
        <w:trPr>
          <w:trHeight w:val="273"/>
          <w:jc w:val="center"/>
        </w:trPr>
        <w:tc>
          <w:tcPr>
            <w:tcW w:w="1909" w:type="dxa"/>
            <w:hideMark/>
          </w:tcPr>
          <w:p w14:paraId="09311163" w14:textId="77777777" w:rsidR="00AB6A47" w:rsidRPr="002742F3" w:rsidRDefault="00AB6A47" w:rsidP="002742F3">
            <w:pPr>
              <w:jc w:val="both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Açúcar</w:t>
            </w:r>
          </w:p>
        </w:tc>
        <w:tc>
          <w:tcPr>
            <w:tcW w:w="1665" w:type="dxa"/>
            <w:hideMark/>
          </w:tcPr>
          <w:p w14:paraId="3A74B4A5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1 kg</w:t>
            </w:r>
          </w:p>
        </w:tc>
        <w:tc>
          <w:tcPr>
            <w:tcW w:w="860" w:type="dxa"/>
            <w:hideMark/>
          </w:tcPr>
          <w:p w14:paraId="2A42E1D4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50</w:t>
            </w:r>
          </w:p>
        </w:tc>
      </w:tr>
      <w:tr w:rsidR="00AB6A47" w:rsidRPr="002742F3" w14:paraId="0037A594" w14:textId="77777777" w:rsidTr="0011393F">
        <w:trPr>
          <w:trHeight w:val="273"/>
          <w:jc w:val="center"/>
        </w:trPr>
        <w:tc>
          <w:tcPr>
            <w:tcW w:w="1909" w:type="dxa"/>
            <w:hideMark/>
          </w:tcPr>
          <w:p w14:paraId="04F88EF2" w14:textId="77777777" w:rsidR="00AB6A47" w:rsidRPr="002742F3" w:rsidRDefault="00AB6A47" w:rsidP="002742F3">
            <w:pPr>
              <w:jc w:val="both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Pectina</w:t>
            </w:r>
          </w:p>
        </w:tc>
        <w:tc>
          <w:tcPr>
            <w:tcW w:w="1665" w:type="dxa"/>
            <w:hideMark/>
          </w:tcPr>
          <w:p w14:paraId="4E908718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15 g</w:t>
            </w:r>
          </w:p>
        </w:tc>
        <w:tc>
          <w:tcPr>
            <w:tcW w:w="860" w:type="dxa"/>
            <w:hideMark/>
          </w:tcPr>
          <w:p w14:paraId="199B91DE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1,5</w:t>
            </w:r>
          </w:p>
        </w:tc>
      </w:tr>
      <w:tr w:rsidR="00AB6A47" w:rsidRPr="002742F3" w14:paraId="0F21D128" w14:textId="77777777" w:rsidTr="0011393F">
        <w:trPr>
          <w:trHeight w:val="273"/>
          <w:jc w:val="center"/>
        </w:trPr>
        <w:tc>
          <w:tcPr>
            <w:tcW w:w="1909" w:type="dxa"/>
            <w:shd w:val="clear" w:color="auto" w:fill="D9D9D9" w:themeFill="background1" w:themeFillShade="D9"/>
            <w:hideMark/>
          </w:tcPr>
          <w:p w14:paraId="71D7CD85" w14:textId="77777777" w:rsidR="00AB6A47" w:rsidRPr="002742F3" w:rsidRDefault="00AB6A47" w:rsidP="002742F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742F3">
              <w:rPr>
                <w:rFonts w:ascii="Times New Roman" w:hAnsi="Times New Roman" w:cs="Times New Roman"/>
                <w:i/>
              </w:rPr>
              <w:t>Formulação 2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7EF44E57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</w:tcPr>
          <w:p w14:paraId="7D6E64E6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A47" w:rsidRPr="002742F3" w14:paraId="7DAF98EC" w14:textId="77777777" w:rsidTr="0011393F">
        <w:trPr>
          <w:trHeight w:val="273"/>
          <w:jc w:val="center"/>
        </w:trPr>
        <w:tc>
          <w:tcPr>
            <w:tcW w:w="1909" w:type="dxa"/>
            <w:hideMark/>
          </w:tcPr>
          <w:p w14:paraId="1F6199EA" w14:textId="77777777" w:rsidR="00AB6A47" w:rsidRPr="002742F3" w:rsidRDefault="00AB6A47" w:rsidP="002742F3">
            <w:pPr>
              <w:jc w:val="both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Polpa de frutas</w:t>
            </w:r>
          </w:p>
        </w:tc>
        <w:tc>
          <w:tcPr>
            <w:tcW w:w="1665" w:type="dxa"/>
            <w:hideMark/>
          </w:tcPr>
          <w:p w14:paraId="7E5A6A30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1 kg</w:t>
            </w:r>
          </w:p>
        </w:tc>
        <w:tc>
          <w:tcPr>
            <w:tcW w:w="860" w:type="dxa"/>
            <w:hideMark/>
          </w:tcPr>
          <w:p w14:paraId="6DA8BEE0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45</w:t>
            </w:r>
          </w:p>
        </w:tc>
      </w:tr>
      <w:tr w:rsidR="00AB6A47" w:rsidRPr="002742F3" w14:paraId="680D7942" w14:textId="77777777" w:rsidTr="0011393F">
        <w:trPr>
          <w:trHeight w:val="273"/>
          <w:jc w:val="center"/>
        </w:trPr>
        <w:tc>
          <w:tcPr>
            <w:tcW w:w="1909" w:type="dxa"/>
            <w:hideMark/>
          </w:tcPr>
          <w:p w14:paraId="548A982F" w14:textId="77777777" w:rsidR="00AB6A47" w:rsidRPr="002742F3" w:rsidRDefault="00AB6A47" w:rsidP="002742F3">
            <w:pPr>
              <w:jc w:val="both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Açúcar</w:t>
            </w:r>
          </w:p>
        </w:tc>
        <w:tc>
          <w:tcPr>
            <w:tcW w:w="1665" w:type="dxa"/>
            <w:hideMark/>
          </w:tcPr>
          <w:p w14:paraId="63FD260D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1,2 kg</w:t>
            </w:r>
          </w:p>
        </w:tc>
        <w:tc>
          <w:tcPr>
            <w:tcW w:w="860" w:type="dxa"/>
            <w:hideMark/>
          </w:tcPr>
          <w:p w14:paraId="01A9BEE8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55</w:t>
            </w:r>
          </w:p>
        </w:tc>
      </w:tr>
      <w:tr w:rsidR="00AB6A47" w:rsidRPr="002742F3" w14:paraId="2493D737" w14:textId="77777777" w:rsidTr="0011393F">
        <w:trPr>
          <w:trHeight w:val="273"/>
          <w:jc w:val="center"/>
        </w:trPr>
        <w:tc>
          <w:tcPr>
            <w:tcW w:w="1909" w:type="dxa"/>
            <w:hideMark/>
          </w:tcPr>
          <w:p w14:paraId="67F1D4E8" w14:textId="77777777" w:rsidR="00AB6A47" w:rsidRPr="002742F3" w:rsidRDefault="00AB6A47" w:rsidP="002742F3">
            <w:pPr>
              <w:jc w:val="both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Pectina</w:t>
            </w:r>
          </w:p>
        </w:tc>
        <w:tc>
          <w:tcPr>
            <w:tcW w:w="1665" w:type="dxa"/>
            <w:hideMark/>
          </w:tcPr>
          <w:p w14:paraId="4381BE38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18,2 g</w:t>
            </w:r>
          </w:p>
        </w:tc>
        <w:tc>
          <w:tcPr>
            <w:tcW w:w="860" w:type="dxa"/>
            <w:hideMark/>
          </w:tcPr>
          <w:p w14:paraId="636B406F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1,5</w:t>
            </w:r>
          </w:p>
        </w:tc>
      </w:tr>
      <w:tr w:rsidR="00AB6A47" w:rsidRPr="002742F3" w14:paraId="50B58732" w14:textId="77777777" w:rsidTr="0011393F">
        <w:trPr>
          <w:trHeight w:val="252"/>
          <w:jc w:val="center"/>
        </w:trPr>
        <w:tc>
          <w:tcPr>
            <w:tcW w:w="1909" w:type="dxa"/>
            <w:shd w:val="clear" w:color="auto" w:fill="D9D9D9" w:themeFill="background1" w:themeFillShade="D9"/>
            <w:hideMark/>
          </w:tcPr>
          <w:p w14:paraId="56B41A3E" w14:textId="77777777" w:rsidR="00AB6A47" w:rsidRPr="002742F3" w:rsidRDefault="00AB6A47" w:rsidP="002742F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742F3">
              <w:rPr>
                <w:rFonts w:ascii="Times New Roman" w:hAnsi="Times New Roman" w:cs="Times New Roman"/>
                <w:i/>
              </w:rPr>
              <w:t>Formulação 3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565F9E61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</w:tcPr>
          <w:p w14:paraId="2D4BD19F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A47" w:rsidRPr="002742F3" w14:paraId="715197DA" w14:textId="77777777" w:rsidTr="0011393F">
        <w:trPr>
          <w:trHeight w:val="273"/>
          <w:jc w:val="center"/>
        </w:trPr>
        <w:tc>
          <w:tcPr>
            <w:tcW w:w="1909" w:type="dxa"/>
            <w:hideMark/>
          </w:tcPr>
          <w:p w14:paraId="5F10591C" w14:textId="77777777" w:rsidR="00AB6A47" w:rsidRPr="002742F3" w:rsidRDefault="00AB6A47" w:rsidP="002742F3">
            <w:pPr>
              <w:jc w:val="both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Polpa de frutas</w:t>
            </w:r>
          </w:p>
        </w:tc>
        <w:tc>
          <w:tcPr>
            <w:tcW w:w="1665" w:type="dxa"/>
            <w:hideMark/>
          </w:tcPr>
          <w:p w14:paraId="1137801C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1 kg</w:t>
            </w:r>
          </w:p>
        </w:tc>
        <w:tc>
          <w:tcPr>
            <w:tcW w:w="860" w:type="dxa"/>
            <w:hideMark/>
          </w:tcPr>
          <w:p w14:paraId="193A6C18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40</w:t>
            </w:r>
          </w:p>
        </w:tc>
      </w:tr>
      <w:tr w:rsidR="00AB6A47" w:rsidRPr="002742F3" w14:paraId="1886DB88" w14:textId="77777777" w:rsidTr="0011393F">
        <w:trPr>
          <w:trHeight w:val="273"/>
          <w:jc w:val="center"/>
        </w:trPr>
        <w:tc>
          <w:tcPr>
            <w:tcW w:w="1909" w:type="dxa"/>
            <w:hideMark/>
          </w:tcPr>
          <w:p w14:paraId="623B7CCE" w14:textId="77777777" w:rsidR="00AB6A47" w:rsidRPr="002742F3" w:rsidRDefault="00AB6A47" w:rsidP="002742F3">
            <w:pPr>
              <w:jc w:val="both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Açúcar</w:t>
            </w:r>
          </w:p>
        </w:tc>
        <w:tc>
          <w:tcPr>
            <w:tcW w:w="1665" w:type="dxa"/>
            <w:hideMark/>
          </w:tcPr>
          <w:p w14:paraId="1F2FD95C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1,4 kg</w:t>
            </w:r>
          </w:p>
        </w:tc>
        <w:tc>
          <w:tcPr>
            <w:tcW w:w="860" w:type="dxa"/>
            <w:hideMark/>
          </w:tcPr>
          <w:p w14:paraId="09B24ED4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60</w:t>
            </w:r>
          </w:p>
        </w:tc>
      </w:tr>
      <w:tr w:rsidR="00AB6A47" w:rsidRPr="002742F3" w14:paraId="4389F7C5" w14:textId="77777777" w:rsidTr="0011393F">
        <w:trPr>
          <w:trHeight w:val="273"/>
          <w:jc w:val="center"/>
        </w:trPr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A0B2F2" w14:textId="77777777" w:rsidR="00AB6A47" w:rsidRPr="002742F3" w:rsidRDefault="00AB6A47" w:rsidP="002742F3">
            <w:pPr>
              <w:jc w:val="both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Pectina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FDACC8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21,6 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DA3757" w14:textId="77777777" w:rsidR="00AB6A47" w:rsidRPr="002742F3" w:rsidRDefault="00AB6A47" w:rsidP="002742F3">
            <w:pPr>
              <w:jc w:val="center"/>
              <w:rPr>
                <w:rFonts w:ascii="Times New Roman" w:hAnsi="Times New Roman" w:cs="Times New Roman"/>
              </w:rPr>
            </w:pPr>
            <w:r w:rsidRPr="002742F3">
              <w:rPr>
                <w:rFonts w:ascii="Times New Roman" w:hAnsi="Times New Roman" w:cs="Times New Roman"/>
              </w:rPr>
              <w:t>1,5</w:t>
            </w:r>
          </w:p>
        </w:tc>
      </w:tr>
    </w:tbl>
    <w:p w14:paraId="369BA503" w14:textId="2904797C" w:rsidR="00A210B7" w:rsidRPr="00F939D2" w:rsidRDefault="000F43C9" w:rsidP="0011393F">
      <w:pPr>
        <w:pStyle w:val="SemEspaamen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segunda etapa do experimento, as três formulações de </w:t>
      </w:r>
      <w:proofErr w:type="spellStart"/>
      <w:r>
        <w:rPr>
          <w:rFonts w:ascii="Times New Roman" w:hAnsi="Times New Roman" w:cs="Times New Roman"/>
        </w:rPr>
        <w:t>geléia</w:t>
      </w:r>
      <w:proofErr w:type="spellEnd"/>
      <w:r>
        <w:rPr>
          <w:rFonts w:ascii="Times New Roman" w:hAnsi="Times New Roman" w:cs="Times New Roman"/>
        </w:rPr>
        <w:t xml:space="preserve"> foram submetidas aos seguintes testes sensoriais </w:t>
      </w:r>
      <w:r w:rsidRPr="00AB6A47">
        <w:rPr>
          <w:rFonts w:ascii="Times New Roman" w:hAnsi="Times New Roman" w:cs="Times New Roman"/>
        </w:rPr>
        <w:t xml:space="preserve">de aceitação: </w:t>
      </w:r>
      <w:r w:rsidRPr="002742F3">
        <w:rPr>
          <w:rFonts w:ascii="Times New Roman" w:hAnsi="Times New Roman" w:cs="Times New Roman"/>
        </w:rPr>
        <w:t xml:space="preserve">1. </w:t>
      </w:r>
      <w:r w:rsidR="00445B50">
        <w:rPr>
          <w:rFonts w:ascii="Times New Roman" w:hAnsi="Times New Roman" w:cs="Times New Roman"/>
        </w:rPr>
        <w:t>E</w:t>
      </w:r>
      <w:r w:rsidRPr="002742F3">
        <w:rPr>
          <w:rFonts w:ascii="Times New Roman" w:hAnsi="Times New Roman" w:cs="Times New Roman"/>
        </w:rPr>
        <w:t>scala h</w:t>
      </w:r>
      <w:r w:rsidR="0011393F">
        <w:rPr>
          <w:rFonts w:ascii="Times New Roman" w:hAnsi="Times New Roman" w:cs="Times New Roman"/>
        </w:rPr>
        <w:t>edônica de 9 pontos, variando</w:t>
      </w:r>
      <w:r w:rsidRPr="002742F3">
        <w:rPr>
          <w:rFonts w:ascii="Times New Roman" w:hAnsi="Times New Roman" w:cs="Times New Roman"/>
        </w:rPr>
        <w:t xml:space="preserve"> </w:t>
      </w:r>
      <w:r w:rsidR="004570EC" w:rsidRPr="003509AB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do 1- desgostei muitíss</w:t>
      </w:r>
      <w:r w:rsidR="004570E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imo até o 9- gostei muitíssimo</w:t>
      </w:r>
      <w:r w:rsidR="00165427" w:rsidRPr="00165427">
        <w:rPr>
          <w:rFonts w:ascii="Times New Roman" w:hAnsi="Times New Roman" w:cs="Times New Roman"/>
          <w:vertAlign w:val="superscript"/>
        </w:rPr>
        <w:t>5</w:t>
      </w:r>
      <w:r w:rsidR="00165427">
        <w:rPr>
          <w:rFonts w:ascii="Times New Roman" w:hAnsi="Times New Roman" w:cs="Times New Roman"/>
        </w:rPr>
        <w:t>;</w:t>
      </w:r>
      <w:r w:rsidRPr="002742F3">
        <w:rPr>
          <w:rFonts w:ascii="Times New Roman" w:hAnsi="Times New Roman" w:cs="Times New Roman"/>
        </w:rPr>
        <w:t xml:space="preserve"> </w:t>
      </w:r>
      <w:r w:rsidR="00676D8E">
        <w:rPr>
          <w:rFonts w:ascii="Times New Roman" w:hAnsi="Times New Roman" w:cs="Times New Roman"/>
        </w:rPr>
        <w:t>2</w:t>
      </w:r>
      <w:r w:rsidR="00445B50">
        <w:rPr>
          <w:rFonts w:ascii="Times New Roman" w:hAnsi="Times New Roman" w:cs="Times New Roman"/>
        </w:rPr>
        <w:t>. A</w:t>
      </w:r>
      <w:r w:rsidRPr="002742F3">
        <w:rPr>
          <w:rFonts w:ascii="Times New Roman" w:hAnsi="Times New Roman" w:cs="Times New Roman"/>
        </w:rPr>
        <w:t xml:space="preserve">titude de compra, com cinco variações, do </w:t>
      </w:r>
      <w:r w:rsidR="004570EC">
        <w:rPr>
          <w:rFonts w:ascii="Times New Roman" w:hAnsi="Times New Roman" w:cs="Times New Roman"/>
        </w:rPr>
        <w:t xml:space="preserve">1 - </w:t>
      </w:r>
      <w:r w:rsidRPr="002742F3">
        <w:rPr>
          <w:rFonts w:ascii="Times New Roman" w:hAnsi="Times New Roman" w:cs="Times New Roman"/>
        </w:rPr>
        <w:t>“certamente não compraria” ao</w:t>
      </w:r>
      <w:r w:rsidR="004570EC">
        <w:rPr>
          <w:rFonts w:ascii="Times New Roman" w:hAnsi="Times New Roman" w:cs="Times New Roman"/>
        </w:rPr>
        <w:t xml:space="preserve"> 5-</w:t>
      </w:r>
      <w:r w:rsidRPr="002742F3">
        <w:rPr>
          <w:rFonts w:ascii="Times New Roman" w:hAnsi="Times New Roman" w:cs="Times New Roman"/>
        </w:rPr>
        <w:t xml:space="preserve"> “certamente compraria”; </w:t>
      </w:r>
      <w:r w:rsidR="00676D8E">
        <w:rPr>
          <w:rFonts w:ascii="Times New Roman" w:hAnsi="Times New Roman" w:cs="Times New Roman"/>
        </w:rPr>
        <w:t>3</w:t>
      </w:r>
      <w:r w:rsidRPr="002742F3">
        <w:rPr>
          <w:rFonts w:ascii="Times New Roman" w:hAnsi="Times New Roman" w:cs="Times New Roman"/>
        </w:rPr>
        <w:t xml:space="preserve">. </w:t>
      </w:r>
      <w:r w:rsidR="00D356C0">
        <w:rPr>
          <w:rFonts w:ascii="Times New Roman" w:hAnsi="Times New Roman" w:cs="Times New Roman"/>
        </w:rPr>
        <w:t>O</w:t>
      </w:r>
      <w:r w:rsidRPr="002742F3">
        <w:rPr>
          <w:rFonts w:ascii="Times New Roman" w:hAnsi="Times New Roman" w:cs="Times New Roman"/>
        </w:rPr>
        <w:t xml:space="preserve">rdenação de preferência, onde o </w:t>
      </w:r>
      <w:r w:rsidR="00165427">
        <w:rPr>
          <w:rFonts w:ascii="Times New Roman" w:hAnsi="Times New Roman" w:cs="Times New Roman"/>
        </w:rPr>
        <w:t xml:space="preserve">provador </w:t>
      </w:r>
      <w:r w:rsidRPr="002742F3">
        <w:rPr>
          <w:rFonts w:ascii="Times New Roman" w:hAnsi="Times New Roman" w:cs="Times New Roman"/>
        </w:rPr>
        <w:t>ordenou as</w:t>
      </w:r>
      <w:r w:rsidR="004570EC">
        <w:rPr>
          <w:rFonts w:ascii="Times New Roman" w:hAnsi="Times New Roman" w:cs="Times New Roman"/>
        </w:rPr>
        <w:t xml:space="preserve"> três</w:t>
      </w:r>
      <w:r w:rsidRPr="002742F3">
        <w:rPr>
          <w:rFonts w:ascii="Times New Roman" w:hAnsi="Times New Roman" w:cs="Times New Roman"/>
        </w:rPr>
        <w:t xml:space="preserve"> amostras conforme sua avaliação global de preferência</w:t>
      </w:r>
      <w:r w:rsidR="0067337D">
        <w:rPr>
          <w:rFonts w:ascii="Times New Roman" w:hAnsi="Times New Roman" w:cs="Times New Roman"/>
        </w:rPr>
        <w:t xml:space="preserve"> sensorial</w:t>
      </w:r>
      <w:r w:rsidRPr="002742F3">
        <w:rPr>
          <w:rFonts w:ascii="Times New Roman" w:hAnsi="Times New Roman" w:cs="Times New Roman"/>
        </w:rPr>
        <w:t>.</w:t>
      </w:r>
      <w:r w:rsidR="00F939D2" w:rsidRPr="00F939D2">
        <w:t xml:space="preserve"> </w:t>
      </w:r>
    </w:p>
    <w:p w14:paraId="7000B9C5" w14:textId="35970B87" w:rsidR="00E4566E" w:rsidRDefault="0011393F" w:rsidP="00E4566E">
      <w:pPr>
        <w:spacing w:after="16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</w:t>
      </w:r>
      <w:r w:rsidR="00AB6A47" w:rsidRPr="00AB6A47">
        <w:rPr>
          <w:rFonts w:ascii="Times New Roman" w:hAnsi="Times New Roman" w:cs="Times New Roman"/>
        </w:rPr>
        <w:t>tilizando</w:t>
      </w:r>
      <w:r>
        <w:rPr>
          <w:rFonts w:ascii="Times New Roman" w:hAnsi="Times New Roman" w:cs="Times New Roman"/>
        </w:rPr>
        <w:t>-se</w:t>
      </w:r>
      <w:r w:rsidR="00AB6A47" w:rsidRPr="00AB6A47">
        <w:rPr>
          <w:rFonts w:ascii="Times New Roman" w:hAnsi="Times New Roman" w:cs="Times New Roman"/>
        </w:rPr>
        <w:t xml:space="preserve"> das cabines individuais disponíveis na estrutura do Laboratório de Análise Sensorial, 60 (sessenta) provadores participaram d</w:t>
      </w:r>
      <w:r w:rsidR="0067337D">
        <w:rPr>
          <w:rFonts w:ascii="Times New Roman" w:hAnsi="Times New Roman" w:cs="Times New Roman"/>
        </w:rPr>
        <w:t>o experimento</w:t>
      </w:r>
      <w:r>
        <w:rPr>
          <w:rFonts w:ascii="Times New Roman" w:hAnsi="Times New Roman" w:cs="Times New Roman"/>
        </w:rPr>
        <w:t xml:space="preserve">. Cada provador recebeu </w:t>
      </w:r>
      <w:r w:rsidR="00AB6A47" w:rsidRPr="00AB6A47">
        <w:rPr>
          <w:rFonts w:ascii="Times New Roman" w:hAnsi="Times New Roman" w:cs="Times New Roman"/>
        </w:rPr>
        <w:t xml:space="preserve">três recipientes com cerca de 30 ml de cada amostra e um formulário com informações a preencher </w:t>
      </w:r>
      <w:r w:rsidR="000F43C9">
        <w:rPr>
          <w:rFonts w:ascii="Times New Roman" w:hAnsi="Times New Roman" w:cs="Times New Roman"/>
        </w:rPr>
        <w:t>sobre cada um dos testes sensoriais avaliados.</w:t>
      </w:r>
    </w:p>
    <w:p w14:paraId="136449C9" w14:textId="77777777" w:rsidR="00E4566E" w:rsidRPr="002742F3" w:rsidRDefault="00E4566E" w:rsidP="00E4566E">
      <w:pPr>
        <w:spacing w:after="160" w:line="240" w:lineRule="auto"/>
        <w:ind w:firstLine="720"/>
        <w:jc w:val="both"/>
        <w:rPr>
          <w:rFonts w:ascii="Times New Roman" w:hAnsi="Times New Roman" w:cs="Times New Roman"/>
        </w:rPr>
      </w:pPr>
    </w:p>
    <w:p w14:paraId="647EAA29" w14:textId="77777777" w:rsidR="00253F0C" w:rsidRPr="002742F3" w:rsidRDefault="003509AB" w:rsidP="002742F3">
      <w:pPr>
        <w:pStyle w:val="SemEspaamento"/>
        <w:jc w:val="both"/>
        <w:rPr>
          <w:rFonts w:ascii="Times New Roman" w:hAnsi="Times New Roman" w:cs="Times New Roman"/>
          <w:b/>
        </w:rPr>
      </w:pPr>
      <w:r w:rsidRPr="002742F3">
        <w:rPr>
          <w:rFonts w:ascii="Times New Roman" w:hAnsi="Times New Roman" w:cs="Times New Roman"/>
          <w:b/>
        </w:rPr>
        <w:t>RESULTADOS E DISCUSSÃO</w:t>
      </w:r>
    </w:p>
    <w:p w14:paraId="6A52C261" w14:textId="559BA5A6" w:rsidR="003509AB" w:rsidRPr="002742F3" w:rsidRDefault="00F51CAC" w:rsidP="002742F3">
      <w:pPr>
        <w:pStyle w:val="SemEspaamento"/>
        <w:ind w:firstLine="720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2742F3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O gráfico a seguir apresenta os resultados obtidos </w:t>
      </w:r>
      <w:r w:rsidR="00D356C0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com os provadores a partir da</w:t>
      </w:r>
      <w:r w:rsidR="003509AB" w:rsidRPr="003509AB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escala hedônica de nove pontos</w:t>
      </w:r>
      <w:r w:rsidR="004570EC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:</w:t>
      </w:r>
    </w:p>
    <w:p w14:paraId="03F7FB21" w14:textId="77777777" w:rsidR="007D5561" w:rsidRPr="002742F3" w:rsidRDefault="007D5561" w:rsidP="002742F3">
      <w:pPr>
        <w:pStyle w:val="SemEspaamento"/>
        <w:ind w:firstLine="720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</w:p>
    <w:p w14:paraId="5B69C614" w14:textId="77777777" w:rsidR="003D2ADE" w:rsidRPr="003509AB" w:rsidRDefault="007D5561" w:rsidP="002742F3">
      <w:pPr>
        <w:pStyle w:val="SemEspaamento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2742F3">
        <w:rPr>
          <w:rFonts w:ascii="Times New Roman" w:eastAsia="Times" w:hAnsi="Times New Roman" w:cs="Times New Roman"/>
          <w:b/>
          <w:color w:val="222222"/>
        </w:rPr>
        <w:t>Gráfico 1</w:t>
      </w:r>
      <w:r w:rsidRPr="002742F3">
        <w:rPr>
          <w:rFonts w:ascii="Times New Roman" w:eastAsia="Times" w:hAnsi="Times New Roman" w:cs="Times New Roman"/>
          <w:color w:val="222222"/>
        </w:rPr>
        <w:t>.</w:t>
      </w:r>
      <w:r w:rsidRPr="002742F3">
        <w:rPr>
          <w:rFonts w:ascii="Times New Roman" w:hAnsi="Times New Roman" w:cs="Times New Roman"/>
          <w:i/>
        </w:rPr>
        <w:t xml:space="preserve"> </w:t>
      </w:r>
      <w:r w:rsidR="00900150" w:rsidRPr="002742F3">
        <w:rPr>
          <w:rFonts w:ascii="Times New Roman" w:hAnsi="Times New Roman" w:cs="Times New Roman"/>
          <w:i/>
        </w:rPr>
        <w:t>Resultados obtidos na escala Hedônica.</w:t>
      </w:r>
      <w:r w:rsidR="003D2ADE" w:rsidRPr="00877AD2">
        <w:rPr>
          <w:rFonts w:ascii="Times New Roman" w:eastAsia="Calibri" w:hAnsi="Times New Roman" w:cs="Times New Roman"/>
          <w:noProof/>
          <w:color w:val="000000"/>
          <w:shd w:val="clear" w:color="auto" w:fill="FFFFFF"/>
        </w:rPr>
        <w:drawing>
          <wp:inline distT="0" distB="0" distL="0" distR="0" wp14:anchorId="29217110" wp14:editId="6B959EFE">
            <wp:extent cx="2763079" cy="1500808"/>
            <wp:effectExtent l="0" t="0" r="0" b="444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0C1CE4C" w14:textId="47ED0D0D" w:rsidR="007D5561" w:rsidRPr="006C3A9C" w:rsidRDefault="00F562A2" w:rsidP="006C3A9C">
      <w:pPr>
        <w:spacing w:after="160" w:line="240" w:lineRule="auto"/>
        <w:ind w:firstLine="720"/>
        <w:jc w:val="both"/>
        <w:rPr>
          <w:rFonts w:ascii="Times New Roman" w:hAnsi="Times New Roman" w:cs="Times New Roman"/>
        </w:rPr>
      </w:pPr>
      <w:r w:rsidRPr="002742F3">
        <w:rPr>
          <w:rFonts w:ascii="Times New Roman" w:hAnsi="Times New Roman" w:cs="Times New Roman"/>
        </w:rPr>
        <w:t xml:space="preserve">Os </w:t>
      </w:r>
      <w:r w:rsidR="006C3A9C">
        <w:rPr>
          <w:rFonts w:ascii="Times New Roman" w:hAnsi="Times New Roman" w:cs="Times New Roman"/>
        </w:rPr>
        <w:t>resultados de Intenção de C</w:t>
      </w:r>
      <w:r w:rsidRPr="002742F3">
        <w:rPr>
          <w:rFonts w:ascii="Times New Roman" w:hAnsi="Times New Roman" w:cs="Times New Roman"/>
        </w:rPr>
        <w:t>ompra se ap</w:t>
      </w:r>
      <w:r w:rsidR="006C3A9C">
        <w:rPr>
          <w:rFonts w:ascii="Times New Roman" w:hAnsi="Times New Roman" w:cs="Times New Roman"/>
        </w:rPr>
        <w:t>resentam no gráfico 2, a seguir:</w:t>
      </w:r>
    </w:p>
    <w:p w14:paraId="061432FF" w14:textId="77777777" w:rsidR="007D5561" w:rsidRPr="002742F3" w:rsidRDefault="007D5561" w:rsidP="002742F3">
      <w:pPr>
        <w:pStyle w:val="SemEspaamento"/>
        <w:jc w:val="both"/>
        <w:rPr>
          <w:rFonts w:ascii="Times New Roman" w:eastAsia="Calibri" w:hAnsi="Times New Roman" w:cs="Times New Roman"/>
          <w:i/>
          <w:iCs/>
        </w:rPr>
      </w:pPr>
      <w:r w:rsidRPr="002742F3">
        <w:rPr>
          <w:rFonts w:ascii="Times New Roman" w:eastAsia="Times" w:hAnsi="Times New Roman" w:cs="Times New Roman"/>
          <w:b/>
          <w:color w:val="222222"/>
        </w:rPr>
        <w:t>Gráfico 2</w:t>
      </w:r>
      <w:r w:rsidRPr="002742F3">
        <w:rPr>
          <w:rFonts w:ascii="Times New Roman" w:eastAsia="Times" w:hAnsi="Times New Roman" w:cs="Times New Roman"/>
          <w:color w:val="222222"/>
        </w:rPr>
        <w:t>.</w:t>
      </w:r>
      <w:r w:rsidRPr="002742F3">
        <w:rPr>
          <w:rFonts w:ascii="Times New Roman" w:hAnsi="Times New Roman" w:cs="Times New Roman"/>
          <w:i/>
        </w:rPr>
        <w:t xml:space="preserve"> </w:t>
      </w:r>
      <w:r w:rsidRPr="00877AD2">
        <w:rPr>
          <w:rFonts w:ascii="Times New Roman" w:eastAsia="Calibri" w:hAnsi="Times New Roman" w:cs="Times New Roman"/>
          <w:i/>
          <w:iCs/>
        </w:rPr>
        <w:t>Resultados da Intenção de Compra</w:t>
      </w:r>
    </w:p>
    <w:p w14:paraId="4FF51E01" w14:textId="77777777" w:rsidR="003509AB" w:rsidRPr="003509AB" w:rsidRDefault="003509AB" w:rsidP="002742F3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</w:p>
    <w:p w14:paraId="098CDD24" w14:textId="77777777" w:rsidR="003509AB" w:rsidRPr="00877AD2" w:rsidRDefault="003509AB" w:rsidP="002742F3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77AD2">
        <w:rPr>
          <w:rFonts w:ascii="Times New Roman" w:eastAsia="Calibri" w:hAnsi="Times New Roman" w:cs="Times New Roman"/>
          <w:noProof/>
          <w:color w:val="000000"/>
          <w:shd w:val="clear" w:color="auto" w:fill="FFFFFF"/>
        </w:rPr>
        <w:drawing>
          <wp:inline distT="0" distB="0" distL="0" distR="0" wp14:anchorId="7CC9DF12" wp14:editId="34558304">
            <wp:extent cx="2773017" cy="1500809"/>
            <wp:effectExtent l="0" t="0" r="8890" b="4445"/>
            <wp:docPr id="2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C0C5A35" w14:textId="7E9A2AC6" w:rsidR="00F562A2" w:rsidRPr="002742F3" w:rsidRDefault="00F51CAC" w:rsidP="0067337D">
      <w:pPr>
        <w:spacing w:after="160" w:line="240" w:lineRule="auto"/>
        <w:ind w:firstLine="720"/>
        <w:jc w:val="both"/>
        <w:rPr>
          <w:rFonts w:ascii="Times New Roman" w:hAnsi="Times New Roman" w:cs="Times New Roman"/>
        </w:rPr>
      </w:pPr>
      <w:r w:rsidRPr="002742F3">
        <w:rPr>
          <w:rFonts w:ascii="Times New Roman" w:hAnsi="Times New Roman" w:cs="Times New Roman"/>
        </w:rPr>
        <w:t>Por fim</w:t>
      </w:r>
      <w:r w:rsidR="00437533" w:rsidRPr="002742F3">
        <w:rPr>
          <w:rFonts w:ascii="Times New Roman" w:hAnsi="Times New Roman" w:cs="Times New Roman"/>
        </w:rPr>
        <w:t xml:space="preserve">, o </w:t>
      </w:r>
      <w:r w:rsidRPr="002742F3">
        <w:rPr>
          <w:rFonts w:ascii="Times New Roman" w:hAnsi="Times New Roman" w:cs="Times New Roman"/>
        </w:rPr>
        <w:t>consumidor ordenou as amostras conforme sua avaliação global de preferência.</w:t>
      </w:r>
      <w:r w:rsidR="00437533" w:rsidRPr="002742F3">
        <w:rPr>
          <w:rFonts w:ascii="Times New Roman" w:hAnsi="Times New Roman" w:cs="Times New Roman"/>
        </w:rPr>
        <w:t xml:space="preserve"> </w:t>
      </w:r>
      <w:r w:rsidR="006656B3" w:rsidRPr="002742F3">
        <w:rPr>
          <w:rFonts w:ascii="Times New Roman" w:hAnsi="Times New Roman" w:cs="Times New Roman"/>
        </w:rPr>
        <w:t>Os resul</w:t>
      </w:r>
      <w:r w:rsidR="006C3A9C">
        <w:rPr>
          <w:rFonts w:ascii="Times New Roman" w:hAnsi="Times New Roman" w:cs="Times New Roman"/>
        </w:rPr>
        <w:t>tados se encontram no gráfico 3:</w:t>
      </w:r>
    </w:p>
    <w:p w14:paraId="00EDA2F0" w14:textId="77777777" w:rsidR="006656B3" w:rsidRPr="002742F3" w:rsidRDefault="006656B3" w:rsidP="002742F3">
      <w:pPr>
        <w:pStyle w:val="SemEspaamento"/>
        <w:jc w:val="both"/>
        <w:rPr>
          <w:rFonts w:ascii="Times New Roman" w:hAnsi="Times New Roman" w:cs="Times New Roman"/>
        </w:rPr>
      </w:pPr>
      <w:r w:rsidRPr="002742F3">
        <w:rPr>
          <w:rFonts w:ascii="Times New Roman" w:eastAsia="Times" w:hAnsi="Times New Roman" w:cs="Times New Roman"/>
          <w:b/>
          <w:color w:val="222222"/>
        </w:rPr>
        <w:t>Gráfico 3</w:t>
      </w:r>
      <w:r w:rsidRPr="002742F3">
        <w:rPr>
          <w:rFonts w:ascii="Times New Roman" w:eastAsia="Times" w:hAnsi="Times New Roman" w:cs="Times New Roman"/>
          <w:color w:val="222222"/>
        </w:rPr>
        <w:t>.</w:t>
      </w:r>
      <w:r w:rsidRPr="002742F3">
        <w:rPr>
          <w:rFonts w:ascii="Times New Roman" w:hAnsi="Times New Roman" w:cs="Times New Roman"/>
          <w:i/>
        </w:rPr>
        <w:t xml:space="preserve"> Preferência global dos provadores</w:t>
      </w:r>
    </w:p>
    <w:p w14:paraId="37907215" w14:textId="77777777" w:rsidR="006656B3" w:rsidRPr="002742F3" w:rsidRDefault="006656B3" w:rsidP="002742F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742F3">
        <w:rPr>
          <w:rFonts w:ascii="Times New Roman" w:hAnsi="Times New Roman" w:cs="Times New Roman"/>
          <w:noProof/>
          <w:color w:val="000000"/>
          <w:shd w:val="clear" w:color="auto" w:fill="FFFFFF"/>
          <w:lang w:eastAsia="pt-BR"/>
        </w:rPr>
        <w:drawing>
          <wp:inline distT="0" distB="0" distL="0" distR="0" wp14:anchorId="28DF491D" wp14:editId="3B74803B">
            <wp:extent cx="2534479" cy="1351722"/>
            <wp:effectExtent l="0" t="0" r="0" b="127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F66CBCD" w14:textId="12C8AF31" w:rsidR="000F43C9" w:rsidRDefault="0067337D" w:rsidP="006C3A9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A partir dos resultados obtidos, constatou-se que a amostra 1 apresentou a maior aceitação</w:t>
      </w:r>
      <w:r w:rsidR="00E4566E">
        <w:rPr>
          <w:rFonts w:ascii="Times New Roman" w:eastAsia="Times New Roman" w:hAnsi="Times New Roman" w:cs="Times New Roman"/>
          <w:lang w:eastAsia="en-US"/>
        </w:rPr>
        <w:t xml:space="preserve"> nos testes de</w:t>
      </w:r>
      <w:r>
        <w:rPr>
          <w:rFonts w:ascii="Times New Roman" w:eastAsia="Times New Roman" w:hAnsi="Times New Roman" w:cs="Times New Roman"/>
          <w:lang w:eastAsia="en-US"/>
        </w:rPr>
        <w:t xml:space="preserve"> escala hedônica e preferência global</w:t>
      </w:r>
      <w:r w:rsidR="004570EC">
        <w:rPr>
          <w:rFonts w:ascii="Times New Roman" w:eastAsia="Times New Roman" w:hAnsi="Times New Roman" w:cs="Times New Roman"/>
          <w:lang w:eastAsia="en-US"/>
        </w:rPr>
        <w:t xml:space="preserve"> entre os </w:t>
      </w:r>
      <w:r w:rsidR="00D356C0">
        <w:rPr>
          <w:rFonts w:ascii="Times New Roman" w:eastAsia="Times New Roman" w:hAnsi="Times New Roman" w:cs="Times New Roman"/>
          <w:lang w:eastAsia="en-US"/>
        </w:rPr>
        <w:t>provadores</w:t>
      </w:r>
      <w:r w:rsidR="004570EC">
        <w:rPr>
          <w:rFonts w:ascii="Times New Roman" w:eastAsia="Times New Roman" w:hAnsi="Times New Roman" w:cs="Times New Roman"/>
          <w:lang w:eastAsia="en-US"/>
        </w:rPr>
        <w:t xml:space="preserve">. </w:t>
      </w:r>
      <w:r w:rsidR="004B3EDA">
        <w:rPr>
          <w:rFonts w:ascii="Times New Roman" w:eastAsia="Times New Roman" w:hAnsi="Times New Roman" w:cs="Times New Roman"/>
          <w:lang w:eastAsia="en-US"/>
        </w:rPr>
        <w:t>Os resultados do teste de intenção de compra mostraram maior aceitação das amostras 1 e 2, em detrimento da terceira.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="006C3A9C">
        <w:rPr>
          <w:rFonts w:ascii="Times New Roman" w:eastAsia="Times New Roman" w:hAnsi="Times New Roman" w:cs="Times New Roman"/>
          <w:lang w:eastAsia="en-US"/>
        </w:rPr>
        <w:t>C</w:t>
      </w:r>
      <w:r w:rsidR="006656B3" w:rsidRPr="003509AB">
        <w:rPr>
          <w:rFonts w:ascii="Times New Roman" w:eastAsia="Times New Roman" w:hAnsi="Times New Roman" w:cs="Times New Roman"/>
          <w:lang w:eastAsia="en-US"/>
        </w:rPr>
        <w:t xml:space="preserve">omparando com outras literaturas, na qual não </w:t>
      </w:r>
      <w:r w:rsidR="006656B3" w:rsidRPr="002742F3">
        <w:rPr>
          <w:rFonts w:ascii="Times New Roman" w:eastAsia="Times New Roman" w:hAnsi="Times New Roman" w:cs="Times New Roman"/>
          <w:lang w:eastAsia="en-US"/>
        </w:rPr>
        <w:t>se</w:t>
      </w:r>
      <w:r w:rsidR="006656B3" w:rsidRPr="003509AB">
        <w:rPr>
          <w:rFonts w:ascii="Times New Roman" w:eastAsia="Times New Roman" w:hAnsi="Times New Roman" w:cs="Times New Roman"/>
          <w:lang w:eastAsia="en-US"/>
        </w:rPr>
        <w:t xml:space="preserve"> consta</w:t>
      </w:r>
      <w:r w:rsidR="006656B3" w:rsidRPr="002742F3">
        <w:rPr>
          <w:rFonts w:ascii="Times New Roman" w:eastAsia="Times New Roman" w:hAnsi="Times New Roman" w:cs="Times New Roman"/>
          <w:lang w:eastAsia="en-US"/>
        </w:rPr>
        <w:t>tou</w:t>
      </w:r>
      <w:r w:rsidR="006656B3" w:rsidRPr="003509AB">
        <w:rPr>
          <w:rFonts w:ascii="Times New Roman" w:eastAsia="Times New Roman" w:hAnsi="Times New Roman" w:cs="Times New Roman"/>
          <w:lang w:eastAsia="en-US"/>
        </w:rPr>
        <w:t xml:space="preserve"> a produção de um produto com as </w:t>
      </w:r>
      <w:r w:rsidR="006656B3" w:rsidRPr="002742F3">
        <w:rPr>
          <w:rFonts w:ascii="Times New Roman" w:eastAsia="Times New Roman" w:hAnsi="Times New Roman" w:cs="Times New Roman"/>
          <w:lang w:eastAsia="en-US"/>
        </w:rPr>
        <w:t xml:space="preserve">mesmas </w:t>
      </w:r>
      <w:r w:rsidR="006656B3" w:rsidRPr="003509AB">
        <w:rPr>
          <w:rFonts w:ascii="Times New Roman" w:eastAsia="Times New Roman" w:hAnsi="Times New Roman" w:cs="Times New Roman"/>
          <w:lang w:eastAsia="en-US"/>
        </w:rPr>
        <w:t xml:space="preserve">características do aqui apresentado, temos </w:t>
      </w:r>
      <w:r w:rsidR="006C3A9C">
        <w:rPr>
          <w:rFonts w:ascii="Times New Roman" w:eastAsia="Times New Roman" w:hAnsi="Times New Roman" w:cs="Times New Roman"/>
          <w:lang w:eastAsia="en-US"/>
        </w:rPr>
        <w:t xml:space="preserve">a geração de um novo produto </w:t>
      </w:r>
      <w:r w:rsidR="0076334D">
        <w:rPr>
          <w:rFonts w:ascii="Times New Roman" w:eastAsia="Times New Roman" w:hAnsi="Times New Roman" w:cs="Times New Roman"/>
          <w:lang w:eastAsia="en-US"/>
        </w:rPr>
        <w:t xml:space="preserve">com boa aceitação sensorial. </w:t>
      </w:r>
    </w:p>
    <w:p w14:paraId="10B5C6B7" w14:textId="77777777" w:rsidR="00E4566E" w:rsidRPr="002742F3" w:rsidRDefault="00E4566E" w:rsidP="006C3A9C">
      <w:pPr>
        <w:spacing w:after="16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</w:p>
    <w:p w14:paraId="738CBCD8" w14:textId="77777777" w:rsidR="003C5CE7" w:rsidRPr="002742F3" w:rsidRDefault="00651821" w:rsidP="002742F3">
      <w:pPr>
        <w:pStyle w:val="SemEspaamento"/>
        <w:jc w:val="both"/>
        <w:rPr>
          <w:rFonts w:ascii="Times New Roman" w:hAnsi="Times New Roman" w:cs="Times New Roman"/>
          <w:b/>
        </w:rPr>
      </w:pPr>
      <w:r w:rsidRPr="002742F3">
        <w:rPr>
          <w:rFonts w:ascii="Times New Roman" w:hAnsi="Times New Roman" w:cs="Times New Roman"/>
          <w:b/>
        </w:rPr>
        <w:t>CONCLUSÃO</w:t>
      </w:r>
    </w:p>
    <w:p w14:paraId="7935A93F" w14:textId="5A277A5E" w:rsidR="00AB6A47" w:rsidRPr="002742F3" w:rsidRDefault="00253F0C" w:rsidP="002742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 w:firstLine="720"/>
        <w:jc w:val="both"/>
        <w:rPr>
          <w:rFonts w:ascii="Times New Roman" w:hAnsi="Times New Roman" w:cs="Times New Roman"/>
        </w:rPr>
      </w:pPr>
      <w:r w:rsidRPr="002742F3">
        <w:rPr>
          <w:rFonts w:ascii="Times New Roman" w:hAnsi="Times New Roman" w:cs="Times New Roman"/>
        </w:rPr>
        <w:t xml:space="preserve"> A </w:t>
      </w:r>
      <w:proofErr w:type="spellStart"/>
      <w:r w:rsidRPr="002742F3">
        <w:rPr>
          <w:rFonts w:ascii="Times New Roman" w:hAnsi="Times New Roman" w:cs="Times New Roman"/>
        </w:rPr>
        <w:t>patir</w:t>
      </w:r>
      <w:proofErr w:type="spellEnd"/>
      <w:r w:rsidRPr="002742F3">
        <w:rPr>
          <w:rFonts w:ascii="Times New Roman" w:hAnsi="Times New Roman" w:cs="Times New Roman"/>
        </w:rPr>
        <w:t xml:space="preserve"> dos resultados obtidos na an</w:t>
      </w:r>
      <w:r w:rsidR="002742F3">
        <w:rPr>
          <w:rFonts w:ascii="Times New Roman" w:hAnsi="Times New Roman" w:cs="Times New Roman"/>
        </w:rPr>
        <w:t>á</w:t>
      </w:r>
      <w:r w:rsidRPr="002742F3">
        <w:rPr>
          <w:rFonts w:ascii="Times New Roman" w:hAnsi="Times New Roman" w:cs="Times New Roman"/>
        </w:rPr>
        <w:t>lise sensorial</w:t>
      </w:r>
      <w:r w:rsidR="002742F3">
        <w:rPr>
          <w:rFonts w:ascii="Times New Roman" w:hAnsi="Times New Roman" w:cs="Times New Roman"/>
        </w:rPr>
        <w:t>,</w:t>
      </w:r>
      <w:r w:rsidRPr="002742F3">
        <w:rPr>
          <w:rFonts w:ascii="Times New Roman" w:hAnsi="Times New Roman" w:cs="Times New Roman"/>
        </w:rPr>
        <w:t xml:space="preserve"> concluiu-se que o produto apresentado despertou a curiosidade e boa aceitação junto aos provadores.</w:t>
      </w:r>
      <w:r w:rsidR="0058086D" w:rsidRPr="002742F3">
        <w:rPr>
          <w:rFonts w:ascii="Times New Roman" w:hAnsi="Times New Roman" w:cs="Times New Roman"/>
        </w:rPr>
        <w:t xml:space="preserve"> </w:t>
      </w:r>
      <w:r w:rsidR="0076334D">
        <w:rPr>
          <w:rFonts w:ascii="Times New Roman" w:hAnsi="Times New Roman" w:cs="Times New Roman"/>
        </w:rPr>
        <w:t>Visam-se novos estudos utilizando as amostras com maior aceitação. Vislumbra-</w:t>
      </w:r>
      <w:r w:rsidRPr="002742F3">
        <w:rPr>
          <w:rFonts w:ascii="Times New Roman" w:hAnsi="Times New Roman" w:cs="Times New Roman"/>
        </w:rPr>
        <w:t xml:space="preserve">se um </w:t>
      </w:r>
      <w:r w:rsidR="0058086D" w:rsidRPr="002742F3">
        <w:rPr>
          <w:rFonts w:ascii="Times New Roman" w:hAnsi="Times New Roman" w:cs="Times New Roman"/>
        </w:rPr>
        <w:t xml:space="preserve">forte mercado </w:t>
      </w:r>
      <w:r w:rsidR="00290008">
        <w:rPr>
          <w:rFonts w:ascii="Times New Roman" w:hAnsi="Times New Roman" w:cs="Times New Roman"/>
        </w:rPr>
        <w:t xml:space="preserve">da </w:t>
      </w:r>
      <w:proofErr w:type="spellStart"/>
      <w:r w:rsidR="00290008">
        <w:rPr>
          <w:rFonts w:ascii="Times New Roman" w:hAnsi="Times New Roman" w:cs="Times New Roman"/>
        </w:rPr>
        <w:t>gelé</w:t>
      </w:r>
      <w:r w:rsidRPr="002742F3">
        <w:rPr>
          <w:rFonts w:ascii="Times New Roman" w:hAnsi="Times New Roman" w:cs="Times New Roman"/>
        </w:rPr>
        <w:t>ia</w:t>
      </w:r>
      <w:proofErr w:type="spellEnd"/>
      <w:r w:rsidRPr="002742F3">
        <w:rPr>
          <w:rFonts w:ascii="Times New Roman" w:hAnsi="Times New Roman" w:cs="Times New Roman"/>
        </w:rPr>
        <w:t xml:space="preserve"> </w:t>
      </w:r>
      <w:r w:rsidR="0076334D">
        <w:rPr>
          <w:rFonts w:ascii="Times New Roman" w:hAnsi="Times New Roman" w:cs="Times New Roman"/>
        </w:rPr>
        <w:t xml:space="preserve">de frutas vermelhas </w:t>
      </w:r>
      <w:r w:rsidR="00C764E6">
        <w:rPr>
          <w:rFonts w:ascii="Times New Roman" w:hAnsi="Times New Roman" w:cs="Times New Roman"/>
        </w:rPr>
        <w:t xml:space="preserve">para todos os públicos, especialmente </w:t>
      </w:r>
      <w:r w:rsidR="0058086D" w:rsidRPr="002742F3">
        <w:rPr>
          <w:rFonts w:ascii="Times New Roman" w:hAnsi="Times New Roman" w:cs="Times New Roman"/>
        </w:rPr>
        <w:t xml:space="preserve">pessoas que procuram alimentos </w:t>
      </w:r>
      <w:r w:rsidR="00D356C0">
        <w:rPr>
          <w:rFonts w:ascii="Times New Roman" w:hAnsi="Times New Roman" w:cs="Times New Roman"/>
        </w:rPr>
        <w:t>saudáveis, porém pouco consumidos</w:t>
      </w:r>
      <w:r w:rsidRPr="002742F3">
        <w:rPr>
          <w:rFonts w:ascii="Times New Roman" w:hAnsi="Times New Roman" w:cs="Times New Roman"/>
        </w:rPr>
        <w:t>.</w:t>
      </w:r>
    </w:p>
    <w:p w14:paraId="1AAABC9E" w14:textId="77777777" w:rsidR="00253F0C" w:rsidRPr="002742F3" w:rsidRDefault="00253F0C" w:rsidP="002742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 w:firstLine="720"/>
        <w:jc w:val="both"/>
        <w:rPr>
          <w:rFonts w:ascii="Times New Roman" w:hAnsi="Times New Roman" w:cs="Times New Roman"/>
        </w:rPr>
      </w:pPr>
    </w:p>
    <w:p w14:paraId="2312AE13" w14:textId="77777777" w:rsidR="00AB6A47" w:rsidRPr="00676D8E" w:rsidRDefault="00651821" w:rsidP="002742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</w:rPr>
      </w:pPr>
      <w:r w:rsidRPr="00676D8E">
        <w:rPr>
          <w:rFonts w:ascii="Times New Roman" w:eastAsia="Times" w:hAnsi="Times New Roman" w:cs="Times New Roman"/>
          <w:b/>
          <w:color w:val="000000"/>
        </w:rPr>
        <w:t xml:space="preserve">REFERENCIAL </w:t>
      </w:r>
      <w:r w:rsidRPr="00676D8E">
        <w:rPr>
          <w:rFonts w:ascii="Times New Roman" w:eastAsia="Times" w:hAnsi="Times New Roman" w:cs="Times New Roman"/>
          <w:b/>
        </w:rPr>
        <w:t>BIBLIOGRÁFICO</w:t>
      </w:r>
    </w:p>
    <w:p w14:paraId="1EACDCFB" w14:textId="38CAC170" w:rsidR="00271EA1" w:rsidRPr="006C3A9C" w:rsidRDefault="00271EA1" w:rsidP="00507C14">
      <w:pPr>
        <w:pStyle w:val="PargrafodaLista"/>
        <w:widowControl w:val="0"/>
        <w:numPr>
          <w:ilvl w:val="0"/>
          <w:numId w:val="3"/>
        </w:numPr>
        <w:spacing w:after="100" w:line="240" w:lineRule="auto"/>
        <w:ind w:right="90"/>
        <w:rPr>
          <w:rFonts w:ascii="Times New Roman" w:eastAsia="Times" w:hAnsi="Times New Roman" w:cs="Times New Roman"/>
          <w:color w:val="222222"/>
        </w:rPr>
      </w:pPr>
      <w:r w:rsidRPr="006C3A9C">
        <w:rPr>
          <w:rFonts w:ascii="Times New Roman" w:eastAsia="Times" w:hAnsi="Times New Roman" w:cs="Times New Roman"/>
          <w:color w:val="222222"/>
        </w:rPr>
        <w:t xml:space="preserve">LOPES, R.L.T.; FILGUEIRAS, H.A.C.; CARDOSO, M.P. Manual para fabricação de </w:t>
      </w:r>
      <w:proofErr w:type="spellStart"/>
      <w:r w:rsidRPr="006C3A9C">
        <w:rPr>
          <w:rFonts w:ascii="Times New Roman" w:eastAsia="Times" w:hAnsi="Times New Roman" w:cs="Times New Roman"/>
          <w:color w:val="222222"/>
        </w:rPr>
        <w:t>geléias</w:t>
      </w:r>
      <w:proofErr w:type="spellEnd"/>
      <w:r w:rsidRPr="006C3A9C">
        <w:rPr>
          <w:rFonts w:ascii="Times New Roman" w:eastAsia="Times" w:hAnsi="Times New Roman" w:cs="Times New Roman"/>
          <w:color w:val="222222"/>
        </w:rPr>
        <w:t xml:space="preserve">. Belo Horizonte: Fundação Centro Tecnológico de Minas Gerais/ </w:t>
      </w:r>
      <w:proofErr w:type="spellStart"/>
      <w:r w:rsidRPr="006C3A9C">
        <w:rPr>
          <w:rFonts w:ascii="Times New Roman" w:eastAsia="Times" w:hAnsi="Times New Roman" w:cs="Times New Roman"/>
          <w:color w:val="222222"/>
        </w:rPr>
        <w:t>Cetec</w:t>
      </w:r>
      <w:proofErr w:type="spellEnd"/>
      <w:r w:rsidRPr="006C3A9C">
        <w:rPr>
          <w:rFonts w:ascii="Times New Roman" w:eastAsia="Times" w:hAnsi="Times New Roman" w:cs="Times New Roman"/>
          <w:color w:val="222222"/>
        </w:rPr>
        <w:t xml:space="preserve"> (Série de publicações técnicas), 1985.</w:t>
      </w:r>
    </w:p>
    <w:p w14:paraId="1EF0F998" w14:textId="77777777" w:rsidR="00507C14" w:rsidRPr="006C3A9C" w:rsidRDefault="00507C14" w:rsidP="00271EA1">
      <w:pPr>
        <w:pStyle w:val="PargrafodaLista"/>
        <w:widowControl w:val="0"/>
        <w:numPr>
          <w:ilvl w:val="0"/>
          <w:numId w:val="3"/>
        </w:numPr>
        <w:spacing w:after="100" w:line="240" w:lineRule="auto"/>
        <w:ind w:right="90"/>
        <w:rPr>
          <w:rFonts w:ascii="Times New Roman" w:eastAsia="Times" w:hAnsi="Times New Roman" w:cs="Times New Roman"/>
          <w:color w:val="222222"/>
        </w:rPr>
      </w:pPr>
      <w:r w:rsidRPr="006C3A9C">
        <w:rPr>
          <w:rFonts w:ascii="Times New Roman" w:hAnsi="Times New Roman" w:cs="Times New Roman"/>
        </w:rPr>
        <w:t xml:space="preserve">JACKIX, M. H. Doces, </w:t>
      </w:r>
      <w:proofErr w:type="spellStart"/>
      <w:r w:rsidRPr="006C3A9C">
        <w:rPr>
          <w:rFonts w:ascii="Times New Roman" w:hAnsi="Times New Roman" w:cs="Times New Roman"/>
        </w:rPr>
        <w:t>geléias</w:t>
      </w:r>
      <w:proofErr w:type="spellEnd"/>
      <w:r w:rsidRPr="006C3A9C">
        <w:rPr>
          <w:rFonts w:ascii="Times New Roman" w:hAnsi="Times New Roman" w:cs="Times New Roman"/>
        </w:rPr>
        <w:t xml:space="preserve"> e frutas em calda. Campinas. Ed. UNICAMP: ICONE, 1988. 171p.</w:t>
      </w:r>
    </w:p>
    <w:p w14:paraId="3C2F077A" w14:textId="31EE3DC7" w:rsidR="003C5CE7" w:rsidRPr="006C3A9C" w:rsidRDefault="00271EA1" w:rsidP="00271EA1">
      <w:pPr>
        <w:pStyle w:val="PargrafodaLista"/>
        <w:widowControl w:val="0"/>
        <w:numPr>
          <w:ilvl w:val="0"/>
          <w:numId w:val="3"/>
        </w:numPr>
        <w:spacing w:after="100" w:line="240" w:lineRule="auto"/>
        <w:ind w:right="90"/>
        <w:rPr>
          <w:rFonts w:ascii="Times New Roman" w:eastAsia="Times" w:hAnsi="Times New Roman" w:cs="Times New Roman"/>
          <w:color w:val="222222"/>
        </w:rPr>
      </w:pPr>
      <w:r w:rsidRPr="006C3A9C">
        <w:rPr>
          <w:rFonts w:ascii="Times New Roman" w:eastAsia="Times" w:hAnsi="Times New Roman" w:cs="Times New Roman"/>
          <w:color w:val="222222"/>
        </w:rPr>
        <w:t xml:space="preserve"> </w:t>
      </w:r>
      <w:r w:rsidR="00AB6A47" w:rsidRPr="006C3A9C">
        <w:rPr>
          <w:rFonts w:ascii="Times New Roman" w:eastAsia="Times" w:hAnsi="Times New Roman" w:cs="Times New Roman"/>
          <w:color w:val="222222"/>
        </w:rPr>
        <w:t>BRASIL. Resolução CNNPA n° 12, de 24 de julho de 1978. Dispõe sobre Normas e Técnicas Especiais, do Estado de São Paulo, revistas pela CNNPA, relativas a a</w:t>
      </w:r>
      <w:r w:rsidR="0067337D" w:rsidRPr="006C3A9C">
        <w:rPr>
          <w:rFonts w:ascii="Times New Roman" w:eastAsia="Times" w:hAnsi="Times New Roman" w:cs="Times New Roman"/>
          <w:color w:val="222222"/>
        </w:rPr>
        <w:t>limentos (</w:t>
      </w:r>
      <w:r w:rsidR="00AB6A47" w:rsidRPr="006C3A9C">
        <w:rPr>
          <w:rFonts w:ascii="Times New Roman" w:eastAsia="Times" w:hAnsi="Times New Roman" w:cs="Times New Roman"/>
          <w:color w:val="222222"/>
        </w:rPr>
        <w:t>e bebidas), para efeito em todo território brasileiro. Agência Nacional de Vigilância Sanitária. Brasília, 24 de julho de 1978.</w:t>
      </w:r>
    </w:p>
    <w:p w14:paraId="1BC4D67C" w14:textId="6BBFD2F8" w:rsidR="00676D8E" w:rsidRPr="006C3A9C" w:rsidRDefault="00676D8E" w:rsidP="00271EA1">
      <w:pPr>
        <w:pStyle w:val="PargrafodaLista"/>
        <w:widowControl w:val="0"/>
        <w:numPr>
          <w:ilvl w:val="0"/>
          <w:numId w:val="3"/>
        </w:numPr>
        <w:spacing w:after="100" w:line="240" w:lineRule="auto"/>
        <w:ind w:right="90"/>
        <w:rPr>
          <w:rFonts w:ascii="Times New Roman" w:eastAsia="Times" w:hAnsi="Times New Roman" w:cs="Times New Roman"/>
          <w:color w:val="222222"/>
        </w:rPr>
      </w:pPr>
      <w:r w:rsidRPr="006C3A9C">
        <w:rPr>
          <w:rFonts w:ascii="Times New Roman" w:hAnsi="Times New Roman" w:cs="Times New Roman"/>
          <w:color w:val="222222"/>
          <w:shd w:val="clear" w:color="auto" w:fill="FFFFFF"/>
        </w:rPr>
        <w:t>VIZZOTTO, Marcia. Propriedades funcionais das pequenas frutas.</w:t>
      </w:r>
      <w:r w:rsidRPr="00E4566E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E4566E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Informe Agropecuário</w:t>
      </w:r>
      <w:r w:rsidRPr="006C3A9C">
        <w:rPr>
          <w:rFonts w:ascii="Times New Roman" w:hAnsi="Times New Roman" w:cs="Times New Roman"/>
          <w:color w:val="222222"/>
          <w:shd w:val="clear" w:color="auto" w:fill="FFFFFF"/>
        </w:rPr>
        <w:t>, Belo Horizonte, v. 33, n. 268, p.84-88, 2012.</w:t>
      </w:r>
    </w:p>
    <w:p w14:paraId="390D684F" w14:textId="038B4DDD" w:rsidR="00165427" w:rsidRPr="006C3A9C" w:rsidRDefault="00165427" w:rsidP="00271EA1">
      <w:pPr>
        <w:pStyle w:val="PargrafodaLista"/>
        <w:widowControl w:val="0"/>
        <w:numPr>
          <w:ilvl w:val="0"/>
          <w:numId w:val="3"/>
        </w:numPr>
        <w:spacing w:after="100" w:line="240" w:lineRule="auto"/>
        <w:ind w:right="90"/>
        <w:rPr>
          <w:rFonts w:ascii="Times New Roman" w:eastAsia="Times" w:hAnsi="Times New Roman" w:cs="Times New Roman"/>
          <w:color w:val="222222"/>
        </w:rPr>
      </w:pPr>
      <w:r w:rsidRPr="006C3A9C">
        <w:rPr>
          <w:rFonts w:ascii="Times New Roman" w:hAnsi="Times New Roman" w:cs="Times New Roman"/>
        </w:rPr>
        <w:t xml:space="preserve">MEILGAARD, M.; CIVILLE, G. V.; CARR, B. T. </w:t>
      </w:r>
      <w:proofErr w:type="spellStart"/>
      <w:r w:rsidRPr="006C3A9C">
        <w:rPr>
          <w:rFonts w:ascii="Times New Roman" w:hAnsi="Times New Roman" w:cs="Times New Roman"/>
        </w:rPr>
        <w:t>Sensory</w:t>
      </w:r>
      <w:proofErr w:type="spellEnd"/>
      <w:r w:rsidRPr="006C3A9C">
        <w:rPr>
          <w:rFonts w:ascii="Times New Roman" w:hAnsi="Times New Roman" w:cs="Times New Roman"/>
        </w:rPr>
        <w:t xml:space="preserve"> </w:t>
      </w:r>
      <w:proofErr w:type="spellStart"/>
      <w:r w:rsidRPr="006C3A9C">
        <w:rPr>
          <w:rFonts w:ascii="Times New Roman" w:hAnsi="Times New Roman" w:cs="Times New Roman"/>
        </w:rPr>
        <w:t>evaluation</w:t>
      </w:r>
      <w:proofErr w:type="spellEnd"/>
      <w:r w:rsidRPr="006C3A9C">
        <w:rPr>
          <w:rFonts w:ascii="Times New Roman" w:hAnsi="Times New Roman" w:cs="Times New Roman"/>
        </w:rPr>
        <w:t xml:space="preserve"> </w:t>
      </w:r>
      <w:proofErr w:type="spellStart"/>
      <w:r w:rsidRPr="006C3A9C">
        <w:rPr>
          <w:rFonts w:ascii="Times New Roman" w:hAnsi="Times New Roman" w:cs="Times New Roman"/>
        </w:rPr>
        <w:t>techniques</w:t>
      </w:r>
      <w:proofErr w:type="spellEnd"/>
      <w:r w:rsidRPr="006C3A9C">
        <w:rPr>
          <w:rFonts w:ascii="Times New Roman" w:hAnsi="Times New Roman" w:cs="Times New Roman"/>
        </w:rPr>
        <w:t xml:space="preserve">. Boca </w:t>
      </w:r>
      <w:proofErr w:type="spellStart"/>
      <w:r w:rsidRPr="006C3A9C">
        <w:rPr>
          <w:rFonts w:ascii="Times New Roman" w:hAnsi="Times New Roman" w:cs="Times New Roman"/>
        </w:rPr>
        <w:t>Raton</w:t>
      </w:r>
      <w:proofErr w:type="spellEnd"/>
      <w:r w:rsidRPr="006C3A9C">
        <w:rPr>
          <w:rFonts w:ascii="Times New Roman" w:hAnsi="Times New Roman" w:cs="Times New Roman"/>
        </w:rPr>
        <w:t>: CRC Press, 1987. 159p.</w:t>
      </w:r>
    </w:p>
    <w:sectPr w:rsidR="00165427" w:rsidRPr="006C3A9C" w:rsidSect="009377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0" w:footer="720" w:gutter="0"/>
      <w:pgNumType w:start="1"/>
      <w:cols w:num="2" w:space="720" w:equalWidth="0">
        <w:col w:w="4626" w:space="720"/>
        <w:col w:w="4626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AA6D1" w14:textId="77777777" w:rsidR="003724F5" w:rsidRDefault="003724F5">
      <w:pPr>
        <w:spacing w:line="240" w:lineRule="auto"/>
      </w:pPr>
      <w:r>
        <w:separator/>
      </w:r>
    </w:p>
  </w:endnote>
  <w:endnote w:type="continuationSeparator" w:id="0">
    <w:p w14:paraId="25420AEC" w14:textId="77777777" w:rsidR="003724F5" w:rsidRDefault="00372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1BAAA" w14:textId="77777777" w:rsidR="00167038" w:rsidRDefault="001670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57D3F" w14:textId="77777777" w:rsidR="00167038" w:rsidRDefault="0016703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84D65" w14:textId="77777777" w:rsidR="00167038" w:rsidRDefault="00167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086E0" w14:textId="77777777" w:rsidR="003724F5" w:rsidRDefault="003724F5">
      <w:pPr>
        <w:spacing w:line="240" w:lineRule="auto"/>
      </w:pPr>
      <w:r>
        <w:separator/>
      </w:r>
    </w:p>
  </w:footnote>
  <w:footnote w:type="continuationSeparator" w:id="0">
    <w:p w14:paraId="6E18978D" w14:textId="77777777" w:rsidR="003724F5" w:rsidRDefault="003724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5BDF6" w14:textId="77777777" w:rsidR="00167038" w:rsidRDefault="001670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B9728" w14:textId="77777777" w:rsidR="003C5CE7" w:rsidRDefault="003C5CE7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2B32BBB0" w14:textId="77777777" w:rsidR="003C5CE7" w:rsidRDefault="003C5CE7">
    <w:pPr>
      <w:widowControl w:val="0"/>
      <w:spacing w:after="100"/>
      <w:ind w:right="-419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96F54" w14:textId="77777777" w:rsidR="0009247D" w:rsidRDefault="0009247D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03B0BAF7" w14:textId="77777777" w:rsidR="0009247D" w:rsidRDefault="0009247D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2E015A37" w14:textId="77777777" w:rsidR="003D2ADE" w:rsidRDefault="003D2ADE" w:rsidP="003D2ADE">
    <w:pPr>
      <w:jc w:val="center"/>
      <w:rPr>
        <w:color w:val="000000"/>
        <w:sz w:val="28"/>
      </w:rPr>
    </w:pPr>
    <w:r>
      <w:rPr>
        <w:rFonts w:ascii="Times New Roman" w:eastAsia="Times New Roman" w:hAnsi="Times New Roman" w:cs="Times New Roman"/>
        <w:b/>
        <w:color w:val="000000"/>
        <w:sz w:val="28"/>
      </w:rPr>
      <w:t>Desenvolvimento e Análise Sensorial de Geleia de Frutas Vermelhas</w:t>
    </w:r>
  </w:p>
  <w:p w14:paraId="04EECA93" w14:textId="77777777" w:rsidR="001D3423" w:rsidRDefault="001D3423">
    <w:pPr>
      <w:widowControl w:val="0"/>
      <w:spacing w:line="240" w:lineRule="auto"/>
      <w:ind w:right="-419"/>
      <w:jc w:val="center"/>
      <w:rPr>
        <w:rFonts w:ascii="Times" w:eastAsia="Times" w:hAnsi="Times" w:cs="Times"/>
        <w:sz w:val="24"/>
        <w:szCs w:val="24"/>
      </w:rPr>
    </w:pPr>
  </w:p>
  <w:p w14:paraId="57DE0DAB" w14:textId="5A7785A7" w:rsidR="003C5CE7" w:rsidRPr="005530BC" w:rsidRDefault="004B10CC" w:rsidP="004B10CC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szCs w:val="20"/>
      </w:rPr>
    </w:pPr>
    <w:r>
      <w:rPr>
        <w:rFonts w:ascii="Times" w:eastAsia="Times" w:hAnsi="Times" w:cs="Times"/>
        <w:szCs w:val="20"/>
      </w:rPr>
      <w:t>Samuel Elias Andrade Gomes</w:t>
    </w:r>
    <w:r w:rsidRPr="004B10CC">
      <w:rPr>
        <w:rFonts w:ascii="Times" w:eastAsia="Times" w:hAnsi="Times" w:cs="Times"/>
        <w:szCs w:val="20"/>
        <w:vertAlign w:val="superscript"/>
      </w:rPr>
      <w:t>1</w:t>
    </w:r>
    <w:r>
      <w:rPr>
        <w:rFonts w:ascii="Times" w:eastAsia="Times" w:hAnsi="Times" w:cs="Times"/>
        <w:szCs w:val="20"/>
      </w:rPr>
      <w:t xml:space="preserve">, </w:t>
    </w:r>
    <w:r w:rsidR="003D2ADE" w:rsidRPr="003D2ADE">
      <w:rPr>
        <w:rFonts w:ascii="Times" w:eastAsia="Times" w:hAnsi="Times" w:cs="Times"/>
        <w:szCs w:val="20"/>
      </w:rPr>
      <w:t xml:space="preserve">Francisco </w:t>
    </w:r>
    <w:proofErr w:type="spellStart"/>
    <w:r w:rsidR="003D2ADE" w:rsidRPr="003D2ADE">
      <w:rPr>
        <w:rFonts w:ascii="Times" w:eastAsia="Times" w:hAnsi="Times" w:cs="Times"/>
        <w:szCs w:val="20"/>
      </w:rPr>
      <w:t>Willame</w:t>
    </w:r>
    <w:proofErr w:type="spellEnd"/>
    <w:r w:rsidR="003D2ADE" w:rsidRPr="003D2ADE">
      <w:rPr>
        <w:rFonts w:ascii="Times" w:eastAsia="Times" w:hAnsi="Times" w:cs="Times"/>
        <w:szCs w:val="20"/>
      </w:rPr>
      <w:t xml:space="preserve"> de Sousa Alberto J</w:t>
    </w:r>
    <w:r w:rsidR="00167038">
      <w:rPr>
        <w:rFonts w:ascii="Times" w:eastAsia="Times" w:hAnsi="Times" w:cs="Times"/>
        <w:szCs w:val="20"/>
      </w:rPr>
      <w:t>u</w:t>
    </w:r>
    <w:r w:rsidR="003D2ADE" w:rsidRPr="003D2ADE">
      <w:rPr>
        <w:rFonts w:ascii="Times" w:eastAsia="Times" w:hAnsi="Times" w:cs="Times"/>
        <w:szCs w:val="20"/>
      </w:rPr>
      <w:t>nior</w:t>
    </w:r>
    <w:r w:rsidRPr="004B10CC">
      <w:rPr>
        <w:rFonts w:ascii="Times" w:eastAsia="Times" w:hAnsi="Times" w:cs="Times"/>
        <w:szCs w:val="20"/>
        <w:vertAlign w:val="superscript"/>
      </w:rPr>
      <w:t>2</w:t>
    </w:r>
  </w:p>
  <w:p w14:paraId="7CBF2FA9" w14:textId="37B9FEA6" w:rsidR="003C5CE7" w:rsidRPr="005530BC" w:rsidRDefault="00651821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  <w:r w:rsidRPr="005530BC">
      <w:rPr>
        <w:rFonts w:ascii="Times" w:eastAsia="Times" w:hAnsi="Times" w:cs="Times"/>
        <w:szCs w:val="20"/>
      </w:rPr>
      <w:t>1</w:t>
    </w:r>
    <w:r w:rsidR="00E70E46">
      <w:rPr>
        <w:rFonts w:ascii="Times" w:eastAsia="Times" w:hAnsi="Times" w:cs="Times"/>
        <w:szCs w:val="20"/>
      </w:rPr>
      <w:t xml:space="preserve"> </w:t>
    </w:r>
    <w:r w:rsidR="001D3423">
      <w:rPr>
        <w:rFonts w:ascii="Times" w:eastAsia="Times" w:hAnsi="Times" w:cs="Times"/>
        <w:szCs w:val="20"/>
      </w:rPr>
      <w:t>Titulação</w:t>
    </w:r>
    <w:r w:rsidR="0009247D" w:rsidRPr="005530BC">
      <w:rPr>
        <w:rFonts w:ascii="Times" w:eastAsia="Times" w:hAnsi="Times" w:cs="Times"/>
        <w:szCs w:val="20"/>
      </w:rPr>
      <w:t>.</w:t>
    </w:r>
    <w:r w:rsidRPr="005530BC">
      <w:rPr>
        <w:rFonts w:ascii="Times" w:eastAsia="Times" w:hAnsi="Times" w:cs="Times"/>
        <w:szCs w:val="20"/>
      </w:rPr>
      <w:t xml:space="preserve"> </w:t>
    </w:r>
    <w:r w:rsidR="00E70E46" w:rsidRPr="005530BC">
      <w:rPr>
        <w:rFonts w:ascii="Times" w:eastAsia="Times" w:hAnsi="Times" w:cs="Times"/>
        <w:szCs w:val="20"/>
      </w:rPr>
      <w:t xml:space="preserve">Curso de Bacharelado em Gastronomia, Universidade Federal </w:t>
    </w:r>
    <w:r w:rsidR="00E70E46">
      <w:rPr>
        <w:rFonts w:ascii="Times" w:eastAsia="Times" w:hAnsi="Times" w:cs="Times"/>
        <w:szCs w:val="20"/>
      </w:rPr>
      <w:t xml:space="preserve">do Ceará </w:t>
    </w:r>
  </w:p>
  <w:p w14:paraId="4D945EBB" w14:textId="5FE03765" w:rsidR="003C5CE7" w:rsidRPr="005530BC" w:rsidRDefault="00651821" w:rsidP="00E70E46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  <w:r w:rsidRPr="005530BC">
      <w:rPr>
        <w:rFonts w:ascii="Times" w:eastAsia="Times" w:hAnsi="Times" w:cs="Times"/>
        <w:szCs w:val="20"/>
      </w:rPr>
      <w:t xml:space="preserve">2 </w:t>
    </w:r>
    <w:r w:rsidR="001D3423" w:rsidRPr="001D3423">
      <w:rPr>
        <w:rFonts w:ascii="Times" w:eastAsia="Times" w:hAnsi="Times" w:cs="Times"/>
        <w:szCs w:val="20"/>
      </w:rPr>
      <w:t>Titulação</w:t>
    </w:r>
    <w:r w:rsidR="0009247D" w:rsidRPr="005530BC">
      <w:rPr>
        <w:rFonts w:ascii="Times" w:eastAsia="Times" w:hAnsi="Times" w:cs="Times"/>
        <w:szCs w:val="20"/>
      </w:rPr>
      <w:t xml:space="preserve">. </w:t>
    </w:r>
    <w:r w:rsidR="00E70E46">
      <w:rPr>
        <w:rFonts w:ascii="Times" w:eastAsia="Times" w:hAnsi="Times" w:cs="Times"/>
        <w:szCs w:val="20"/>
      </w:rPr>
      <w:t xml:space="preserve">Curso de </w:t>
    </w:r>
    <w:r w:rsidR="00E70E46" w:rsidRPr="005530BC">
      <w:rPr>
        <w:rFonts w:ascii="Times" w:eastAsia="Times" w:hAnsi="Times" w:cs="Times"/>
        <w:szCs w:val="20"/>
      </w:rPr>
      <w:t>Bacharelado em</w:t>
    </w:r>
    <w:r w:rsidR="00E70E46">
      <w:rPr>
        <w:rFonts w:ascii="Times" w:eastAsia="Times" w:hAnsi="Times" w:cs="Times"/>
        <w:szCs w:val="20"/>
      </w:rPr>
      <w:t xml:space="preserve"> Engenharia de Alimentos</w:t>
    </w:r>
    <w:r w:rsidR="00E70E46" w:rsidRPr="005530BC">
      <w:rPr>
        <w:rFonts w:ascii="Times" w:eastAsia="Times" w:hAnsi="Times" w:cs="Times"/>
        <w:szCs w:val="20"/>
      </w:rPr>
      <w:t xml:space="preserve">, Universidade Federal </w:t>
    </w:r>
    <w:r w:rsidR="00E70E46">
      <w:rPr>
        <w:rFonts w:ascii="Times" w:eastAsia="Times" w:hAnsi="Times" w:cs="Times"/>
        <w:szCs w:val="20"/>
      </w:rPr>
      <w:t>do Ceará</w:t>
    </w:r>
    <w:r w:rsidR="0009247D" w:rsidRPr="005530BC">
      <w:rPr>
        <w:rFonts w:ascii="Times" w:eastAsia="Times" w:hAnsi="Times" w:cs="Times"/>
        <w:szCs w:val="20"/>
      </w:rPr>
      <w:t>.</w:t>
    </w:r>
    <w:r w:rsidR="004B3912">
      <w:rPr>
        <w:rFonts w:ascii="Times" w:eastAsia="Times" w:hAnsi="Times" w:cs="Times"/>
        <w:szCs w:val="20"/>
      </w:rPr>
      <w:t xml:space="preserve"> </w:t>
    </w:r>
    <w:r w:rsidR="00E70E46">
      <w:rPr>
        <w:rFonts w:ascii="Times" w:eastAsia="Times" w:hAnsi="Times" w:cs="Times"/>
        <w:szCs w:val="20"/>
      </w:rPr>
      <w:t>samuel.elias.a</w:t>
    </w:r>
    <w:r w:rsidR="005D2AE6" w:rsidRPr="005D2AE6">
      <w:rPr>
        <w:rFonts w:ascii="Times" w:eastAsia="Times" w:hAnsi="Times" w:cs="Times"/>
        <w:szCs w:val="20"/>
      </w:rPr>
      <w:t>@gmail.com</w:t>
    </w:r>
  </w:p>
  <w:p w14:paraId="5002FAFB" w14:textId="2CBE2306" w:rsidR="003C5CE7" w:rsidRPr="005530BC" w:rsidRDefault="00651821">
    <w:pPr>
      <w:widowControl w:val="0"/>
      <w:spacing w:after="100"/>
      <w:ind w:right="-419"/>
      <w:jc w:val="both"/>
      <w:rPr>
        <w:sz w:val="24"/>
      </w:rPr>
    </w:pPr>
    <w:r w:rsidRPr="005530BC">
      <w:rPr>
        <w:rFonts w:ascii="Times" w:eastAsia="Times" w:hAnsi="Times" w:cs="Times"/>
        <w:b/>
        <w:szCs w:val="20"/>
      </w:rPr>
      <w:t xml:space="preserve">Palavras chaves: </w:t>
    </w:r>
    <w:r w:rsidR="00697F18">
      <w:rPr>
        <w:rFonts w:ascii="Times" w:eastAsia="Times" w:hAnsi="Times" w:cs="Times"/>
        <w:b/>
        <w:szCs w:val="20"/>
      </w:rPr>
      <w:t>Gastronomi</w:t>
    </w:r>
    <w:r w:rsidR="003D2ADE">
      <w:rPr>
        <w:rFonts w:ascii="Times" w:eastAsia="Times" w:hAnsi="Times" w:cs="Times"/>
        <w:b/>
        <w:szCs w:val="20"/>
      </w:rPr>
      <w:t>a</w:t>
    </w:r>
    <w:r w:rsidR="00F848CD">
      <w:rPr>
        <w:rFonts w:ascii="Times" w:eastAsia="Times" w:hAnsi="Times" w:cs="Times"/>
        <w:b/>
        <w:szCs w:val="20"/>
      </w:rPr>
      <w:t xml:space="preserve">, </w:t>
    </w:r>
    <w:proofErr w:type="spellStart"/>
    <w:r w:rsidR="00F848CD">
      <w:rPr>
        <w:rFonts w:ascii="Times" w:eastAsia="Times" w:hAnsi="Times" w:cs="Times"/>
        <w:b/>
        <w:szCs w:val="20"/>
      </w:rPr>
      <w:t>Gel</w:t>
    </w:r>
    <w:r w:rsidR="00221900">
      <w:rPr>
        <w:rFonts w:ascii="Times" w:eastAsia="Times" w:hAnsi="Times" w:cs="Times"/>
        <w:b/>
        <w:szCs w:val="20"/>
      </w:rPr>
      <w:t>eificação</w:t>
    </w:r>
    <w:proofErr w:type="spellEnd"/>
    <w:r w:rsidR="00F848CD">
      <w:rPr>
        <w:rFonts w:ascii="Times" w:eastAsia="Times" w:hAnsi="Times" w:cs="Times"/>
        <w:b/>
        <w:szCs w:val="20"/>
      </w:rPr>
      <w:t xml:space="preserve">, Açúcar, </w:t>
    </w:r>
    <w:proofErr w:type="spellStart"/>
    <w:r w:rsidR="00F848CD">
      <w:rPr>
        <w:rFonts w:ascii="Times" w:eastAsia="Times" w:hAnsi="Times" w:cs="Times"/>
        <w:b/>
        <w:szCs w:val="20"/>
      </w:rPr>
      <w:t>Mirtilo</w:t>
    </w:r>
    <w:proofErr w:type="spellEnd"/>
    <w:r w:rsidR="00F848CD">
      <w:rPr>
        <w:rFonts w:ascii="Times" w:eastAsia="Times" w:hAnsi="Times" w:cs="Times"/>
        <w:b/>
        <w:szCs w:val="20"/>
      </w:rPr>
      <w:t>, Amora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5784"/>
    <w:multiLevelType w:val="hybridMultilevel"/>
    <w:tmpl w:val="3C223022"/>
    <w:lvl w:ilvl="0" w:tplc="36164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2597"/>
    <w:multiLevelType w:val="hybridMultilevel"/>
    <w:tmpl w:val="892264EE"/>
    <w:lvl w:ilvl="0" w:tplc="C6B23B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B22F5"/>
    <w:multiLevelType w:val="hybridMultilevel"/>
    <w:tmpl w:val="B57CC554"/>
    <w:lvl w:ilvl="0" w:tplc="50FC5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E7"/>
    <w:rsid w:val="0009247D"/>
    <w:rsid w:val="000F43C9"/>
    <w:rsid w:val="0011393F"/>
    <w:rsid w:val="00165427"/>
    <w:rsid w:val="00167038"/>
    <w:rsid w:val="001D3423"/>
    <w:rsid w:val="00221900"/>
    <w:rsid w:val="00253F0C"/>
    <w:rsid w:val="00271EA1"/>
    <w:rsid w:val="002742F3"/>
    <w:rsid w:val="00290008"/>
    <w:rsid w:val="003509AB"/>
    <w:rsid w:val="003724F5"/>
    <w:rsid w:val="003A31CA"/>
    <w:rsid w:val="003C5CE7"/>
    <w:rsid w:val="003D2ADE"/>
    <w:rsid w:val="00403496"/>
    <w:rsid w:val="00423B05"/>
    <w:rsid w:val="00437533"/>
    <w:rsid w:val="00445B50"/>
    <w:rsid w:val="004570EC"/>
    <w:rsid w:val="004B10CC"/>
    <w:rsid w:val="004B3912"/>
    <w:rsid w:val="004B3EDA"/>
    <w:rsid w:val="00507C14"/>
    <w:rsid w:val="005409BC"/>
    <w:rsid w:val="005530BC"/>
    <w:rsid w:val="0058086D"/>
    <w:rsid w:val="005D2AE6"/>
    <w:rsid w:val="00651821"/>
    <w:rsid w:val="006656B3"/>
    <w:rsid w:val="0067337D"/>
    <w:rsid w:val="00676D8E"/>
    <w:rsid w:val="00697F18"/>
    <w:rsid w:val="006C3A9C"/>
    <w:rsid w:val="0076334D"/>
    <w:rsid w:val="0077228B"/>
    <w:rsid w:val="007C6500"/>
    <w:rsid w:val="007D5561"/>
    <w:rsid w:val="007F191E"/>
    <w:rsid w:val="008261C1"/>
    <w:rsid w:val="00835C92"/>
    <w:rsid w:val="00900150"/>
    <w:rsid w:val="00937709"/>
    <w:rsid w:val="00957DFA"/>
    <w:rsid w:val="009D17BB"/>
    <w:rsid w:val="00A210B7"/>
    <w:rsid w:val="00A7104F"/>
    <w:rsid w:val="00AB6A47"/>
    <w:rsid w:val="00AD151E"/>
    <w:rsid w:val="00B40445"/>
    <w:rsid w:val="00B811C5"/>
    <w:rsid w:val="00BA1385"/>
    <w:rsid w:val="00BB15FF"/>
    <w:rsid w:val="00C20A1C"/>
    <w:rsid w:val="00C378D5"/>
    <w:rsid w:val="00C764E6"/>
    <w:rsid w:val="00CA354B"/>
    <w:rsid w:val="00D05B5F"/>
    <w:rsid w:val="00D329EB"/>
    <w:rsid w:val="00D356C0"/>
    <w:rsid w:val="00D56AC0"/>
    <w:rsid w:val="00E4566E"/>
    <w:rsid w:val="00E70E46"/>
    <w:rsid w:val="00EA03C4"/>
    <w:rsid w:val="00ED4A07"/>
    <w:rsid w:val="00F51CAC"/>
    <w:rsid w:val="00F562A2"/>
    <w:rsid w:val="00F848CD"/>
    <w:rsid w:val="00F939D2"/>
    <w:rsid w:val="00F9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B636F6"/>
  <w15:docId w15:val="{BF70777E-5C12-45E5-9128-AD403504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5B5F"/>
  </w:style>
  <w:style w:type="paragraph" w:styleId="Ttulo1">
    <w:name w:val="heading 1"/>
    <w:basedOn w:val="Normal"/>
    <w:next w:val="Normal"/>
    <w:rsid w:val="00D05B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05B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05B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05B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05B5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05B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05B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05B5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05B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D17B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7BB"/>
  </w:style>
  <w:style w:type="paragraph" w:styleId="Rodap">
    <w:name w:val="footer"/>
    <w:basedOn w:val="Normal"/>
    <w:link w:val="RodapChar"/>
    <w:uiPriority w:val="99"/>
    <w:unhideWhenUsed/>
    <w:rsid w:val="009D17B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7BB"/>
  </w:style>
  <w:style w:type="character" w:styleId="Hyperlink">
    <w:name w:val="Hyperlink"/>
    <w:basedOn w:val="Fontepargpadro"/>
    <w:uiPriority w:val="99"/>
    <w:unhideWhenUsed/>
    <w:rsid w:val="001D342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D3423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697F18"/>
    <w:pPr>
      <w:spacing w:line="240" w:lineRule="auto"/>
    </w:pPr>
  </w:style>
  <w:style w:type="table" w:styleId="Tabelacomgrade">
    <w:name w:val="Table Grid"/>
    <w:basedOn w:val="Tabelanormal"/>
    <w:uiPriority w:val="39"/>
    <w:unhideWhenUsed/>
    <w:rsid w:val="005808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AB6A47"/>
    <w:pPr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AB6A4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56AC0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676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Amostra 1</c:v>
                </c:pt>
              </c:strCache>
            </c:strRef>
          </c:tx>
          <c:spPr>
            <a:solidFill>
              <a:schemeClr val="accent3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Planilha1!$A$2:$A$10</c:f>
              <c:numCache>
                <c:formatCode>General</c:formatCode>
                <c:ptCount val="9"/>
                <c:pt idx="0">
                  <c:v>9</c:v>
                </c:pt>
                <c:pt idx="1">
                  <c:v>8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</c:numCache>
            </c:numRef>
          </c:cat>
          <c:val>
            <c:numRef>
              <c:f>Planilha1!$B$2:$B$10</c:f>
              <c:numCache>
                <c:formatCode>General</c:formatCode>
                <c:ptCount val="9"/>
                <c:pt idx="0">
                  <c:v>20</c:v>
                </c:pt>
                <c:pt idx="1">
                  <c:v>10</c:v>
                </c:pt>
                <c:pt idx="2">
                  <c:v>15</c:v>
                </c:pt>
                <c:pt idx="3">
                  <c:v>5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36-4D60-A4A3-CEA28CC05220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Amostra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Planilha1!$A$2:$A$10</c:f>
              <c:numCache>
                <c:formatCode>General</c:formatCode>
                <c:ptCount val="9"/>
                <c:pt idx="0">
                  <c:v>9</c:v>
                </c:pt>
                <c:pt idx="1">
                  <c:v>8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</c:numCache>
            </c:numRef>
          </c:cat>
          <c:val>
            <c:numRef>
              <c:f>Planilha1!$C$2:$C$10</c:f>
              <c:numCache>
                <c:formatCode>General</c:formatCode>
                <c:ptCount val="9"/>
                <c:pt idx="0">
                  <c:v>15</c:v>
                </c:pt>
                <c:pt idx="1">
                  <c:v>7</c:v>
                </c:pt>
                <c:pt idx="2">
                  <c:v>8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36-4D60-A4A3-CEA28CC05220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Amostra 3</c:v>
                </c:pt>
              </c:strCache>
            </c:strRef>
          </c:tx>
          <c:spPr>
            <a:solidFill>
              <a:schemeClr val="accent3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Planilha1!$A$2:$A$10</c:f>
              <c:numCache>
                <c:formatCode>General</c:formatCode>
                <c:ptCount val="9"/>
                <c:pt idx="0">
                  <c:v>9</c:v>
                </c:pt>
                <c:pt idx="1">
                  <c:v>8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</c:numCache>
            </c:numRef>
          </c:cat>
          <c:val>
            <c:numRef>
              <c:f>Planilha1!$D$2:$D$10</c:f>
              <c:numCache>
                <c:formatCode>General</c:formatCode>
                <c:ptCount val="9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36-4D60-A4A3-CEA28CC052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921214096"/>
        <c:axId val="-1921210832"/>
      </c:barChart>
      <c:catAx>
        <c:axId val="-192121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921210832"/>
        <c:crosses val="autoZero"/>
        <c:auto val="1"/>
        <c:lblAlgn val="ctr"/>
        <c:lblOffset val="100"/>
        <c:noMultiLvlLbl val="0"/>
      </c:catAx>
      <c:valAx>
        <c:axId val="-1921210832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Qtd. de provadores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921214096"/>
        <c:crosses val="autoZero"/>
        <c:crossBetween val="between"/>
      </c:valAx>
      <c:spPr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Amostra 1</c:v>
                </c:pt>
              </c:strCache>
            </c:strRef>
          </c:tx>
          <c:spPr>
            <a:solidFill>
              <a:schemeClr val="accent3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Planilha1!$A$2:$A$6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cat>
          <c:val>
            <c:numRef>
              <c:f>Planilha1!$B$2:$B$6</c:f>
              <c:numCache>
                <c:formatCode>General</c:formatCode>
                <c:ptCount val="5"/>
                <c:pt idx="0">
                  <c:v>10</c:v>
                </c:pt>
                <c:pt idx="1">
                  <c:v>7</c:v>
                </c:pt>
                <c:pt idx="2">
                  <c:v>13</c:v>
                </c:pt>
                <c:pt idx="3">
                  <c:v>17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B5-4304-881A-5930667FD2D1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Amostra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Planilha1!$A$2:$A$6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cat>
          <c:val>
            <c:numRef>
              <c:f>Planilha1!$C$2:$C$6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21</c:v>
                </c:pt>
                <c:pt idx="3">
                  <c:v>12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B5-4304-881A-5930667FD2D1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Amostra 3</c:v>
                </c:pt>
              </c:strCache>
            </c:strRef>
          </c:tx>
          <c:spPr>
            <a:solidFill>
              <a:schemeClr val="accent3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Planilha1!$A$2:$A$6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cat>
          <c:val>
            <c:numRef>
              <c:f>Planilha1!$D$2:$D$6</c:f>
              <c:numCache>
                <c:formatCode>General</c:formatCode>
                <c:ptCount val="5"/>
                <c:pt idx="0">
                  <c:v>2</c:v>
                </c:pt>
                <c:pt idx="1">
                  <c:v>8</c:v>
                </c:pt>
                <c:pt idx="2">
                  <c:v>15</c:v>
                </c:pt>
                <c:pt idx="3">
                  <c:v>14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B5-4304-881A-5930667FD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49010896"/>
        <c:axId val="-1849016336"/>
      </c:barChart>
      <c:catAx>
        <c:axId val="-184901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849016336"/>
        <c:crosses val="autoZero"/>
        <c:auto val="1"/>
        <c:lblAlgn val="ctr"/>
        <c:lblOffset val="100"/>
        <c:noMultiLvlLbl val="0"/>
      </c:catAx>
      <c:valAx>
        <c:axId val="-184901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Qtd. de provadores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84901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Amostra 1</c:v>
                </c:pt>
              </c:strCache>
            </c:strRef>
          </c:tx>
          <c:spPr>
            <a:solidFill>
              <a:schemeClr val="accent3">
                <a:shade val="65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Feuil1!$A$2:$A$4</c:f>
              <c:strCache>
                <c:ptCount val="3"/>
                <c:pt idx="0">
                  <c:v>1°</c:v>
                </c:pt>
                <c:pt idx="1">
                  <c:v>2°</c:v>
                </c:pt>
                <c:pt idx="2">
                  <c:v>3°</c:v>
                </c:pt>
              </c:strCache>
            </c:strRef>
          </c:cat>
          <c:val>
            <c:numRef>
              <c:f>Feuil1!$B$2:$B$4</c:f>
              <c:numCache>
                <c:formatCode>General</c:formatCode>
                <c:ptCount val="3"/>
                <c:pt idx="0">
                  <c:v>38</c:v>
                </c:pt>
                <c:pt idx="1">
                  <c:v>12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DF-4A78-A690-05A6929EC02E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Amostra 2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Feuil1!$A$2:$A$4</c:f>
              <c:strCache>
                <c:ptCount val="3"/>
                <c:pt idx="0">
                  <c:v>1°</c:v>
                </c:pt>
                <c:pt idx="1">
                  <c:v>2°</c:v>
                </c:pt>
                <c:pt idx="2">
                  <c:v>3°</c:v>
                </c:pt>
              </c:strCache>
            </c:strRef>
          </c:cat>
          <c:val>
            <c:numRef>
              <c:f>Feuil1!$C$2:$C$4</c:f>
              <c:numCache>
                <c:formatCode>General</c:formatCode>
                <c:ptCount val="3"/>
                <c:pt idx="0">
                  <c:v>15</c:v>
                </c:pt>
                <c:pt idx="1">
                  <c:v>27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DF-4A78-A690-05A6929EC02E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Amostra 3</c:v>
                </c:pt>
              </c:strCache>
            </c:strRef>
          </c:tx>
          <c:spPr>
            <a:solidFill>
              <a:schemeClr val="accent3">
                <a:tint val="65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Feuil1!$A$2:$A$4</c:f>
              <c:strCache>
                <c:ptCount val="3"/>
                <c:pt idx="0">
                  <c:v>1°</c:v>
                </c:pt>
                <c:pt idx="1">
                  <c:v>2°</c:v>
                </c:pt>
                <c:pt idx="2">
                  <c:v>3°</c:v>
                </c:pt>
              </c:strCache>
            </c:strRef>
          </c:cat>
          <c:val>
            <c:numRef>
              <c:f>Feuil1!$D$2:$D$4</c:f>
              <c:numCache>
                <c:formatCode>General</c:formatCode>
                <c:ptCount val="3"/>
                <c:pt idx="0">
                  <c:v>7</c:v>
                </c:pt>
                <c:pt idx="1">
                  <c:v>21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DF-4A78-A690-05A6929EC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49010352"/>
        <c:axId val="-1849013616"/>
      </c:barChart>
      <c:catAx>
        <c:axId val="-184901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849013616"/>
        <c:crosses val="autoZero"/>
        <c:auto val="1"/>
        <c:lblAlgn val="ctr"/>
        <c:lblOffset val="100"/>
        <c:noMultiLvlLbl val="0"/>
      </c:catAx>
      <c:valAx>
        <c:axId val="-1849013616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Qtd. de provadores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84901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965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Santos</dc:creator>
  <cp:lastModifiedBy>Adriano Nobre</cp:lastModifiedBy>
  <cp:revision>26</cp:revision>
  <cp:lastPrinted>2019-05-28T02:14:00Z</cp:lastPrinted>
  <dcterms:created xsi:type="dcterms:W3CDTF">2019-05-28T02:00:00Z</dcterms:created>
  <dcterms:modified xsi:type="dcterms:W3CDTF">2019-06-18T02:12:00Z</dcterms:modified>
</cp:coreProperties>
</file>