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22" w:rsidRPr="008E3F95" w:rsidRDefault="007C551F" w:rsidP="00344C22">
      <w:pPr>
        <w:jc w:val="center"/>
        <w:rPr>
          <w:b/>
          <w:sz w:val="24"/>
          <w:szCs w:val="24"/>
        </w:rPr>
      </w:pPr>
      <w:r w:rsidRPr="008E3F95">
        <w:rPr>
          <w:b/>
          <w:sz w:val="24"/>
          <w:szCs w:val="24"/>
        </w:rPr>
        <w:t xml:space="preserve">ANÁLISE </w:t>
      </w:r>
      <w:r w:rsidR="003E5034" w:rsidRPr="008E3F95">
        <w:rPr>
          <w:b/>
          <w:sz w:val="24"/>
          <w:szCs w:val="24"/>
        </w:rPr>
        <w:t>DO DESENVOLVIMENTO SUSTENTÁVEL</w:t>
      </w:r>
      <w:r w:rsidR="001B007A">
        <w:rPr>
          <w:b/>
          <w:sz w:val="24"/>
          <w:szCs w:val="24"/>
        </w:rPr>
        <w:t xml:space="preserve"> </w:t>
      </w:r>
      <w:r w:rsidR="003E5034" w:rsidRPr="008E3F95">
        <w:rPr>
          <w:b/>
          <w:sz w:val="24"/>
          <w:szCs w:val="24"/>
        </w:rPr>
        <w:t>A PARTIR DA MENSURAÇÃO DO IDSM: ESTUDO DE CASO EM BELÉM-PA</w:t>
      </w:r>
    </w:p>
    <w:p w:rsidR="00344C22" w:rsidRDefault="00344C22" w:rsidP="00344C22">
      <w:pPr>
        <w:jc w:val="center"/>
        <w:rPr>
          <w:b/>
          <w:sz w:val="24"/>
          <w:szCs w:val="24"/>
        </w:rPr>
      </w:pPr>
    </w:p>
    <w:p w:rsidR="00F45276" w:rsidRDefault="00F45276" w:rsidP="00344C22">
      <w:pPr>
        <w:jc w:val="center"/>
        <w:rPr>
          <w:sz w:val="24"/>
          <w:szCs w:val="24"/>
        </w:rPr>
      </w:pPr>
      <w:r>
        <w:rPr>
          <w:sz w:val="24"/>
          <w:szCs w:val="24"/>
        </w:rPr>
        <w:t>Marina Morhy Pereira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; </w:t>
      </w:r>
      <w:r w:rsidR="00344C22">
        <w:rPr>
          <w:sz w:val="24"/>
          <w:szCs w:val="24"/>
        </w:rPr>
        <w:t>Gabriel Villas Boas de Amorim Lima</w:t>
      </w:r>
      <w:r>
        <w:rPr>
          <w:sz w:val="24"/>
          <w:szCs w:val="24"/>
          <w:vertAlign w:val="superscript"/>
        </w:rPr>
        <w:t>2</w:t>
      </w:r>
      <w:r w:rsidR="00C85E8E">
        <w:rPr>
          <w:sz w:val="24"/>
          <w:szCs w:val="24"/>
        </w:rPr>
        <w:t>;</w:t>
      </w:r>
    </w:p>
    <w:p w:rsidR="00344C22" w:rsidRDefault="00344C22" w:rsidP="00344C22">
      <w:pPr>
        <w:jc w:val="center"/>
        <w:rPr>
          <w:sz w:val="24"/>
          <w:szCs w:val="24"/>
        </w:rPr>
      </w:pPr>
      <w:r>
        <w:rPr>
          <w:sz w:val="24"/>
          <w:szCs w:val="24"/>
        </w:rPr>
        <w:t>Luiz Eduardo Chaves de Azevedo</w:t>
      </w:r>
      <w:r w:rsidR="00F45276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 Ivan Roberto Santos de Araújo</w:t>
      </w:r>
      <w:r w:rsidR="00F45276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;</w:t>
      </w:r>
    </w:p>
    <w:p w:rsidR="00344C22" w:rsidRPr="00DD70E2" w:rsidRDefault="00344C22" w:rsidP="00344C22">
      <w:pPr>
        <w:jc w:val="center"/>
        <w:rPr>
          <w:sz w:val="24"/>
          <w:szCs w:val="24"/>
        </w:rPr>
      </w:pPr>
    </w:p>
    <w:p w:rsidR="00344C22" w:rsidRDefault="00344C22" w:rsidP="00344C22">
      <w:pPr>
        <w:jc w:val="center"/>
        <w:rPr>
          <w:sz w:val="24"/>
          <w:szCs w:val="24"/>
        </w:rPr>
      </w:pPr>
      <w:r>
        <w:rPr>
          <w:b/>
          <w:sz w:val="24"/>
          <w:szCs w:val="24"/>
          <w:vertAlign w:val="superscript"/>
        </w:rPr>
        <w:t xml:space="preserve">1 </w:t>
      </w:r>
      <w:r w:rsidR="00F45276">
        <w:rPr>
          <w:sz w:val="24"/>
          <w:szCs w:val="24"/>
        </w:rPr>
        <w:t>Graduanda</w:t>
      </w:r>
      <w:r>
        <w:rPr>
          <w:sz w:val="24"/>
          <w:szCs w:val="24"/>
        </w:rPr>
        <w:t xml:space="preserve"> em Engenharia Civil, Universidade Federal do Pará. </w:t>
      </w:r>
      <w:r w:rsidR="00F45276">
        <w:rPr>
          <w:sz w:val="24"/>
          <w:szCs w:val="24"/>
        </w:rPr>
        <w:t>marinasmp@hotmail.com</w:t>
      </w:r>
    </w:p>
    <w:p w:rsidR="00344C22" w:rsidRDefault="00344C22" w:rsidP="00344C22">
      <w:pPr>
        <w:pStyle w:val="Rodap1"/>
        <w:jc w:val="center"/>
      </w:pPr>
      <w:r>
        <w:rPr>
          <w:sz w:val="24"/>
          <w:szCs w:val="24"/>
          <w:vertAlign w:val="superscript"/>
        </w:rPr>
        <w:t>2</w:t>
      </w:r>
      <w:r w:rsidR="00F45276">
        <w:rPr>
          <w:sz w:val="24"/>
          <w:szCs w:val="24"/>
        </w:rPr>
        <w:t>Graduando</w:t>
      </w:r>
      <w:r>
        <w:rPr>
          <w:sz w:val="24"/>
          <w:szCs w:val="24"/>
        </w:rPr>
        <w:t xml:space="preserve"> em Engenharia Civil. Universidade Federal do Pará. </w:t>
      </w:r>
      <w:r w:rsidR="00F45276">
        <w:rPr>
          <w:sz w:val="24"/>
          <w:szCs w:val="24"/>
        </w:rPr>
        <w:t>gabrielvbal@yahoo.com.br</w:t>
      </w:r>
    </w:p>
    <w:p w:rsidR="00344C22" w:rsidRDefault="00F45276" w:rsidP="00344C22">
      <w:pPr>
        <w:pStyle w:val="Rodap1"/>
        <w:jc w:val="center"/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em</w:t>
      </w:r>
      <w:proofErr w:type="gramEnd"/>
      <w:r>
        <w:rPr>
          <w:sz w:val="24"/>
          <w:szCs w:val="24"/>
        </w:rPr>
        <w:t xml:space="preserve"> Eng.</w:t>
      </w:r>
      <w:r w:rsidR="00344C22">
        <w:rPr>
          <w:sz w:val="24"/>
          <w:szCs w:val="24"/>
        </w:rPr>
        <w:t xml:space="preserve"> Química. Universidade do Estado do Pará. educhavesazevedo@gmail.com</w:t>
      </w:r>
    </w:p>
    <w:p w:rsidR="00344C22" w:rsidRPr="00890433" w:rsidRDefault="00F45276" w:rsidP="00344C22">
      <w:pPr>
        <w:pStyle w:val="Rodap1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 xml:space="preserve">. </w:t>
      </w:r>
      <w:proofErr w:type="gramStart"/>
      <w:r w:rsidR="00344C22">
        <w:rPr>
          <w:sz w:val="24"/>
          <w:szCs w:val="24"/>
        </w:rPr>
        <w:t>em</w:t>
      </w:r>
      <w:proofErr w:type="gramEnd"/>
      <w:r w:rsidR="00344C22">
        <w:rPr>
          <w:sz w:val="24"/>
          <w:szCs w:val="24"/>
        </w:rPr>
        <w:t xml:space="preserve"> Ciência Ambientais. Universidade da Amazônia. engivanrsa@yahoo.com.br</w:t>
      </w:r>
    </w:p>
    <w:p w:rsidR="00344C22" w:rsidRDefault="00344C22" w:rsidP="00344C22">
      <w:pPr>
        <w:jc w:val="center"/>
        <w:rPr>
          <w:sz w:val="24"/>
          <w:szCs w:val="24"/>
        </w:rPr>
      </w:pPr>
    </w:p>
    <w:p w:rsidR="00344C22" w:rsidRDefault="00344C22" w:rsidP="00344C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:rsidR="003E5034" w:rsidRDefault="003E5034" w:rsidP="00344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Mensurar o desenvolvimento sustentável de uma cidade requer uma análise complexa e multilateral, podendo não evidenciar a real situação do município. </w:t>
      </w:r>
      <w:r w:rsidR="008E3F95">
        <w:rPr>
          <w:sz w:val="24"/>
          <w:szCs w:val="24"/>
        </w:rPr>
        <w:t>Diante disso,</w:t>
      </w:r>
      <w:r>
        <w:rPr>
          <w:sz w:val="24"/>
          <w:szCs w:val="24"/>
        </w:rPr>
        <w:t xml:space="preserve"> este estudo ensaiou a determinação analítica do Índice de Desenvolvimento Sustentável Municipal (IDSM) para a cidade </w:t>
      </w:r>
      <w:r w:rsidR="00E739AB">
        <w:rPr>
          <w:sz w:val="24"/>
          <w:szCs w:val="24"/>
        </w:rPr>
        <w:t>de Belém -</w:t>
      </w:r>
      <w:r>
        <w:rPr>
          <w:sz w:val="24"/>
          <w:szCs w:val="24"/>
        </w:rPr>
        <w:t xml:space="preserve"> Pará, à luz da metodologia proposta por </w:t>
      </w:r>
      <w:r w:rsidRPr="007C551F">
        <w:rPr>
          <w:sz w:val="24"/>
          <w:szCs w:val="24"/>
        </w:rPr>
        <w:t>Martins e Candido (2008)</w:t>
      </w:r>
      <w:r>
        <w:rPr>
          <w:sz w:val="24"/>
          <w:szCs w:val="24"/>
        </w:rPr>
        <w:t xml:space="preserve">. </w:t>
      </w:r>
      <w:r w:rsidR="00DE72AD">
        <w:rPr>
          <w:sz w:val="24"/>
          <w:szCs w:val="24"/>
        </w:rPr>
        <w:t>Neste método, é definido um espaço amostral, sendo comparado o comportamento das variáveis do município escolhido (Belém) com as d</w:t>
      </w:r>
      <w:r w:rsidR="008E3F95">
        <w:rPr>
          <w:sz w:val="24"/>
          <w:szCs w:val="24"/>
        </w:rPr>
        <w:t>as</w:t>
      </w:r>
      <w:r w:rsidR="00DE72AD">
        <w:rPr>
          <w:sz w:val="24"/>
          <w:szCs w:val="24"/>
        </w:rPr>
        <w:t xml:space="preserve"> demais </w:t>
      </w:r>
      <w:r w:rsidR="00E739AB">
        <w:rPr>
          <w:sz w:val="24"/>
          <w:szCs w:val="24"/>
        </w:rPr>
        <w:t>cidades do estado</w:t>
      </w:r>
      <w:r w:rsidR="00DE72AD">
        <w:rPr>
          <w:sz w:val="24"/>
          <w:szCs w:val="24"/>
        </w:rPr>
        <w:t>, gerando uma escala de aceitabilidade de resultados. Nesse contexto, foram definidas condições de contorno para adaptação do modelo à realidade paraense, como a def</w:t>
      </w:r>
      <w:r w:rsidR="002A4747">
        <w:rPr>
          <w:sz w:val="24"/>
          <w:szCs w:val="24"/>
        </w:rPr>
        <w:t>inição das dimensões social, econômica e ambiental, além da</w:t>
      </w:r>
      <w:r w:rsidR="00DE72AD">
        <w:rPr>
          <w:sz w:val="24"/>
          <w:szCs w:val="24"/>
        </w:rPr>
        <w:t xml:space="preserve"> forma de se calcular o IDSM</w:t>
      </w:r>
      <w:r w:rsidR="00E739AB">
        <w:rPr>
          <w:sz w:val="24"/>
          <w:szCs w:val="24"/>
        </w:rPr>
        <w:t xml:space="preserve"> com dados extraídos das plataformas digitais dos governos federal e estadual, sendo este disposto em uma escala de 0 a 1 (</w:t>
      </w:r>
      <w:r w:rsidR="00DE72AD">
        <w:rPr>
          <w:sz w:val="24"/>
          <w:szCs w:val="24"/>
        </w:rPr>
        <w:t xml:space="preserve">definido por meio </w:t>
      </w:r>
      <w:proofErr w:type="gramStart"/>
      <w:r w:rsidR="00DE72AD">
        <w:rPr>
          <w:sz w:val="24"/>
          <w:szCs w:val="24"/>
        </w:rPr>
        <w:t>de</w:t>
      </w:r>
      <w:proofErr w:type="gramEnd"/>
      <w:r w:rsidR="00DE72AD">
        <w:rPr>
          <w:sz w:val="24"/>
          <w:szCs w:val="24"/>
        </w:rPr>
        <w:t xml:space="preserve"> média aritmética dos Índices de De</w:t>
      </w:r>
      <w:r w:rsidR="00E739AB">
        <w:rPr>
          <w:sz w:val="24"/>
          <w:szCs w:val="24"/>
        </w:rPr>
        <w:t xml:space="preserve">senvolvimento Sustentável – IDS – das </w:t>
      </w:r>
      <w:r w:rsidR="00DE72AD">
        <w:rPr>
          <w:sz w:val="24"/>
          <w:szCs w:val="24"/>
        </w:rPr>
        <w:t>três dimensões supracitadas). Quanto aos resultados, verificou-se que a dimensão social de Belém apresentou média superior a dos municípios paraenses (0,80 – ideal), em razão de possuir maior índices de acesso à educação, saúde e moradia por habitante</w:t>
      </w:r>
      <w:r w:rsidR="00E739AB">
        <w:rPr>
          <w:sz w:val="24"/>
          <w:szCs w:val="24"/>
        </w:rPr>
        <w:t>, além de uma</w:t>
      </w:r>
      <w:r w:rsidR="00DE72AD">
        <w:rPr>
          <w:sz w:val="24"/>
          <w:szCs w:val="24"/>
        </w:rPr>
        <w:t xml:space="preserve"> dimensão econô</w:t>
      </w:r>
      <w:r w:rsidR="00E739AB">
        <w:rPr>
          <w:sz w:val="24"/>
          <w:szCs w:val="24"/>
        </w:rPr>
        <w:t>mica hipossuficiente</w:t>
      </w:r>
      <w:r w:rsidR="00DE72AD">
        <w:rPr>
          <w:sz w:val="24"/>
          <w:szCs w:val="24"/>
        </w:rPr>
        <w:t xml:space="preserve"> (0,48 – alerta), em detrimento de uma economia pouco exportadora e com considerável desigualdade de renda. </w:t>
      </w:r>
      <w:r w:rsidR="00F45276">
        <w:rPr>
          <w:sz w:val="24"/>
          <w:szCs w:val="24"/>
        </w:rPr>
        <w:t>Ademais</w:t>
      </w:r>
      <w:r w:rsidR="00DE72AD">
        <w:rPr>
          <w:sz w:val="24"/>
          <w:szCs w:val="24"/>
        </w:rPr>
        <w:t xml:space="preserve">, a dimensão ambiental apresentou resultados medianos (0,69 – aceitável) pelo fato de apresentar maior acesso ao saneamento básico do que diversas localidades do estado, </w:t>
      </w:r>
      <w:r w:rsidR="00E739AB">
        <w:rPr>
          <w:sz w:val="24"/>
          <w:szCs w:val="24"/>
        </w:rPr>
        <w:t xml:space="preserve">algumas </w:t>
      </w:r>
      <w:r w:rsidR="00DE72AD">
        <w:rPr>
          <w:sz w:val="24"/>
          <w:szCs w:val="24"/>
        </w:rPr>
        <w:t>consideradas como a</w:t>
      </w:r>
      <w:r w:rsidR="00F45276">
        <w:rPr>
          <w:sz w:val="24"/>
          <w:szCs w:val="24"/>
        </w:rPr>
        <w:t>s</w:t>
      </w:r>
      <w:r w:rsidR="00DE72AD">
        <w:rPr>
          <w:sz w:val="24"/>
          <w:szCs w:val="24"/>
        </w:rPr>
        <w:t xml:space="preserve"> mais precárias do mundo. </w:t>
      </w:r>
      <w:r w:rsidR="00F45276">
        <w:rPr>
          <w:sz w:val="24"/>
          <w:szCs w:val="24"/>
        </w:rPr>
        <w:t>Por fim, determinou-se que o IDSM de Belém é considerad</w:t>
      </w:r>
      <w:r w:rsidR="00E739AB">
        <w:rPr>
          <w:sz w:val="24"/>
          <w:szCs w:val="24"/>
        </w:rPr>
        <w:t>o aceitável (0,66), concluindo-se</w:t>
      </w:r>
      <w:r w:rsidR="00F45276">
        <w:rPr>
          <w:sz w:val="24"/>
          <w:szCs w:val="24"/>
        </w:rPr>
        <w:t xml:space="preserve">, a partir disso, que o método proposto na mensuração do desenvolvimento sustentável é limitado pelo campo amostral escolhido, representando apenas uma comparação entre realidades urbanas distintas, de modo a inferir que um índice calculado como ideal pode não representar fielmente uma variável com bons resultados de desenvolvimento. </w:t>
      </w:r>
    </w:p>
    <w:p w:rsidR="00DD3629" w:rsidRPr="00DD3629" w:rsidRDefault="00DD3629" w:rsidP="00344C22">
      <w:pPr>
        <w:jc w:val="both"/>
      </w:pPr>
    </w:p>
    <w:p w:rsidR="00344C22" w:rsidRPr="00DD3629" w:rsidRDefault="00344C22" w:rsidP="00344C22">
      <w:pPr>
        <w:jc w:val="both"/>
        <w:rPr>
          <w:sz w:val="24"/>
          <w:szCs w:val="24"/>
        </w:rPr>
      </w:pPr>
      <w:r w:rsidRPr="00DD3629">
        <w:rPr>
          <w:b/>
          <w:sz w:val="24"/>
          <w:szCs w:val="24"/>
        </w:rPr>
        <w:t>Palavra</w:t>
      </w:r>
      <w:r w:rsidR="00DD70E2">
        <w:rPr>
          <w:b/>
          <w:sz w:val="24"/>
          <w:szCs w:val="24"/>
        </w:rPr>
        <w:t>s</w:t>
      </w:r>
      <w:r w:rsidRPr="00DD3629">
        <w:rPr>
          <w:b/>
          <w:sz w:val="24"/>
          <w:szCs w:val="24"/>
        </w:rPr>
        <w:t xml:space="preserve">-chave: </w:t>
      </w:r>
      <w:r w:rsidR="00660DF5">
        <w:rPr>
          <w:sz w:val="24"/>
          <w:szCs w:val="24"/>
        </w:rPr>
        <w:t>Amazônia. Indicadores. Região Metropolitana de Belém</w:t>
      </w:r>
      <w:r w:rsidR="00F45276">
        <w:rPr>
          <w:sz w:val="24"/>
          <w:szCs w:val="24"/>
        </w:rPr>
        <w:t>.</w:t>
      </w:r>
    </w:p>
    <w:p w:rsidR="007C551F" w:rsidRPr="0052676A" w:rsidRDefault="007C551F" w:rsidP="00344C22">
      <w:pPr>
        <w:jc w:val="both"/>
        <w:rPr>
          <w:color w:val="FF0000"/>
        </w:rPr>
      </w:pPr>
    </w:p>
    <w:p w:rsidR="00DD3629" w:rsidRDefault="00344C22" w:rsidP="00DD70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Área de Interesse do Simpósi</w:t>
      </w:r>
      <w:r w:rsidRPr="00DD3629">
        <w:rPr>
          <w:b/>
          <w:sz w:val="24"/>
          <w:szCs w:val="24"/>
        </w:rPr>
        <w:t>o:</w:t>
      </w:r>
      <w:r w:rsidR="00660DF5">
        <w:rPr>
          <w:b/>
          <w:sz w:val="24"/>
          <w:szCs w:val="24"/>
        </w:rPr>
        <w:t xml:space="preserve"> </w:t>
      </w:r>
      <w:r w:rsidR="00DD3629" w:rsidRPr="00DD3629">
        <w:rPr>
          <w:sz w:val="24"/>
          <w:szCs w:val="24"/>
        </w:rPr>
        <w:t>Indicadores de Sustentabilidade</w:t>
      </w:r>
    </w:p>
    <w:p w:rsidR="00DD70E2" w:rsidRDefault="00DD70E2" w:rsidP="00DD70E2">
      <w:pPr>
        <w:spacing w:after="240"/>
        <w:jc w:val="both"/>
        <w:rPr>
          <w:sz w:val="24"/>
          <w:szCs w:val="28"/>
        </w:rPr>
      </w:pPr>
    </w:p>
    <w:p w:rsidR="00DD70E2" w:rsidRDefault="00DD70E2" w:rsidP="00DD70E2">
      <w:pPr>
        <w:spacing w:after="240"/>
        <w:jc w:val="both"/>
        <w:rPr>
          <w:sz w:val="24"/>
          <w:szCs w:val="28"/>
        </w:rPr>
      </w:pPr>
    </w:p>
    <w:p w:rsidR="00DD70E2" w:rsidRDefault="00DD70E2" w:rsidP="00DD70E2">
      <w:pPr>
        <w:spacing w:after="240"/>
        <w:jc w:val="both"/>
        <w:rPr>
          <w:sz w:val="24"/>
          <w:szCs w:val="28"/>
        </w:rPr>
      </w:pPr>
    </w:p>
    <w:p w:rsidR="00344C22" w:rsidRPr="00001E41" w:rsidRDefault="00344C22" w:rsidP="00154607">
      <w:pPr>
        <w:tabs>
          <w:tab w:val="left" w:pos="1290"/>
        </w:tabs>
        <w:spacing w:line="360" w:lineRule="auto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lastRenderedPageBreak/>
        <w:t xml:space="preserve">1. </w:t>
      </w:r>
      <w:r w:rsidRPr="00001E41">
        <w:rPr>
          <w:b/>
          <w:sz w:val="24"/>
          <w:szCs w:val="24"/>
        </w:rPr>
        <w:t>INTRODUÇÃO</w:t>
      </w:r>
    </w:p>
    <w:p w:rsidR="003E5034" w:rsidRDefault="00193334" w:rsidP="00DD70E2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8"/>
        </w:rPr>
        <w:tab/>
        <w:t xml:space="preserve">O desenvolvimento sustentável é costumeiramente </w:t>
      </w:r>
      <w:r w:rsidR="00210AF0">
        <w:rPr>
          <w:sz w:val="24"/>
          <w:szCs w:val="28"/>
        </w:rPr>
        <w:t>aferido</w:t>
      </w:r>
      <w:r>
        <w:rPr>
          <w:sz w:val="24"/>
          <w:szCs w:val="28"/>
        </w:rPr>
        <w:t xml:space="preserve"> em objetos de estudo restringidos, </w:t>
      </w:r>
      <w:r w:rsidR="00210AF0">
        <w:rPr>
          <w:sz w:val="24"/>
          <w:szCs w:val="28"/>
        </w:rPr>
        <w:t xml:space="preserve">como o comportamento estratégico de uma empresa, ou a operação de um parque urbano – </w:t>
      </w:r>
      <w:r>
        <w:rPr>
          <w:sz w:val="24"/>
          <w:szCs w:val="28"/>
        </w:rPr>
        <w:t xml:space="preserve">devido ao seu caráter complexo </w:t>
      </w:r>
      <w:r w:rsidR="00210AF0">
        <w:rPr>
          <w:sz w:val="24"/>
          <w:szCs w:val="28"/>
        </w:rPr>
        <w:t>e multilateral, o que dificulta as etapas de</w:t>
      </w:r>
      <w:r>
        <w:rPr>
          <w:sz w:val="24"/>
          <w:szCs w:val="28"/>
        </w:rPr>
        <w:t xml:space="preserve"> processamento e síntese</w:t>
      </w:r>
      <w:r w:rsidR="00210AF0">
        <w:rPr>
          <w:sz w:val="24"/>
          <w:szCs w:val="28"/>
        </w:rPr>
        <w:t xml:space="preserve"> de resultados (PEREIRA &amp; VIEIRA, 2016)</w:t>
      </w:r>
      <w:r>
        <w:rPr>
          <w:sz w:val="24"/>
          <w:szCs w:val="28"/>
        </w:rPr>
        <w:t>.</w:t>
      </w:r>
      <w:r w:rsidR="00210AF0">
        <w:rPr>
          <w:sz w:val="24"/>
          <w:szCs w:val="28"/>
        </w:rPr>
        <w:t xml:space="preserve"> Sob essa perspectiva, avaliar o desenvolvimento consciente de um município com diferentes expressões de desenvolvimento, até mesmo dentro de sua própria malha urbana, requer a adoção de artifícios metodológicos de contorno, conforme apontam os estudos de </w:t>
      </w:r>
      <w:r w:rsidR="00210AF0" w:rsidRPr="007C551F">
        <w:rPr>
          <w:sz w:val="24"/>
          <w:szCs w:val="24"/>
        </w:rPr>
        <w:t>Martins e Candido (2008)</w:t>
      </w:r>
      <w:r w:rsidR="00210AF0">
        <w:rPr>
          <w:sz w:val="24"/>
          <w:szCs w:val="24"/>
        </w:rPr>
        <w:t xml:space="preserve">. </w:t>
      </w:r>
    </w:p>
    <w:p w:rsidR="00FD02B2" w:rsidRPr="003E5034" w:rsidRDefault="003E5034" w:rsidP="00154607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10AF0">
        <w:rPr>
          <w:sz w:val="24"/>
          <w:szCs w:val="24"/>
        </w:rPr>
        <w:t xml:space="preserve">Dessa forma, este estudo objetiva mensurar o potencial sustentável do município de Belém à luz da metodologia </w:t>
      </w:r>
      <w:r>
        <w:rPr>
          <w:sz w:val="24"/>
          <w:szCs w:val="24"/>
        </w:rPr>
        <w:t xml:space="preserve">de </w:t>
      </w:r>
      <w:r w:rsidRPr="007C551F">
        <w:rPr>
          <w:sz w:val="24"/>
          <w:szCs w:val="24"/>
        </w:rPr>
        <w:t>Martins e Candido (2008)</w:t>
      </w:r>
      <w:r>
        <w:rPr>
          <w:sz w:val="24"/>
          <w:szCs w:val="24"/>
        </w:rPr>
        <w:t>, adaptando determinadas condições de contorno para a realidade da qual o município vivencia. Com isso, pôde-se mensurar quão sustentavelmente pode se desenvolver a cidade de Belém em relação aos demais municípios do estado do Pará, campo amostral pré-determinado, nas dimensões social, econômica e ambiental. Infere-se, a partir disso, que o referido método pode não evidenciar a condição real de desenvolvimento sustentável de um município, mas sim mensurar o potencial de desenvolvimento consciente que o mesmo possa ter.</w:t>
      </w:r>
    </w:p>
    <w:p w:rsidR="00344C22" w:rsidRDefault="00344C22" w:rsidP="00154607">
      <w:pPr>
        <w:tabs>
          <w:tab w:val="left" w:pos="709"/>
        </w:tabs>
        <w:spacing w:line="36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2. METODOLOGIA</w:t>
      </w:r>
    </w:p>
    <w:p w:rsidR="00344C22" w:rsidRDefault="00344C22" w:rsidP="00154607">
      <w:pPr>
        <w:tabs>
          <w:tab w:val="left" w:pos="709"/>
        </w:tabs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2.1 ÁREA DE ESTUDO</w:t>
      </w:r>
    </w:p>
    <w:p w:rsidR="00344C22" w:rsidRDefault="00344C22" w:rsidP="00154607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9D3E58">
        <w:rPr>
          <w:sz w:val="24"/>
          <w:szCs w:val="28"/>
        </w:rPr>
        <w:t>A área de estudo deste trabalho é, em primeiro plano, a cidade de Belém,</w:t>
      </w:r>
      <w:r w:rsidR="008E6ADB">
        <w:rPr>
          <w:sz w:val="24"/>
          <w:szCs w:val="28"/>
        </w:rPr>
        <w:t xml:space="preserve"> capital do estado do Pará,</w:t>
      </w:r>
      <w:r w:rsidR="009D3E58">
        <w:rPr>
          <w:sz w:val="24"/>
          <w:szCs w:val="28"/>
        </w:rPr>
        <w:t xml:space="preserve"> e</w:t>
      </w:r>
      <w:r w:rsidR="008E6ADB">
        <w:rPr>
          <w:sz w:val="24"/>
          <w:szCs w:val="28"/>
        </w:rPr>
        <w:t>,</w:t>
      </w:r>
      <w:r w:rsidR="009D3E58">
        <w:rPr>
          <w:sz w:val="24"/>
          <w:szCs w:val="28"/>
        </w:rPr>
        <w:t xml:space="preserve"> em segundo plano</w:t>
      </w:r>
      <w:r w:rsidR="008E6ADB">
        <w:rPr>
          <w:sz w:val="24"/>
          <w:szCs w:val="28"/>
        </w:rPr>
        <w:t>,</w:t>
      </w:r>
      <w:r w:rsidR="009D3E58">
        <w:rPr>
          <w:sz w:val="24"/>
          <w:szCs w:val="28"/>
        </w:rPr>
        <w:t xml:space="preserve"> as </w:t>
      </w:r>
      <w:r w:rsidR="009D3E58" w:rsidRPr="00BB6DBB">
        <w:rPr>
          <w:sz w:val="24"/>
          <w:szCs w:val="28"/>
        </w:rPr>
        <w:t xml:space="preserve">demais cidades </w:t>
      </w:r>
      <w:r w:rsidR="008E6ADB">
        <w:rPr>
          <w:sz w:val="24"/>
          <w:szCs w:val="28"/>
        </w:rPr>
        <w:t>paraenses</w:t>
      </w:r>
      <w:r w:rsidR="009D3E58" w:rsidRPr="00BB6DBB">
        <w:rPr>
          <w:sz w:val="24"/>
          <w:szCs w:val="28"/>
        </w:rPr>
        <w:t xml:space="preserve">, já que as mesmas são comparadas </w:t>
      </w:r>
      <w:r w:rsidR="008E6ADB">
        <w:rPr>
          <w:sz w:val="24"/>
          <w:szCs w:val="28"/>
        </w:rPr>
        <w:t>à</w:t>
      </w:r>
      <w:r w:rsidR="009D3E58" w:rsidRPr="00BB6DBB">
        <w:rPr>
          <w:sz w:val="24"/>
          <w:szCs w:val="28"/>
        </w:rPr>
        <w:t xml:space="preserve"> capital para a realização da análise. </w:t>
      </w:r>
      <w:r w:rsidRPr="00BB6DBB">
        <w:rPr>
          <w:sz w:val="24"/>
          <w:szCs w:val="28"/>
        </w:rPr>
        <w:t>Nesse contexto, optou</w:t>
      </w:r>
      <w:r w:rsidR="00BB6DBB" w:rsidRPr="00BB6DBB">
        <w:rPr>
          <w:sz w:val="24"/>
          <w:szCs w:val="28"/>
        </w:rPr>
        <w:t xml:space="preserve">-se </w:t>
      </w:r>
      <w:r w:rsidR="00BD0848">
        <w:rPr>
          <w:sz w:val="24"/>
          <w:szCs w:val="28"/>
        </w:rPr>
        <w:t>por Belém pelo fato do município possuir a maior aglo</w:t>
      </w:r>
      <w:r w:rsidR="00FD02B2">
        <w:rPr>
          <w:sz w:val="24"/>
          <w:szCs w:val="28"/>
        </w:rPr>
        <w:t>mera</w:t>
      </w:r>
      <w:r w:rsidR="00BD0848">
        <w:rPr>
          <w:sz w:val="24"/>
          <w:szCs w:val="28"/>
        </w:rPr>
        <w:t>ção urbana da Amazônia</w:t>
      </w:r>
      <w:r w:rsidR="00FD02B2">
        <w:rPr>
          <w:sz w:val="24"/>
          <w:szCs w:val="28"/>
        </w:rPr>
        <w:t>, cujas diretrizes de desenvolvimento, se mal implementadas, impactam diretamente a vida de quase 3 milhões de habitantes</w:t>
      </w:r>
      <w:r w:rsidR="008E6ADB">
        <w:rPr>
          <w:sz w:val="24"/>
          <w:szCs w:val="28"/>
        </w:rPr>
        <w:t>.</w:t>
      </w:r>
    </w:p>
    <w:p w:rsidR="00344C22" w:rsidRPr="00E904B1" w:rsidRDefault="00344C22" w:rsidP="00154607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2.2 COLETA DE DADOS</w:t>
      </w:r>
    </w:p>
    <w:p w:rsidR="007C551F" w:rsidRPr="007C551F" w:rsidRDefault="00344C22" w:rsidP="00154607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C551F" w:rsidRPr="007C551F">
        <w:rPr>
          <w:sz w:val="24"/>
          <w:szCs w:val="24"/>
        </w:rPr>
        <w:t>A metodologia utilizada para o cálculo do IDSM (Índice de Desenvolvimento Sustentável Mu</w:t>
      </w:r>
      <w:r w:rsidR="008E6ADB">
        <w:rPr>
          <w:sz w:val="24"/>
          <w:szCs w:val="24"/>
        </w:rPr>
        <w:t xml:space="preserve">nicipal), </w:t>
      </w:r>
      <w:r w:rsidR="007C551F" w:rsidRPr="007C551F">
        <w:rPr>
          <w:sz w:val="24"/>
          <w:szCs w:val="24"/>
        </w:rPr>
        <w:t>proposta por Martins e Candido (2008)</w:t>
      </w:r>
      <w:r w:rsidR="008E6ADB">
        <w:rPr>
          <w:sz w:val="24"/>
          <w:szCs w:val="24"/>
        </w:rPr>
        <w:t>,</w:t>
      </w:r>
      <w:r w:rsidR="007C551F" w:rsidRPr="007C551F">
        <w:rPr>
          <w:sz w:val="24"/>
          <w:szCs w:val="24"/>
        </w:rPr>
        <w:t xml:space="preserve"> tem como base o documento do IBGE “Indicadores do Desenvolvimento Sustentável”</w:t>
      </w:r>
      <w:r w:rsidR="00193334">
        <w:rPr>
          <w:sz w:val="24"/>
          <w:szCs w:val="24"/>
        </w:rPr>
        <w:t xml:space="preserve"> (2002 – atualizado em 2015</w:t>
      </w:r>
      <w:r w:rsidR="002021A5">
        <w:rPr>
          <w:sz w:val="24"/>
          <w:szCs w:val="24"/>
        </w:rPr>
        <w:t>)</w:t>
      </w:r>
      <w:r w:rsidR="007C551F" w:rsidRPr="007C551F">
        <w:rPr>
          <w:sz w:val="24"/>
          <w:szCs w:val="24"/>
        </w:rPr>
        <w:t xml:space="preserve">. </w:t>
      </w:r>
      <w:r w:rsidR="008E6ADB">
        <w:rPr>
          <w:sz w:val="24"/>
          <w:szCs w:val="24"/>
        </w:rPr>
        <w:t>Nesse contexto, o</w:t>
      </w:r>
      <w:r w:rsidR="007C551F" w:rsidRPr="007C551F">
        <w:rPr>
          <w:sz w:val="24"/>
          <w:szCs w:val="24"/>
        </w:rPr>
        <w:t xml:space="preserve"> estudo proposto originalmente pelos autores engloba seis dimensões: social, econômica, ambiental, demográfica, político-institucional e cultural; contendo um total de 44 variáveis. </w:t>
      </w:r>
    </w:p>
    <w:p w:rsidR="008E6ADB" w:rsidRDefault="007C551F" w:rsidP="00154607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8E6ADB">
        <w:rPr>
          <w:sz w:val="24"/>
          <w:szCs w:val="24"/>
        </w:rPr>
        <w:t>Com base nessa perspectiva, escolheu-se para determinar as variáveis analisadas o</w:t>
      </w:r>
      <w:r w:rsidRPr="007C551F">
        <w:rPr>
          <w:sz w:val="24"/>
          <w:szCs w:val="24"/>
        </w:rPr>
        <w:t xml:space="preserve"> modelo do </w:t>
      </w:r>
      <w:r w:rsidRPr="00660DF5">
        <w:rPr>
          <w:i/>
          <w:sz w:val="24"/>
          <w:szCs w:val="24"/>
        </w:rPr>
        <w:t xml:space="preserve">Triple </w:t>
      </w:r>
      <w:proofErr w:type="spellStart"/>
      <w:r w:rsidRPr="00660DF5">
        <w:rPr>
          <w:i/>
          <w:sz w:val="24"/>
          <w:szCs w:val="24"/>
        </w:rPr>
        <w:t>Bottom</w:t>
      </w:r>
      <w:proofErr w:type="spellEnd"/>
      <w:r w:rsidR="00660DF5" w:rsidRPr="00660DF5">
        <w:rPr>
          <w:i/>
          <w:sz w:val="24"/>
          <w:szCs w:val="24"/>
        </w:rPr>
        <w:t xml:space="preserve"> </w:t>
      </w:r>
      <w:proofErr w:type="spellStart"/>
      <w:r w:rsidRPr="00660DF5">
        <w:rPr>
          <w:i/>
          <w:sz w:val="24"/>
          <w:szCs w:val="24"/>
        </w:rPr>
        <w:t>Line</w:t>
      </w:r>
      <w:proofErr w:type="spellEnd"/>
      <w:r w:rsidRPr="007C551F">
        <w:rPr>
          <w:sz w:val="24"/>
          <w:szCs w:val="24"/>
        </w:rPr>
        <w:t xml:space="preserve">, </w:t>
      </w:r>
      <w:r w:rsidR="008E6ADB">
        <w:rPr>
          <w:sz w:val="24"/>
          <w:szCs w:val="24"/>
        </w:rPr>
        <w:t>aplicando a</w:t>
      </w:r>
      <w:r w:rsidRPr="007C551F">
        <w:rPr>
          <w:sz w:val="24"/>
          <w:szCs w:val="24"/>
        </w:rPr>
        <w:t xml:space="preserve"> metodologia de cálculo dos autores supracitados. </w:t>
      </w:r>
      <w:r w:rsidR="008E6ADB">
        <w:rPr>
          <w:sz w:val="24"/>
          <w:szCs w:val="24"/>
        </w:rPr>
        <w:t>Dessa forma</w:t>
      </w:r>
      <w:r w:rsidRPr="007C551F">
        <w:rPr>
          <w:sz w:val="24"/>
          <w:szCs w:val="24"/>
        </w:rPr>
        <w:t xml:space="preserve">, </w:t>
      </w:r>
      <w:r w:rsidR="008E6ADB">
        <w:rPr>
          <w:sz w:val="24"/>
          <w:szCs w:val="24"/>
        </w:rPr>
        <w:t xml:space="preserve">foram analisadas </w:t>
      </w:r>
      <w:r w:rsidRPr="007C551F">
        <w:rPr>
          <w:sz w:val="24"/>
          <w:szCs w:val="24"/>
        </w:rPr>
        <w:t xml:space="preserve">três dimensões </w:t>
      </w:r>
      <w:r w:rsidR="008E6ADB">
        <w:rPr>
          <w:sz w:val="24"/>
          <w:szCs w:val="24"/>
        </w:rPr>
        <w:t xml:space="preserve">neste estudo: </w:t>
      </w:r>
      <w:r w:rsidRPr="007C551F">
        <w:rPr>
          <w:sz w:val="24"/>
          <w:szCs w:val="24"/>
        </w:rPr>
        <w:t xml:space="preserve">ambiental, econômica e social, as quais devem coexistir para que seja possível alcançar </w:t>
      </w:r>
      <w:r w:rsidR="008E6ADB">
        <w:rPr>
          <w:sz w:val="24"/>
          <w:szCs w:val="24"/>
        </w:rPr>
        <w:t>padrões satisfatórios de desenvolvimento s</w:t>
      </w:r>
      <w:r w:rsidRPr="007C551F">
        <w:rPr>
          <w:sz w:val="24"/>
          <w:szCs w:val="24"/>
        </w:rPr>
        <w:t xml:space="preserve">ustentável. Além disso, as variáveis foram selecionadas de acordo com a disponibilidade de informações, gerando uma configuração final de </w:t>
      </w:r>
      <w:r w:rsidR="008E6ADB">
        <w:rPr>
          <w:sz w:val="24"/>
          <w:szCs w:val="24"/>
        </w:rPr>
        <w:t>22 variáveis, sendo 09 delas da dimensão social, 07 da dimensão econômica e 06 da dimensão ambiental.</w:t>
      </w:r>
    </w:p>
    <w:p w:rsidR="00BD0848" w:rsidRDefault="00BD0848" w:rsidP="00154607">
      <w:pPr>
        <w:tabs>
          <w:tab w:val="left" w:pos="70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2.3 ANÁLISE DE DADOS</w:t>
      </w:r>
    </w:p>
    <w:p w:rsidR="008E6ADB" w:rsidRDefault="007C551F" w:rsidP="00154607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6ADB">
        <w:rPr>
          <w:sz w:val="24"/>
          <w:szCs w:val="24"/>
        </w:rPr>
        <w:t>Para a</w:t>
      </w:r>
      <w:r w:rsidR="00660DF5">
        <w:rPr>
          <w:sz w:val="24"/>
          <w:szCs w:val="24"/>
        </w:rPr>
        <w:t xml:space="preserve"> </w:t>
      </w:r>
      <w:r w:rsidR="008E6ADB">
        <w:rPr>
          <w:sz w:val="24"/>
          <w:szCs w:val="24"/>
        </w:rPr>
        <w:t>mensuração</w:t>
      </w:r>
      <w:r w:rsidRPr="007C551F">
        <w:rPr>
          <w:sz w:val="24"/>
          <w:szCs w:val="24"/>
        </w:rPr>
        <w:t xml:space="preserve"> do IDSM, </w:t>
      </w:r>
      <w:r w:rsidR="008E6ADB">
        <w:rPr>
          <w:sz w:val="24"/>
          <w:szCs w:val="24"/>
        </w:rPr>
        <w:t>verificou</w:t>
      </w:r>
      <w:r w:rsidRPr="007C551F">
        <w:rPr>
          <w:sz w:val="24"/>
          <w:szCs w:val="24"/>
        </w:rPr>
        <w:t xml:space="preserve">-se qual dado </w:t>
      </w:r>
      <w:r w:rsidR="008E6ADB">
        <w:rPr>
          <w:sz w:val="24"/>
          <w:szCs w:val="24"/>
        </w:rPr>
        <w:t>adequava-se na</w:t>
      </w:r>
      <w:r w:rsidRPr="007C551F">
        <w:rPr>
          <w:sz w:val="24"/>
          <w:szCs w:val="24"/>
        </w:rPr>
        <w:t xml:space="preserve"> análise de cada variável</w:t>
      </w:r>
      <w:r w:rsidR="00660DF5">
        <w:rPr>
          <w:sz w:val="24"/>
          <w:szCs w:val="24"/>
        </w:rPr>
        <w:t xml:space="preserve"> </w:t>
      </w:r>
      <w:r w:rsidR="008E6ADB">
        <w:rPr>
          <w:sz w:val="24"/>
          <w:szCs w:val="24"/>
        </w:rPr>
        <w:t xml:space="preserve">de modo que fossem coletados </w:t>
      </w:r>
      <w:r w:rsidR="002021A5">
        <w:rPr>
          <w:sz w:val="24"/>
          <w:szCs w:val="24"/>
        </w:rPr>
        <w:t xml:space="preserve">os </w:t>
      </w:r>
      <w:r w:rsidR="008E6ADB">
        <w:rPr>
          <w:sz w:val="24"/>
          <w:szCs w:val="24"/>
        </w:rPr>
        <w:t xml:space="preserve">dados do município </w:t>
      </w:r>
      <w:r w:rsidR="002021A5">
        <w:rPr>
          <w:sz w:val="24"/>
          <w:szCs w:val="24"/>
        </w:rPr>
        <w:t xml:space="preserve">abordado e </w:t>
      </w:r>
      <w:r w:rsidR="008E6ADB">
        <w:rPr>
          <w:sz w:val="24"/>
          <w:szCs w:val="24"/>
        </w:rPr>
        <w:t>das cidades as quais possuem o maior e o menor índice naquele determinado dado</w:t>
      </w:r>
      <w:r w:rsidR="002021A5">
        <w:rPr>
          <w:sz w:val="24"/>
          <w:szCs w:val="24"/>
        </w:rPr>
        <w:t>. Com isso, foi possível estabelecer uma comparação mensurável, relacionando o valor do município de Belém com os índices extremos encontrados nas demais localidades do estado.</w:t>
      </w:r>
    </w:p>
    <w:p w:rsidR="002021A5" w:rsidRDefault="002021A5" w:rsidP="00FD02B2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Dessa maneira</w:t>
      </w:r>
      <w:r w:rsidR="007C551F" w:rsidRPr="007C551F">
        <w:rPr>
          <w:sz w:val="24"/>
          <w:szCs w:val="24"/>
        </w:rPr>
        <w:t xml:space="preserve">, </w:t>
      </w:r>
      <w:r>
        <w:rPr>
          <w:sz w:val="24"/>
          <w:szCs w:val="24"/>
        </w:rPr>
        <w:t>concebeu-se que a relação das variáveis com o grau de desenvolvimento sustentável pode ser positiva (quanto maior o indicador maior o IDSM) ou negativa (quanto maior o indicador menor o IDSM). A partir disso, ao verificar que os dados possuíam suas próprias grandezas de mensuração, foi necessário unitizá-los em uma escala que variasse de zero a um (0-1)</w:t>
      </w:r>
      <w:r w:rsidR="007C551F" w:rsidRPr="007C551F">
        <w:rPr>
          <w:sz w:val="24"/>
          <w:szCs w:val="24"/>
        </w:rPr>
        <w:t xml:space="preserve">. Para isso, a forma de relacionamento entre indicadores e índices - relação </w:t>
      </w:r>
      <w:r>
        <w:rPr>
          <w:sz w:val="24"/>
          <w:szCs w:val="24"/>
        </w:rPr>
        <w:t>negativa ou positiva - direcionou</w:t>
      </w:r>
      <w:r w:rsidR="007C551F" w:rsidRPr="007C551F">
        <w:rPr>
          <w:sz w:val="24"/>
          <w:szCs w:val="24"/>
        </w:rPr>
        <w:t xml:space="preserve"> a escolha da fórmula utilizada para este cálculo</w:t>
      </w:r>
      <w:r>
        <w:rPr>
          <w:sz w:val="24"/>
          <w:szCs w:val="24"/>
        </w:rPr>
        <w:t>, sendo a equação 1 utilizada quando a variável for proporcional ao IDSM e a equação 2 quando a mesma for inversamente proporcional ao índice.</w:t>
      </w:r>
    </w:p>
    <w:p w:rsidR="002021A5" w:rsidRDefault="00BD0848" w:rsidP="0000459E">
      <w:pPr>
        <w:tabs>
          <w:tab w:val="left" w:pos="709"/>
        </w:tabs>
        <w:spacing w:line="360" w:lineRule="auto"/>
        <w:jc w:val="right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I=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(x-m)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(M-m)</m:t>
            </m:r>
          </m:den>
        </m:f>
      </m:oMath>
      <w:r w:rsidR="0000459E">
        <w:rPr>
          <w:sz w:val="24"/>
          <w:szCs w:val="24"/>
        </w:rPr>
        <w:t xml:space="preserve">                                                                 </w:t>
      </w:r>
      <w:r w:rsidR="002021A5">
        <w:rPr>
          <w:sz w:val="24"/>
          <w:szCs w:val="24"/>
        </w:rPr>
        <w:t>Eq. (1)</w:t>
      </w:r>
    </w:p>
    <w:p w:rsidR="00BD0848" w:rsidRDefault="00BD0848" w:rsidP="0000459E">
      <w:pPr>
        <w:tabs>
          <w:tab w:val="left" w:pos="709"/>
        </w:tabs>
        <w:spacing w:line="360" w:lineRule="auto"/>
        <w:jc w:val="right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I=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(M-x)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(M-m)</m:t>
            </m:r>
          </m:den>
        </m:f>
      </m:oMath>
      <w:r w:rsidR="001F74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00459E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>Eq. (2)</w:t>
      </w:r>
    </w:p>
    <w:p w:rsidR="002021A5" w:rsidRDefault="002021A5" w:rsidP="00FD02B2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Onde</w:t>
      </w:r>
      <w:r w:rsidR="00BD0848">
        <w:rPr>
          <w:sz w:val="24"/>
          <w:szCs w:val="24"/>
        </w:rPr>
        <w:t>:</w:t>
      </w:r>
    </w:p>
    <w:p w:rsidR="002021A5" w:rsidRDefault="002021A5" w:rsidP="00FD02B2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7C551F">
        <w:rPr>
          <w:sz w:val="24"/>
          <w:szCs w:val="24"/>
        </w:rPr>
        <w:t>I = índice calculado para cada variável;</w:t>
      </w:r>
    </w:p>
    <w:p w:rsidR="002021A5" w:rsidRDefault="002021A5" w:rsidP="00FD02B2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proofErr w:type="gramStart"/>
      <w:r w:rsidRPr="007C551F">
        <w:rPr>
          <w:sz w:val="24"/>
          <w:szCs w:val="24"/>
        </w:rPr>
        <w:t>x</w:t>
      </w:r>
      <w:proofErr w:type="gramEnd"/>
      <w:r w:rsidRPr="007C551F">
        <w:rPr>
          <w:sz w:val="24"/>
          <w:szCs w:val="24"/>
        </w:rPr>
        <w:t xml:space="preserve"> = valor de cada variável no município estudado;</w:t>
      </w:r>
    </w:p>
    <w:p w:rsidR="002021A5" w:rsidRDefault="002021A5" w:rsidP="00FD02B2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proofErr w:type="gramStart"/>
      <w:r w:rsidRPr="007C551F">
        <w:rPr>
          <w:sz w:val="24"/>
          <w:szCs w:val="24"/>
        </w:rPr>
        <w:t>m</w:t>
      </w:r>
      <w:proofErr w:type="gramEnd"/>
      <w:r w:rsidRPr="007C551F">
        <w:rPr>
          <w:sz w:val="24"/>
          <w:szCs w:val="24"/>
        </w:rPr>
        <w:t xml:space="preserve"> = valor mínimo identificado no estado ao qual o município pertence;</w:t>
      </w:r>
    </w:p>
    <w:p w:rsidR="002021A5" w:rsidRDefault="002021A5" w:rsidP="00FD02B2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7C551F">
        <w:rPr>
          <w:sz w:val="24"/>
          <w:szCs w:val="24"/>
        </w:rPr>
        <w:t>M = valor máximo identificado no estado ao qual o município pertence.</w:t>
      </w:r>
    </w:p>
    <w:p w:rsidR="00BD0848" w:rsidRDefault="00BD0848" w:rsidP="00FD02B2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Uma vez tendo unitizado todas as variáveis, realizou-se a média aritmética para cada dimensão abordada, gerando três í</w:t>
      </w:r>
      <w:r w:rsidR="00133403">
        <w:rPr>
          <w:sz w:val="24"/>
          <w:szCs w:val="24"/>
        </w:rPr>
        <w:t>ndices de IDS</w:t>
      </w:r>
      <w:r>
        <w:rPr>
          <w:sz w:val="24"/>
          <w:szCs w:val="24"/>
        </w:rPr>
        <w:t>. Para determinar o IDSM de Belém, realizou-se igualmente a média aritmética dos três índices.</w:t>
      </w:r>
    </w:p>
    <w:p w:rsidR="000220CE" w:rsidRPr="000220CE" w:rsidRDefault="00344C22" w:rsidP="00FD02B2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D0848">
        <w:rPr>
          <w:sz w:val="24"/>
          <w:szCs w:val="24"/>
        </w:rPr>
        <w:t>Cabe ressaltar que o</w:t>
      </w:r>
      <w:r w:rsidR="000220CE" w:rsidRPr="000220CE">
        <w:rPr>
          <w:sz w:val="24"/>
          <w:szCs w:val="24"/>
        </w:rPr>
        <w:t xml:space="preserve">s </w:t>
      </w:r>
      <w:r w:rsidR="00BD0848">
        <w:rPr>
          <w:sz w:val="24"/>
          <w:szCs w:val="24"/>
        </w:rPr>
        <w:t>resultados</w:t>
      </w:r>
      <w:r w:rsidR="00660DF5">
        <w:rPr>
          <w:sz w:val="24"/>
          <w:szCs w:val="24"/>
        </w:rPr>
        <w:t xml:space="preserve"> </w:t>
      </w:r>
      <w:r w:rsidR="00BD0848">
        <w:rPr>
          <w:sz w:val="24"/>
          <w:szCs w:val="24"/>
        </w:rPr>
        <w:t>unitizados</w:t>
      </w:r>
      <w:r w:rsidR="000220CE" w:rsidRPr="000220CE">
        <w:rPr>
          <w:sz w:val="24"/>
          <w:szCs w:val="24"/>
        </w:rPr>
        <w:t xml:space="preserve"> foram analisados com base na classificação por cores</w:t>
      </w:r>
      <w:r w:rsidR="00BD0848">
        <w:rPr>
          <w:sz w:val="24"/>
          <w:szCs w:val="24"/>
        </w:rPr>
        <w:t xml:space="preserve"> (Quadro 01), tanto para o</w:t>
      </w:r>
      <w:r w:rsidR="00660DF5">
        <w:rPr>
          <w:sz w:val="24"/>
          <w:szCs w:val="24"/>
        </w:rPr>
        <w:t xml:space="preserve"> </w:t>
      </w:r>
      <w:r w:rsidR="00133403">
        <w:rPr>
          <w:sz w:val="24"/>
          <w:szCs w:val="24"/>
        </w:rPr>
        <w:t>IDS</w:t>
      </w:r>
      <w:r w:rsidR="000220CE" w:rsidRPr="000220CE">
        <w:rPr>
          <w:sz w:val="24"/>
          <w:szCs w:val="24"/>
        </w:rPr>
        <w:t xml:space="preserve"> das dimensões </w:t>
      </w:r>
      <w:r w:rsidR="00BD0848">
        <w:rPr>
          <w:sz w:val="24"/>
          <w:szCs w:val="24"/>
        </w:rPr>
        <w:t>quanto para o IDSM do município</w:t>
      </w:r>
      <w:r w:rsidR="000220CE" w:rsidRPr="000220CE">
        <w:rPr>
          <w:sz w:val="24"/>
          <w:szCs w:val="24"/>
        </w:rPr>
        <w:t xml:space="preserve">. Assim, pôde-se avaliar </w:t>
      </w:r>
      <w:r w:rsidR="00BD0848">
        <w:rPr>
          <w:sz w:val="24"/>
          <w:szCs w:val="24"/>
        </w:rPr>
        <w:t>analiticamente o desenvolvimento sustentável do</w:t>
      </w:r>
      <w:r w:rsidR="000220CE" w:rsidRPr="000220CE">
        <w:rPr>
          <w:sz w:val="24"/>
          <w:szCs w:val="24"/>
        </w:rPr>
        <w:t xml:space="preserve"> município </w:t>
      </w:r>
      <w:r w:rsidR="00BD0848">
        <w:rPr>
          <w:sz w:val="24"/>
          <w:szCs w:val="24"/>
        </w:rPr>
        <w:t>de Belém com relação à</w:t>
      </w:r>
      <w:r w:rsidR="000220CE" w:rsidRPr="000220CE">
        <w:rPr>
          <w:sz w:val="24"/>
          <w:szCs w:val="24"/>
        </w:rPr>
        <w:t>s outras</w:t>
      </w:r>
      <w:r w:rsidR="00BD0848">
        <w:rPr>
          <w:sz w:val="24"/>
          <w:szCs w:val="24"/>
        </w:rPr>
        <w:t xml:space="preserve"> cidades do estado, utilizando </w:t>
      </w:r>
      <w:r w:rsidR="000220CE" w:rsidRPr="000220CE">
        <w:rPr>
          <w:sz w:val="24"/>
          <w:szCs w:val="24"/>
        </w:rPr>
        <w:t>uma escala definida</w:t>
      </w:r>
      <w:r w:rsidR="00BD0848">
        <w:rPr>
          <w:sz w:val="24"/>
          <w:szCs w:val="24"/>
        </w:rPr>
        <w:t xml:space="preserve"> de níveis de sustentabilidade.</w:t>
      </w:r>
    </w:p>
    <w:p w:rsidR="000220CE" w:rsidRPr="0068769F" w:rsidRDefault="00BD0848" w:rsidP="00DD70E2">
      <w:pPr>
        <w:tabs>
          <w:tab w:val="left" w:pos="70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Quadro</w:t>
      </w:r>
      <w:r w:rsidR="000220CE" w:rsidRPr="0068769F">
        <w:rPr>
          <w:sz w:val="22"/>
          <w:szCs w:val="22"/>
        </w:rPr>
        <w:t xml:space="preserve"> 01 – Níveis de sustentabil</w:t>
      </w:r>
      <w:r>
        <w:rPr>
          <w:sz w:val="22"/>
          <w:szCs w:val="22"/>
        </w:rPr>
        <w:t>idade</w:t>
      </w:r>
    </w:p>
    <w:tbl>
      <w:tblPr>
        <w:tblW w:w="9464" w:type="dxa"/>
        <w:jc w:val="center"/>
        <w:tblBorders>
          <w:insideH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59"/>
        <w:gridCol w:w="3636"/>
        <w:gridCol w:w="3969"/>
      </w:tblGrid>
      <w:tr w:rsidR="000220CE" w:rsidRPr="000220CE" w:rsidTr="001F74C5">
        <w:trPr>
          <w:trHeight w:val="340"/>
          <w:jc w:val="center"/>
        </w:trPr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0CE" w:rsidRPr="000220CE" w:rsidRDefault="000220CE" w:rsidP="00BD0848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0220CE">
              <w:rPr>
                <w:b/>
                <w:sz w:val="22"/>
                <w:szCs w:val="22"/>
              </w:rPr>
              <w:t>Índice (0 - 1)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0CE" w:rsidRPr="000220CE" w:rsidRDefault="000220CE" w:rsidP="00BD0848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Coloração</w:t>
            </w:r>
            <w:r w:rsidR="0052676A">
              <w:rPr>
                <w:b/>
                <w:sz w:val="22"/>
                <w:szCs w:val="22"/>
              </w:rPr>
              <w:t xml:space="preserve"> Atribuída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0CE" w:rsidRPr="000220CE" w:rsidRDefault="000220CE" w:rsidP="00BD0848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0220CE">
              <w:rPr>
                <w:b/>
                <w:sz w:val="22"/>
                <w:szCs w:val="22"/>
              </w:rPr>
              <w:t>Nível de sustentabilidade</w:t>
            </w:r>
          </w:p>
        </w:tc>
      </w:tr>
      <w:tr w:rsidR="000220CE" w:rsidRPr="000220CE" w:rsidTr="001F74C5">
        <w:trPr>
          <w:trHeight w:val="340"/>
          <w:jc w:val="center"/>
        </w:trPr>
        <w:tc>
          <w:tcPr>
            <w:tcW w:w="1859" w:type="dxa"/>
            <w:tcBorders>
              <w:top w:val="single" w:sz="4" w:space="0" w:color="auto"/>
            </w:tcBorders>
            <w:vAlign w:val="center"/>
          </w:tcPr>
          <w:p w:rsidR="000220CE" w:rsidRPr="000220CE" w:rsidRDefault="000220CE" w:rsidP="00BD0848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220CE">
              <w:rPr>
                <w:sz w:val="22"/>
                <w:szCs w:val="22"/>
              </w:rPr>
              <w:t>0,0000 - 0,2500</w:t>
            </w:r>
          </w:p>
        </w:tc>
        <w:tc>
          <w:tcPr>
            <w:tcW w:w="3636" w:type="dxa"/>
            <w:tcBorders>
              <w:top w:val="single" w:sz="4" w:space="0" w:color="auto"/>
            </w:tcBorders>
            <w:vAlign w:val="center"/>
          </w:tcPr>
          <w:p w:rsidR="000220CE" w:rsidRPr="000220CE" w:rsidRDefault="0052676A" w:rsidP="00BD0848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Vermelho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0220CE" w:rsidRPr="000220CE" w:rsidRDefault="000220CE" w:rsidP="00BD0848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220CE">
              <w:rPr>
                <w:sz w:val="22"/>
                <w:szCs w:val="22"/>
              </w:rPr>
              <w:t>Crítico</w:t>
            </w:r>
          </w:p>
        </w:tc>
      </w:tr>
      <w:tr w:rsidR="000220CE" w:rsidRPr="000220CE" w:rsidTr="001F74C5">
        <w:trPr>
          <w:trHeight w:val="340"/>
          <w:jc w:val="center"/>
        </w:trPr>
        <w:tc>
          <w:tcPr>
            <w:tcW w:w="1859" w:type="dxa"/>
            <w:vAlign w:val="center"/>
          </w:tcPr>
          <w:p w:rsidR="000220CE" w:rsidRPr="000220CE" w:rsidRDefault="000220CE" w:rsidP="00BD0848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220CE">
              <w:rPr>
                <w:sz w:val="22"/>
                <w:szCs w:val="22"/>
              </w:rPr>
              <w:t>0,2501 - 0,5000</w:t>
            </w:r>
          </w:p>
        </w:tc>
        <w:tc>
          <w:tcPr>
            <w:tcW w:w="3636" w:type="dxa"/>
            <w:vAlign w:val="center"/>
          </w:tcPr>
          <w:p w:rsidR="000220CE" w:rsidRPr="000220CE" w:rsidRDefault="0052676A" w:rsidP="00BD0848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Laranja</w:t>
            </w:r>
          </w:p>
        </w:tc>
        <w:tc>
          <w:tcPr>
            <w:tcW w:w="3969" w:type="dxa"/>
            <w:vAlign w:val="center"/>
          </w:tcPr>
          <w:p w:rsidR="000220CE" w:rsidRPr="000220CE" w:rsidRDefault="000220CE" w:rsidP="00BD0848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220CE">
              <w:rPr>
                <w:sz w:val="22"/>
                <w:szCs w:val="22"/>
              </w:rPr>
              <w:t>Alerta</w:t>
            </w:r>
          </w:p>
        </w:tc>
      </w:tr>
      <w:tr w:rsidR="000220CE" w:rsidRPr="000220CE" w:rsidTr="001F74C5">
        <w:trPr>
          <w:trHeight w:val="340"/>
          <w:jc w:val="center"/>
        </w:trPr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0220CE" w:rsidRPr="000220CE" w:rsidRDefault="000220CE" w:rsidP="00BD0848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220CE">
              <w:rPr>
                <w:sz w:val="22"/>
                <w:szCs w:val="22"/>
              </w:rPr>
              <w:t>0,5001 - 0,7500</w:t>
            </w:r>
          </w:p>
        </w:tc>
        <w:tc>
          <w:tcPr>
            <w:tcW w:w="3636" w:type="dxa"/>
            <w:tcBorders>
              <w:bottom w:val="single" w:sz="4" w:space="0" w:color="auto"/>
            </w:tcBorders>
            <w:vAlign w:val="center"/>
          </w:tcPr>
          <w:p w:rsidR="000220CE" w:rsidRPr="000220CE" w:rsidRDefault="0052676A" w:rsidP="00BD0848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Azul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220CE" w:rsidRPr="000220CE" w:rsidRDefault="000220CE" w:rsidP="00BD0848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220CE">
              <w:rPr>
                <w:sz w:val="22"/>
                <w:szCs w:val="22"/>
              </w:rPr>
              <w:t>Aceitável</w:t>
            </w:r>
          </w:p>
        </w:tc>
      </w:tr>
      <w:tr w:rsidR="000220CE" w:rsidRPr="000220CE" w:rsidTr="001F74C5">
        <w:trPr>
          <w:trHeight w:val="340"/>
          <w:jc w:val="center"/>
        </w:trPr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0CE" w:rsidRPr="000220CE" w:rsidRDefault="000220CE" w:rsidP="00BD0848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220CE">
              <w:rPr>
                <w:sz w:val="22"/>
                <w:szCs w:val="22"/>
              </w:rPr>
              <w:t>0,7501 - 1,0000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0CE" w:rsidRPr="000220CE" w:rsidRDefault="0052676A" w:rsidP="00BD0848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Verde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0CE" w:rsidRPr="000220CE" w:rsidRDefault="000220CE" w:rsidP="00BD0848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0220CE">
              <w:rPr>
                <w:sz w:val="22"/>
                <w:szCs w:val="22"/>
              </w:rPr>
              <w:t>Ideal</w:t>
            </w:r>
          </w:p>
        </w:tc>
      </w:tr>
    </w:tbl>
    <w:p w:rsidR="000220CE" w:rsidRPr="0068769F" w:rsidRDefault="000220CE" w:rsidP="00154607">
      <w:pPr>
        <w:tabs>
          <w:tab w:val="left" w:pos="709"/>
        </w:tabs>
        <w:spacing w:line="360" w:lineRule="auto"/>
        <w:jc w:val="both"/>
        <w:rPr>
          <w:sz w:val="22"/>
          <w:szCs w:val="24"/>
        </w:rPr>
      </w:pPr>
      <w:r w:rsidRPr="0068769F">
        <w:rPr>
          <w:sz w:val="22"/>
          <w:szCs w:val="24"/>
        </w:rPr>
        <w:t>Fonte: Martins e Cândido (2008)</w:t>
      </w:r>
      <w:r w:rsidR="00BD0848">
        <w:rPr>
          <w:sz w:val="22"/>
          <w:szCs w:val="24"/>
        </w:rPr>
        <w:t>.</w:t>
      </w:r>
    </w:p>
    <w:p w:rsidR="00FD02B2" w:rsidRDefault="00344C22" w:rsidP="00154607">
      <w:pPr>
        <w:tabs>
          <w:tab w:val="left" w:pos="70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RESULTADOS E DISUC</w:t>
      </w:r>
      <w:r w:rsidR="003F253F">
        <w:rPr>
          <w:b/>
          <w:sz w:val="24"/>
          <w:szCs w:val="24"/>
        </w:rPr>
        <w:t>U</w:t>
      </w:r>
      <w:r w:rsidR="0052676A">
        <w:rPr>
          <w:b/>
          <w:sz w:val="24"/>
          <w:szCs w:val="24"/>
        </w:rPr>
        <w:t>SÕES</w:t>
      </w:r>
    </w:p>
    <w:p w:rsidR="00FD02B2" w:rsidRDefault="00344C22" w:rsidP="00154607">
      <w:pPr>
        <w:tabs>
          <w:tab w:val="left" w:pos="709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3.1 </w:t>
      </w:r>
      <w:r w:rsidR="00FD02B2">
        <w:rPr>
          <w:sz w:val="24"/>
          <w:szCs w:val="24"/>
        </w:rPr>
        <w:t xml:space="preserve">ANÁLISE DA </w:t>
      </w:r>
      <w:r w:rsidR="0021563B">
        <w:rPr>
          <w:sz w:val="24"/>
          <w:szCs w:val="24"/>
        </w:rPr>
        <w:t>DIMENSÃO SOCIAL</w:t>
      </w:r>
    </w:p>
    <w:p w:rsidR="00FD02B2" w:rsidRDefault="00FD02B2" w:rsidP="00154607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1563B" w:rsidRPr="0021563B">
        <w:rPr>
          <w:sz w:val="24"/>
          <w:szCs w:val="24"/>
        </w:rPr>
        <w:t xml:space="preserve">Para a </w:t>
      </w:r>
      <w:r>
        <w:rPr>
          <w:sz w:val="24"/>
          <w:szCs w:val="24"/>
        </w:rPr>
        <w:t>definição das variáveis abordadas (Quadro 02)</w:t>
      </w:r>
      <w:r w:rsidR="0021563B" w:rsidRPr="0021563B">
        <w:rPr>
          <w:sz w:val="24"/>
          <w:szCs w:val="24"/>
        </w:rPr>
        <w:t xml:space="preserve">, quatro </w:t>
      </w:r>
      <w:r>
        <w:rPr>
          <w:sz w:val="24"/>
          <w:szCs w:val="24"/>
        </w:rPr>
        <w:t>delas</w:t>
      </w:r>
      <w:r w:rsidR="0021563B" w:rsidRPr="0021563B">
        <w:rPr>
          <w:sz w:val="24"/>
          <w:szCs w:val="24"/>
        </w:rPr>
        <w:t xml:space="preserve"> foram retiradas </w:t>
      </w:r>
      <w:r>
        <w:rPr>
          <w:sz w:val="24"/>
          <w:szCs w:val="24"/>
        </w:rPr>
        <w:t>da</w:t>
      </w:r>
      <w:r w:rsidR="0021563B" w:rsidRPr="0021563B">
        <w:rPr>
          <w:sz w:val="24"/>
          <w:szCs w:val="24"/>
        </w:rPr>
        <w:t xml:space="preserve"> lista </w:t>
      </w:r>
      <w:r>
        <w:rPr>
          <w:sz w:val="24"/>
          <w:szCs w:val="24"/>
        </w:rPr>
        <w:t>sugerida</w:t>
      </w:r>
      <w:r w:rsidR="0021563B" w:rsidRPr="0021563B">
        <w:rPr>
          <w:sz w:val="24"/>
          <w:szCs w:val="24"/>
        </w:rPr>
        <w:t xml:space="preserve"> pelo método </w:t>
      </w:r>
      <w:r>
        <w:rPr>
          <w:sz w:val="24"/>
          <w:szCs w:val="24"/>
        </w:rPr>
        <w:t xml:space="preserve">de </w:t>
      </w:r>
      <w:r w:rsidRPr="0068769F">
        <w:rPr>
          <w:sz w:val="22"/>
          <w:szCs w:val="24"/>
        </w:rPr>
        <w:t>Martins e Cândido (2008)</w:t>
      </w:r>
      <w:r w:rsidR="00AA2693">
        <w:rPr>
          <w:sz w:val="22"/>
          <w:szCs w:val="24"/>
        </w:rPr>
        <w:t xml:space="preserve"> </w:t>
      </w:r>
      <w:r w:rsidR="0021563B" w:rsidRPr="0021563B">
        <w:rPr>
          <w:sz w:val="24"/>
          <w:szCs w:val="24"/>
        </w:rPr>
        <w:t xml:space="preserve">devido à dificuldade de acesso aos dados, </w:t>
      </w:r>
      <w:r>
        <w:rPr>
          <w:sz w:val="24"/>
          <w:szCs w:val="24"/>
        </w:rPr>
        <w:t>que são</w:t>
      </w:r>
      <w:r w:rsidR="0021563B" w:rsidRPr="0021563B">
        <w:rPr>
          <w:sz w:val="24"/>
          <w:szCs w:val="24"/>
        </w:rPr>
        <w:t>: prevalência da desnutrição total, imunização contra doenças infec</w:t>
      </w:r>
      <w:r>
        <w:rPr>
          <w:sz w:val="24"/>
          <w:szCs w:val="24"/>
        </w:rPr>
        <w:t xml:space="preserve">ciosas infantis, alfabetização e </w:t>
      </w:r>
      <w:r w:rsidR="0021563B" w:rsidRPr="0021563B">
        <w:rPr>
          <w:sz w:val="24"/>
          <w:szCs w:val="24"/>
        </w:rPr>
        <w:t>mortalid</w:t>
      </w:r>
      <w:r>
        <w:rPr>
          <w:sz w:val="24"/>
          <w:szCs w:val="24"/>
        </w:rPr>
        <w:t>ade por acidente de transporte.</w:t>
      </w:r>
    </w:p>
    <w:p w:rsidR="00FD02B2" w:rsidRPr="0021563B" w:rsidRDefault="00FD02B2" w:rsidP="00154607">
      <w:pPr>
        <w:rPr>
          <w:rFonts w:eastAsia="Calibri"/>
          <w:color w:val="FF0000"/>
          <w:sz w:val="28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>Quadro 02</w:t>
      </w:r>
      <w:r w:rsidRPr="0021563B">
        <w:rPr>
          <w:rFonts w:eastAsia="Calibri"/>
          <w:sz w:val="22"/>
          <w:szCs w:val="24"/>
          <w:lang w:eastAsia="en-US"/>
        </w:rPr>
        <w:t xml:space="preserve"> – </w:t>
      </w:r>
      <w:r w:rsidR="00C03013">
        <w:rPr>
          <w:rFonts w:eastAsia="Calibri"/>
          <w:sz w:val="22"/>
          <w:szCs w:val="24"/>
          <w:lang w:eastAsia="en-US"/>
        </w:rPr>
        <w:t>D</w:t>
      </w:r>
      <w:r>
        <w:rPr>
          <w:rFonts w:eastAsia="Calibri"/>
          <w:sz w:val="22"/>
          <w:szCs w:val="24"/>
          <w:lang w:eastAsia="en-US"/>
        </w:rPr>
        <w:t>efinição dos Indicadores sociais</w:t>
      </w:r>
    </w:p>
    <w:tbl>
      <w:tblPr>
        <w:tblW w:w="9568" w:type="dxa"/>
        <w:jc w:val="center"/>
        <w:tblBorders>
          <w:insideH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843"/>
        <w:gridCol w:w="4820"/>
      </w:tblGrid>
      <w:tr w:rsidR="00FD02B2" w:rsidRPr="0021563B" w:rsidTr="001F74C5">
        <w:trPr>
          <w:trHeight w:val="212"/>
          <w:jc w:val="center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jc w:val="center"/>
              <w:rPr>
                <w:b/>
                <w:bCs/>
                <w:sz w:val="22"/>
                <w:szCs w:val="22"/>
              </w:rPr>
            </w:pPr>
            <w:r w:rsidRPr="0021563B">
              <w:rPr>
                <w:b/>
                <w:bCs/>
                <w:sz w:val="22"/>
                <w:szCs w:val="22"/>
              </w:rPr>
              <w:t>Variáveis</w:t>
            </w:r>
            <w:r>
              <w:rPr>
                <w:b/>
                <w:bCs/>
                <w:sz w:val="22"/>
                <w:szCs w:val="22"/>
              </w:rPr>
              <w:t xml:space="preserve"> Propostas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jc w:val="center"/>
              <w:rPr>
                <w:b/>
                <w:bCs/>
                <w:sz w:val="22"/>
                <w:szCs w:val="22"/>
              </w:rPr>
            </w:pPr>
            <w:r w:rsidRPr="0021563B">
              <w:rPr>
                <w:b/>
                <w:bCs/>
                <w:sz w:val="22"/>
                <w:szCs w:val="22"/>
              </w:rPr>
              <w:t>Fonte</w:t>
            </w:r>
            <w:r>
              <w:rPr>
                <w:b/>
                <w:bCs/>
                <w:sz w:val="22"/>
                <w:szCs w:val="22"/>
              </w:rPr>
              <w:t xml:space="preserve"> utilizada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jc w:val="center"/>
              <w:rPr>
                <w:b/>
                <w:bCs/>
                <w:sz w:val="22"/>
                <w:szCs w:val="22"/>
              </w:rPr>
            </w:pPr>
            <w:r w:rsidRPr="0021563B">
              <w:rPr>
                <w:b/>
                <w:bCs/>
                <w:sz w:val="22"/>
                <w:szCs w:val="22"/>
              </w:rPr>
              <w:t>Indicador</w:t>
            </w:r>
            <w:r>
              <w:rPr>
                <w:b/>
                <w:bCs/>
                <w:sz w:val="22"/>
                <w:szCs w:val="22"/>
              </w:rPr>
              <w:t xml:space="preserve"> proposto</w:t>
            </w:r>
          </w:p>
        </w:tc>
      </w:tr>
      <w:tr w:rsidR="00FD02B2" w:rsidRPr="0021563B" w:rsidTr="001F74C5">
        <w:trPr>
          <w:trHeight w:val="88"/>
          <w:jc w:val="center"/>
        </w:trPr>
        <w:tc>
          <w:tcPr>
            <w:tcW w:w="29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rPr>
                <w:sz w:val="22"/>
                <w:szCs w:val="22"/>
              </w:rPr>
            </w:pPr>
            <w:r w:rsidRPr="0021563B">
              <w:rPr>
                <w:sz w:val="22"/>
                <w:szCs w:val="22"/>
              </w:rPr>
              <w:t>Esperança de Vida ao Nascer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jc w:val="center"/>
              <w:rPr>
                <w:bCs/>
                <w:sz w:val="22"/>
                <w:szCs w:val="22"/>
              </w:rPr>
            </w:pPr>
            <w:r w:rsidRPr="0021563B">
              <w:rPr>
                <w:bCs/>
                <w:sz w:val="22"/>
                <w:szCs w:val="22"/>
              </w:rPr>
              <w:t>ATLAS BRASIL (2010)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Esperança de Vida a</w:t>
            </w:r>
            <w:r w:rsidRPr="0021563B">
              <w:rPr>
                <w:sz w:val="22"/>
                <w:szCs w:val="22"/>
              </w:rPr>
              <w:t>o Nascer</w:t>
            </w:r>
          </w:p>
        </w:tc>
      </w:tr>
      <w:tr w:rsidR="00FD02B2" w:rsidRPr="0021563B" w:rsidTr="001F74C5">
        <w:trPr>
          <w:trHeight w:val="70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rPr>
                <w:sz w:val="22"/>
                <w:szCs w:val="22"/>
              </w:rPr>
            </w:pPr>
            <w:r w:rsidRPr="0021563B">
              <w:rPr>
                <w:sz w:val="22"/>
                <w:szCs w:val="22"/>
              </w:rPr>
              <w:t>Mortalidade Infantil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jc w:val="center"/>
              <w:rPr>
                <w:bCs/>
                <w:sz w:val="22"/>
                <w:szCs w:val="22"/>
              </w:rPr>
            </w:pPr>
            <w:r w:rsidRPr="0021563B">
              <w:rPr>
                <w:bCs/>
                <w:sz w:val="22"/>
                <w:szCs w:val="22"/>
              </w:rPr>
              <w:t>ATLAS BRASIL (2010)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jc w:val="center"/>
              <w:rPr>
                <w:sz w:val="22"/>
                <w:szCs w:val="22"/>
              </w:rPr>
            </w:pPr>
            <w:r w:rsidRPr="0021563B">
              <w:rPr>
                <w:sz w:val="22"/>
                <w:szCs w:val="22"/>
              </w:rPr>
              <w:t>Mortalidade Infantil</w:t>
            </w:r>
          </w:p>
        </w:tc>
      </w:tr>
      <w:tr w:rsidR="00FD02B2" w:rsidRPr="0021563B" w:rsidTr="001F74C5">
        <w:trPr>
          <w:trHeight w:val="70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rPr>
                <w:sz w:val="22"/>
                <w:szCs w:val="22"/>
              </w:rPr>
            </w:pPr>
            <w:r w:rsidRPr="0021563B">
              <w:rPr>
                <w:sz w:val="22"/>
                <w:szCs w:val="22"/>
              </w:rPr>
              <w:t>Oferta de Serviços Básicos de Saúde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jc w:val="center"/>
              <w:rPr>
                <w:bCs/>
                <w:sz w:val="22"/>
                <w:szCs w:val="22"/>
              </w:rPr>
            </w:pPr>
            <w:r w:rsidRPr="0021563B">
              <w:rPr>
                <w:bCs/>
                <w:sz w:val="22"/>
                <w:szCs w:val="22"/>
              </w:rPr>
              <w:t>IBGE (2010)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 de Estabelecimentos Públicos d</w:t>
            </w:r>
            <w:r w:rsidRPr="0021563B">
              <w:rPr>
                <w:sz w:val="22"/>
                <w:szCs w:val="22"/>
              </w:rPr>
              <w:t>e Saúde</w:t>
            </w:r>
          </w:p>
        </w:tc>
      </w:tr>
      <w:tr w:rsidR="00FD02B2" w:rsidRPr="0021563B" w:rsidTr="001F74C5">
        <w:trPr>
          <w:trHeight w:val="70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rPr>
                <w:sz w:val="22"/>
                <w:szCs w:val="22"/>
              </w:rPr>
            </w:pPr>
            <w:r w:rsidRPr="0021563B">
              <w:rPr>
                <w:sz w:val="22"/>
                <w:szCs w:val="22"/>
              </w:rPr>
              <w:t>Escolarização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jc w:val="center"/>
              <w:rPr>
                <w:bCs/>
                <w:sz w:val="22"/>
                <w:szCs w:val="22"/>
              </w:rPr>
            </w:pPr>
            <w:r w:rsidRPr="0021563B">
              <w:rPr>
                <w:bCs/>
                <w:sz w:val="22"/>
                <w:szCs w:val="22"/>
              </w:rPr>
              <w:t>ATLAS BRASIL (2010)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Expectativa de Anos d</w:t>
            </w:r>
            <w:r w:rsidRPr="0021563B">
              <w:rPr>
                <w:sz w:val="22"/>
                <w:szCs w:val="22"/>
              </w:rPr>
              <w:t>e Estudo</w:t>
            </w:r>
          </w:p>
        </w:tc>
      </w:tr>
      <w:tr w:rsidR="00FD02B2" w:rsidRPr="0021563B" w:rsidTr="001F74C5">
        <w:trPr>
          <w:trHeight w:val="70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rPr>
                <w:sz w:val="22"/>
                <w:szCs w:val="22"/>
              </w:rPr>
            </w:pPr>
            <w:r w:rsidRPr="0021563B">
              <w:rPr>
                <w:sz w:val="22"/>
                <w:szCs w:val="22"/>
              </w:rPr>
              <w:t>Escolaridade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D02B2" w:rsidRPr="0021563B" w:rsidRDefault="00FD02B2" w:rsidP="00FD02B2">
            <w:pPr>
              <w:jc w:val="center"/>
              <w:rPr>
                <w:bCs/>
                <w:sz w:val="22"/>
                <w:szCs w:val="22"/>
              </w:rPr>
            </w:pPr>
            <w:r w:rsidRPr="0021563B">
              <w:rPr>
                <w:bCs/>
                <w:sz w:val="22"/>
                <w:szCs w:val="22"/>
              </w:rPr>
              <w:t>ATLAS BRASIL (2010)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jc w:val="center"/>
              <w:rPr>
                <w:sz w:val="22"/>
                <w:szCs w:val="22"/>
              </w:rPr>
            </w:pPr>
            <w:r w:rsidRPr="0021563B">
              <w:rPr>
                <w:sz w:val="22"/>
                <w:szCs w:val="22"/>
              </w:rPr>
              <w:t>Escolaridade</w:t>
            </w:r>
          </w:p>
        </w:tc>
      </w:tr>
      <w:tr w:rsidR="00FD02B2" w:rsidRPr="0021563B" w:rsidTr="001F74C5">
        <w:trPr>
          <w:trHeight w:val="70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rPr>
                <w:sz w:val="22"/>
                <w:szCs w:val="22"/>
              </w:rPr>
            </w:pPr>
            <w:r w:rsidRPr="0021563B">
              <w:rPr>
                <w:sz w:val="22"/>
                <w:szCs w:val="22"/>
              </w:rPr>
              <w:t>Analfabetismo Funcional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jc w:val="center"/>
              <w:rPr>
                <w:bCs/>
                <w:sz w:val="22"/>
                <w:szCs w:val="22"/>
              </w:rPr>
            </w:pPr>
            <w:r w:rsidRPr="0021563B">
              <w:rPr>
                <w:bCs/>
                <w:sz w:val="22"/>
                <w:szCs w:val="22"/>
              </w:rPr>
              <w:t>ATLAS BRASIL (2010)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Taxa d</w:t>
            </w:r>
            <w:r w:rsidRPr="0021563B">
              <w:rPr>
                <w:sz w:val="22"/>
                <w:szCs w:val="22"/>
              </w:rPr>
              <w:t>e Analfabe</w:t>
            </w:r>
            <w:r>
              <w:rPr>
                <w:sz w:val="22"/>
                <w:szCs w:val="22"/>
              </w:rPr>
              <w:t>tismo - 18 Anos o</w:t>
            </w:r>
            <w:r w:rsidRPr="0021563B">
              <w:rPr>
                <w:sz w:val="22"/>
                <w:szCs w:val="22"/>
              </w:rPr>
              <w:t>u Mais</w:t>
            </w:r>
          </w:p>
        </w:tc>
      </w:tr>
      <w:tr w:rsidR="00FD02B2" w:rsidRPr="0021563B" w:rsidTr="001F74C5">
        <w:trPr>
          <w:trHeight w:val="70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rPr>
                <w:sz w:val="22"/>
                <w:szCs w:val="22"/>
              </w:rPr>
            </w:pPr>
            <w:r w:rsidRPr="0021563B">
              <w:rPr>
                <w:sz w:val="22"/>
                <w:szCs w:val="22"/>
              </w:rPr>
              <w:t>Famílias Atendidas com Programas Sociais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jc w:val="center"/>
              <w:rPr>
                <w:bCs/>
                <w:sz w:val="22"/>
                <w:szCs w:val="22"/>
              </w:rPr>
            </w:pPr>
            <w:r w:rsidRPr="0021563B">
              <w:rPr>
                <w:bCs/>
                <w:sz w:val="22"/>
                <w:szCs w:val="22"/>
              </w:rPr>
              <w:t>MIS (2010)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Famílias Beneficiárias d</w:t>
            </w:r>
            <w:r w:rsidRPr="0021563B">
              <w:rPr>
                <w:sz w:val="22"/>
                <w:szCs w:val="22"/>
              </w:rPr>
              <w:t>o Bolsa Família</w:t>
            </w:r>
          </w:p>
        </w:tc>
      </w:tr>
      <w:tr w:rsidR="00FD02B2" w:rsidRPr="0021563B" w:rsidTr="001F74C5">
        <w:trPr>
          <w:trHeight w:val="70"/>
          <w:jc w:val="center"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rPr>
                <w:sz w:val="22"/>
                <w:szCs w:val="22"/>
              </w:rPr>
            </w:pPr>
            <w:r w:rsidRPr="0021563B">
              <w:rPr>
                <w:sz w:val="22"/>
                <w:szCs w:val="22"/>
              </w:rPr>
              <w:lastRenderedPageBreak/>
              <w:t>Adequação de Moradia nos Domicílios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jc w:val="center"/>
              <w:rPr>
                <w:bCs/>
                <w:sz w:val="22"/>
                <w:szCs w:val="22"/>
              </w:rPr>
            </w:pPr>
            <w:r w:rsidRPr="0021563B">
              <w:rPr>
                <w:bCs/>
                <w:sz w:val="22"/>
                <w:szCs w:val="22"/>
              </w:rPr>
              <w:t>IBGE (2010)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jc w:val="center"/>
              <w:rPr>
                <w:sz w:val="22"/>
                <w:szCs w:val="22"/>
              </w:rPr>
            </w:pPr>
            <w:r w:rsidRPr="0021563B">
              <w:rPr>
                <w:sz w:val="22"/>
                <w:szCs w:val="22"/>
              </w:rPr>
              <w:t>Moradores em Domicílios Particulares Permanentes, em Áreas Urbanas com Ordenamento Regular, por Existência de Banheiro ou Sanitário e Tipo de Esgotamento Sanitário e Existência e Características do Entorno</w:t>
            </w:r>
          </w:p>
        </w:tc>
      </w:tr>
      <w:tr w:rsidR="00FD02B2" w:rsidRPr="0021563B" w:rsidTr="001F74C5">
        <w:trPr>
          <w:trHeight w:val="70"/>
          <w:jc w:val="center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rPr>
                <w:sz w:val="22"/>
                <w:szCs w:val="22"/>
              </w:rPr>
            </w:pPr>
            <w:r w:rsidRPr="0021563B">
              <w:rPr>
                <w:sz w:val="22"/>
                <w:szCs w:val="22"/>
              </w:rPr>
              <w:t>Mortalidade por Homicídio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jc w:val="center"/>
              <w:rPr>
                <w:bCs/>
                <w:sz w:val="22"/>
                <w:szCs w:val="22"/>
              </w:rPr>
            </w:pPr>
            <w:r w:rsidRPr="0021563B">
              <w:rPr>
                <w:bCs/>
                <w:sz w:val="22"/>
                <w:szCs w:val="22"/>
              </w:rPr>
              <w:t>DATASUS (2010)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21563B" w:rsidRDefault="00FD02B2" w:rsidP="00F45276">
            <w:pPr>
              <w:jc w:val="center"/>
              <w:rPr>
                <w:sz w:val="22"/>
                <w:szCs w:val="22"/>
              </w:rPr>
            </w:pPr>
            <w:r w:rsidRPr="0021563B">
              <w:rPr>
                <w:sz w:val="22"/>
                <w:szCs w:val="22"/>
              </w:rPr>
              <w:t>Taxa de Homicídio por 100.000 Habitantes</w:t>
            </w:r>
          </w:p>
        </w:tc>
      </w:tr>
    </w:tbl>
    <w:p w:rsidR="00FD02B2" w:rsidRDefault="00FD02B2" w:rsidP="00154607">
      <w:pPr>
        <w:tabs>
          <w:tab w:val="left" w:pos="709"/>
        </w:tabs>
        <w:spacing w:line="360" w:lineRule="auto"/>
        <w:jc w:val="both"/>
        <w:rPr>
          <w:rFonts w:eastAsia="Calibri"/>
          <w:sz w:val="22"/>
          <w:szCs w:val="24"/>
          <w:lang w:eastAsia="en-US"/>
        </w:rPr>
      </w:pPr>
      <w:r w:rsidRPr="0021563B">
        <w:rPr>
          <w:rFonts w:eastAsia="Calibri"/>
          <w:sz w:val="22"/>
          <w:szCs w:val="24"/>
          <w:lang w:eastAsia="en-US"/>
        </w:rPr>
        <w:t>Fonte: Autores</w:t>
      </w:r>
      <w:r w:rsidR="00133403">
        <w:rPr>
          <w:rFonts w:eastAsia="Calibri"/>
          <w:sz w:val="22"/>
          <w:szCs w:val="24"/>
          <w:lang w:eastAsia="en-US"/>
        </w:rPr>
        <w:t xml:space="preserve"> (2018).</w:t>
      </w:r>
    </w:p>
    <w:p w:rsidR="00FD02B2" w:rsidRPr="00133403" w:rsidRDefault="00FD02B2" w:rsidP="00133403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1563B">
        <w:rPr>
          <w:sz w:val="24"/>
          <w:szCs w:val="24"/>
        </w:rPr>
        <w:t xml:space="preserve">Em seguida, os cálculos foram realizados de acordo com o descrito na </w:t>
      </w:r>
      <w:r>
        <w:rPr>
          <w:sz w:val="24"/>
          <w:szCs w:val="24"/>
        </w:rPr>
        <w:t xml:space="preserve">referida </w:t>
      </w:r>
      <w:r w:rsidRPr="0021563B">
        <w:rPr>
          <w:sz w:val="24"/>
          <w:szCs w:val="24"/>
        </w:rPr>
        <w:t>metodo</w:t>
      </w:r>
      <w:r>
        <w:rPr>
          <w:sz w:val="24"/>
          <w:szCs w:val="24"/>
        </w:rPr>
        <w:t xml:space="preserve">logia, de forma a obter o IDS de </w:t>
      </w:r>
      <w:r w:rsidRPr="0021563B">
        <w:rPr>
          <w:sz w:val="24"/>
          <w:szCs w:val="24"/>
        </w:rPr>
        <w:t xml:space="preserve">cada variável </w:t>
      </w:r>
      <w:r>
        <w:rPr>
          <w:sz w:val="24"/>
          <w:szCs w:val="24"/>
        </w:rPr>
        <w:t xml:space="preserve">(Quando 03) </w:t>
      </w:r>
      <w:r w:rsidRPr="0021563B">
        <w:rPr>
          <w:sz w:val="24"/>
          <w:szCs w:val="24"/>
        </w:rPr>
        <w:t>e em seguida o IDS da dim</w:t>
      </w:r>
      <w:r>
        <w:rPr>
          <w:sz w:val="24"/>
          <w:szCs w:val="24"/>
        </w:rPr>
        <w:t>ensão (Quadro 04).</w:t>
      </w:r>
    </w:p>
    <w:p w:rsidR="00FD02B2" w:rsidRPr="003F253F" w:rsidRDefault="00133403" w:rsidP="0015460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Quadro 03</w:t>
      </w:r>
      <w:r w:rsidR="00FD02B2" w:rsidRPr="003F253F">
        <w:rPr>
          <w:rFonts w:eastAsia="Calibri"/>
          <w:sz w:val="22"/>
          <w:szCs w:val="22"/>
          <w:lang w:eastAsia="en-US"/>
        </w:rPr>
        <w:t xml:space="preserve"> - IDS para cada variável social</w:t>
      </w:r>
    </w:p>
    <w:tbl>
      <w:tblPr>
        <w:tblW w:w="956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3"/>
        <w:gridCol w:w="1529"/>
        <w:gridCol w:w="1276"/>
        <w:gridCol w:w="1134"/>
        <w:gridCol w:w="1276"/>
        <w:gridCol w:w="1134"/>
        <w:gridCol w:w="709"/>
        <w:gridCol w:w="567"/>
      </w:tblGrid>
      <w:tr w:rsidR="00FD02B2" w:rsidRPr="003F253F" w:rsidTr="001F74C5">
        <w:trPr>
          <w:trHeight w:val="675"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53F">
              <w:rPr>
                <w:b/>
                <w:bCs/>
                <w:color w:val="000000"/>
                <w:sz w:val="22"/>
                <w:szCs w:val="22"/>
              </w:rPr>
              <w:t>Variáveis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53F">
              <w:rPr>
                <w:b/>
                <w:bCs/>
                <w:color w:val="000000"/>
                <w:sz w:val="22"/>
                <w:szCs w:val="22"/>
              </w:rPr>
              <w:t>Índice do Município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53F">
              <w:rPr>
                <w:b/>
                <w:bCs/>
                <w:color w:val="000000"/>
                <w:sz w:val="22"/>
                <w:szCs w:val="22"/>
              </w:rPr>
              <w:t>Município de Maior Valor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53F">
              <w:rPr>
                <w:b/>
                <w:bCs/>
                <w:color w:val="000000"/>
                <w:sz w:val="22"/>
                <w:szCs w:val="22"/>
              </w:rPr>
              <w:t>Município de Menor Valor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53F">
              <w:rPr>
                <w:b/>
                <w:bCs/>
                <w:color w:val="000000"/>
                <w:sz w:val="22"/>
                <w:szCs w:val="22"/>
              </w:rPr>
              <w:t>Sinal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253F">
              <w:rPr>
                <w:b/>
                <w:bCs/>
                <w:color w:val="000000"/>
                <w:sz w:val="22"/>
                <w:szCs w:val="22"/>
              </w:rPr>
              <w:t>IDS</w:t>
            </w:r>
          </w:p>
        </w:tc>
      </w:tr>
      <w:tr w:rsidR="00FD02B2" w:rsidRPr="003F253F" w:rsidTr="001F74C5">
        <w:trPr>
          <w:trHeight w:val="339"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Esperança de Vida a</w:t>
            </w:r>
            <w:r w:rsidRPr="003F253F">
              <w:rPr>
                <w:color w:val="000000"/>
                <w:sz w:val="22"/>
                <w:szCs w:val="22"/>
              </w:rPr>
              <w:t>o Nascer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74,33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3F253F">
              <w:rPr>
                <w:color w:val="000000"/>
                <w:sz w:val="22"/>
                <w:szCs w:val="22"/>
              </w:rPr>
              <w:t>Novo Progresso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Santa Luzia d</w:t>
            </w:r>
            <w:r w:rsidRPr="003F253F">
              <w:rPr>
                <w:color w:val="000000"/>
                <w:sz w:val="22"/>
                <w:szCs w:val="22"/>
              </w:rPr>
              <w:t>o Pará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68,41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0,95</w:t>
            </w:r>
          </w:p>
        </w:tc>
      </w:tr>
      <w:tr w:rsidR="00FD02B2" w:rsidRPr="003F253F" w:rsidTr="001F74C5">
        <w:trPr>
          <w:trHeight w:val="462"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rPr>
                <w:color w:val="000000"/>
                <w:sz w:val="22"/>
                <w:szCs w:val="22"/>
              </w:rPr>
            </w:pPr>
            <w:r w:rsidRPr="003F253F">
              <w:rPr>
                <w:color w:val="000000"/>
                <w:sz w:val="22"/>
                <w:szCs w:val="22"/>
              </w:rPr>
              <w:t>Mortalidade Infantil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16,06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3F253F">
              <w:rPr>
                <w:color w:val="000000"/>
                <w:sz w:val="22"/>
                <w:szCs w:val="22"/>
              </w:rPr>
              <w:t>Santa Luzia Do Pará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31,9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3F253F">
              <w:rPr>
                <w:color w:val="000000"/>
                <w:sz w:val="22"/>
                <w:szCs w:val="22"/>
              </w:rPr>
              <w:t>Novo Progresso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0,93</w:t>
            </w:r>
          </w:p>
        </w:tc>
      </w:tr>
      <w:tr w:rsidR="00FD02B2" w:rsidRPr="003F253F" w:rsidTr="001F74C5">
        <w:trPr>
          <w:trHeight w:val="146"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Oferta de Serviços Básicos d</w:t>
            </w:r>
            <w:r w:rsidRPr="003F253F">
              <w:rPr>
                <w:color w:val="000000"/>
                <w:sz w:val="22"/>
                <w:szCs w:val="22"/>
              </w:rPr>
              <w:t>e Saúde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3F253F">
              <w:rPr>
                <w:color w:val="000000"/>
                <w:sz w:val="22"/>
                <w:szCs w:val="22"/>
              </w:rPr>
              <w:t>Belém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Santa Cruz d</w:t>
            </w:r>
            <w:r w:rsidRPr="003F253F">
              <w:rPr>
                <w:color w:val="000000"/>
                <w:sz w:val="22"/>
                <w:szCs w:val="22"/>
              </w:rPr>
              <w:t>o Arari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FD02B2" w:rsidRPr="003F253F" w:rsidTr="001F74C5">
        <w:trPr>
          <w:trHeight w:val="87"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rPr>
                <w:color w:val="000000"/>
                <w:sz w:val="22"/>
                <w:szCs w:val="22"/>
              </w:rPr>
            </w:pPr>
            <w:r w:rsidRPr="003F253F">
              <w:rPr>
                <w:color w:val="000000"/>
                <w:sz w:val="22"/>
                <w:szCs w:val="22"/>
              </w:rPr>
              <w:t>Escolarização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9,64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3F253F">
              <w:rPr>
                <w:color w:val="000000"/>
                <w:sz w:val="22"/>
                <w:szCs w:val="22"/>
              </w:rPr>
              <w:t>Santarém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10,26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3F253F">
              <w:rPr>
                <w:color w:val="000000"/>
                <w:sz w:val="22"/>
                <w:szCs w:val="22"/>
              </w:rPr>
              <w:t>Chaves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4,95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0,88</w:t>
            </w:r>
          </w:p>
        </w:tc>
      </w:tr>
      <w:tr w:rsidR="00FD02B2" w:rsidRPr="003F253F" w:rsidTr="001F74C5">
        <w:trPr>
          <w:trHeight w:val="210"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rPr>
                <w:color w:val="000000"/>
                <w:sz w:val="22"/>
                <w:szCs w:val="22"/>
              </w:rPr>
            </w:pPr>
            <w:r w:rsidRPr="003F253F">
              <w:rPr>
                <w:color w:val="000000"/>
                <w:sz w:val="22"/>
                <w:szCs w:val="22"/>
              </w:rPr>
              <w:t>Escolaridade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0,692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3F253F">
              <w:rPr>
                <w:color w:val="000000"/>
                <w:sz w:val="22"/>
                <w:szCs w:val="22"/>
              </w:rPr>
              <w:t>Belém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0,692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3F253F">
              <w:rPr>
                <w:color w:val="000000"/>
                <w:sz w:val="22"/>
                <w:szCs w:val="22"/>
              </w:rPr>
              <w:t>Chaves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FD02B2" w:rsidRPr="003F253F" w:rsidTr="001F74C5">
        <w:trPr>
          <w:trHeight w:val="320"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rPr>
                <w:color w:val="000000"/>
                <w:sz w:val="22"/>
                <w:szCs w:val="22"/>
              </w:rPr>
            </w:pPr>
            <w:r w:rsidRPr="003F253F">
              <w:rPr>
                <w:color w:val="000000"/>
                <w:sz w:val="22"/>
                <w:szCs w:val="22"/>
              </w:rPr>
              <w:t>Analfabetismo Funcional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3F253F">
              <w:rPr>
                <w:color w:val="000000"/>
                <w:sz w:val="22"/>
                <w:szCs w:val="22"/>
              </w:rPr>
              <w:t>Melgaço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39,7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3F253F">
              <w:rPr>
                <w:color w:val="000000"/>
                <w:sz w:val="22"/>
                <w:szCs w:val="22"/>
              </w:rPr>
              <w:t>Belém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3,47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FD02B2" w:rsidRPr="003F253F" w:rsidTr="001F74C5">
        <w:trPr>
          <w:trHeight w:val="457"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Famílias Atendidas c</w:t>
            </w:r>
            <w:r w:rsidRPr="003F253F">
              <w:rPr>
                <w:color w:val="000000"/>
                <w:sz w:val="22"/>
                <w:szCs w:val="22"/>
              </w:rPr>
              <w:t>om Programas Sociais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81.270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3F253F">
              <w:rPr>
                <w:color w:val="000000"/>
                <w:sz w:val="22"/>
                <w:szCs w:val="22"/>
              </w:rPr>
              <w:t>Belém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81.270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F253F">
              <w:rPr>
                <w:color w:val="000000"/>
                <w:sz w:val="22"/>
                <w:szCs w:val="22"/>
              </w:rPr>
              <w:t>Bannach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347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D02B2" w:rsidRPr="003F253F" w:rsidTr="001F74C5">
        <w:trPr>
          <w:trHeight w:val="755"/>
          <w:jc w:val="center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rPr>
                <w:color w:val="000000"/>
                <w:sz w:val="22"/>
                <w:szCs w:val="22"/>
              </w:rPr>
            </w:pPr>
            <w:r w:rsidRPr="003F253F">
              <w:rPr>
                <w:color w:val="000000"/>
                <w:sz w:val="22"/>
                <w:szCs w:val="22"/>
              </w:rPr>
              <w:t xml:space="preserve">Adequação </w:t>
            </w:r>
            <w:r>
              <w:rPr>
                <w:color w:val="000000"/>
                <w:sz w:val="22"/>
                <w:szCs w:val="22"/>
              </w:rPr>
              <w:t>de Moradia n</w:t>
            </w:r>
            <w:r w:rsidRPr="003F253F">
              <w:rPr>
                <w:color w:val="000000"/>
                <w:sz w:val="22"/>
                <w:szCs w:val="22"/>
              </w:rPr>
              <w:t>os Domicílios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1.356.808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3F253F">
              <w:rPr>
                <w:color w:val="000000"/>
                <w:sz w:val="22"/>
                <w:szCs w:val="22"/>
              </w:rPr>
              <w:t>Belém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1.356.808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São João d</w:t>
            </w:r>
            <w:r w:rsidRPr="003F253F">
              <w:rPr>
                <w:color w:val="000000"/>
                <w:sz w:val="22"/>
                <w:szCs w:val="22"/>
              </w:rPr>
              <w:t>a Ponta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1.004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FD02B2" w:rsidRPr="003F253F" w:rsidTr="001F74C5">
        <w:trPr>
          <w:trHeight w:val="406"/>
          <w:jc w:val="center"/>
        </w:trPr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rPr>
                <w:color w:val="000000"/>
                <w:sz w:val="22"/>
                <w:szCs w:val="22"/>
              </w:rPr>
            </w:pPr>
            <w:r w:rsidRPr="003F253F">
              <w:rPr>
                <w:color w:val="000000"/>
                <w:sz w:val="22"/>
                <w:szCs w:val="22"/>
              </w:rPr>
              <w:t xml:space="preserve">Mortalidade </w:t>
            </w:r>
            <w:r>
              <w:rPr>
                <w:color w:val="000000"/>
                <w:sz w:val="22"/>
                <w:szCs w:val="22"/>
              </w:rPr>
              <w:t>p</w:t>
            </w:r>
            <w:r w:rsidRPr="003F253F">
              <w:rPr>
                <w:color w:val="000000"/>
                <w:sz w:val="22"/>
                <w:szCs w:val="22"/>
              </w:rPr>
              <w:t>or Homicídio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64,23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3F253F">
              <w:rPr>
                <w:color w:val="000000"/>
                <w:sz w:val="22"/>
                <w:szCs w:val="22"/>
              </w:rPr>
              <w:t>Tucumã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118,73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3F253F">
              <w:rPr>
                <w:color w:val="000000"/>
                <w:sz w:val="22"/>
                <w:szCs w:val="22"/>
              </w:rPr>
              <w:t>Santarém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3,39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D02B2" w:rsidRPr="003F253F" w:rsidRDefault="00FD02B2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F253F">
              <w:rPr>
                <w:bCs/>
                <w:color w:val="000000"/>
                <w:sz w:val="22"/>
                <w:szCs w:val="22"/>
              </w:rPr>
              <w:t>0,47</w:t>
            </w:r>
          </w:p>
        </w:tc>
      </w:tr>
    </w:tbl>
    <w:p w:rsidR="00FD02B2" w:rsidRPr="00133403" w:rsidRDefault="00FD02B2" w:rsidP="00133403">
      <w:pPr>
        <w:jc w:val="both"/>
        <w:rPr>
          <w:rFonts w:eastAsia="Calibri"/>
          <w:sz w:val="22"/>
          <w:szCs w:val="22"/>
          <w:lang w:eastAsia="en-US"/>
        </w:rPr>
      </w:pPr>
      <w:r w:rsidRPr="003F253F">
        <w:rPr>
          <w:rFonts w:eastAsia="Calibri"/>
          <w:sz w:val="22"/>
          <w:szCs w:val="22"/>
          <w:lang w:eastAsia="en-US"/>
        </w:rPr>
        <w:t>Fonte: Autores</w:t>
      </w:r>
      <w:r w:rsidR="00133403">
        <w:rPr>
          <w:rFonts w:eastAsia="Calibri"/>
          <w:sz w:val="22"/>
          <w:szCs w:val="22"/>
          <w:lang w:eastAsia="en-US"/>
        </w:rPr>
        <w:t xml:space="preserve"> (2018).</w:t>
      </w:r>
    </w:p>
    <w:p w:rsidR="00133403" w:rsidRPr="003F253F" w:rsidRDefault="00133403" w:rsidP="00C03013">
      <w:pPr>
        <w:ind w:left="708"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Quadro 04</w:t>
      </w:r>
      <w:r w:rsidRPr="003F253F">
        <w:rPr>
          <w:rFonts w:eastAsia="Calibri"/>
          <w:sz w:val="22"/>
          <w:szCs w:val="22"/>
          <w:lang w:eastAsia="en-US"/>
        </w:rPr>
        <w:t xml:space="preserve"> – IDS para a dimensão SOCIAL</w:t>
      </w:r>
    </w:p>
    <w:tbl>
      <w:tblPr>
        <w:tblW w:w="682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4063"/>
      </w:tblGrid>
      <w:tr w:rsidR="00133403" w:rsidRPr="003F253F" w:rsidTr="00C03013">
        <w:trPr>
          <w:trHeight w:val="331"/>
          <w:jc w:val="center"/>
        </w:trPr>
        <w:tc>
          <w:tcPr>
            <w:tcW w:w="2762" w:type="dxa"/>
            <w:shd w:val="clear" w:color="auto" w:fill="auto"/>
            <w:vAlign w:val="center"/>
            <w:hideMark/>
          </w:tcPr>
          <w:p w:rsidR="00133403" w:rsidRPr="003F253F" w:rsidRDefault="005D4940" w:rsidP="001334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IDS</w:t>
            </w:r>
            <w:r w:rsidR="00133403">
              <w:rPr>
                <w:b/>
                <w:bCs/>
                <w:sz w:val="22"/>
                <w:szCs w:val="22"/>
              </w:rPr>
              <w:t xml:space="preserve"> d</w:t>
            </w:r>
            <w:r w:rsidR="00133403" w:rsidRPr="003F253F">
              <w:rPr>
                <w:b/>
                <w:bCs/>
                <w:sz w:val="22"/>
                <w:szCs w:val="22"/>
              </w:rPr>
              <w:t>a Dimen</w:t>
            </w:r>
            <w:r w:rsidR="00133403">
              <w:rPr>
                <w:b/>
                <w:bCs/>
                <w:sz w:val="22"/>
                <w:szCs w:val="22"/>
              </w:rPr>
              <w:t>s</w:t>
            </w:r>
            <w:r w:rsidR="00133403" w:rsidRPr="003F253F">
              <w:rPr>
                <w:b/>
                <w:bCs/>
                <w:sz w:val="22"/>
                <w:szCs w:val="22"/>
              </w:rPr>
              <w:t>ão</w:t>
            </w:r>
          </w:p>
        </w:tc>
        <w:tc>
          <w:tcPr>
            <w:tcW w:w="4063" w:type="dxa"/>
            <w:shd w:val="clear" w:color="auto" w:fill="auto"/>
            <w:vAlign w:val="center"/>
            <w:hideMark/>
          </w:tcPr>
          <w:p w:rsidR="00133403" w:rsidRPr="003F253F" w:rsidRDefault="00133403" w:rsidP="00133403">
            <w:pPr>
              <w:jc w:val="center"/>
              <w:rPr>
                <w:b/>
                <w:bCs/>
                <w:sz w:val="22"/>
                <w:szCs w:val="22"/>
              </w:rPr>
            </w:pPr>
            <w:r w:rsidRPr="003F253F">
              <w:rPr>
                <w:b/>
                <w:bCs/>
                <w:sz w:val="22"/>
                <w:szCs w:val="22"/>
              </w:rPr>
              <w:t xml:space="preserve">Classificação </w:t>
            </w:r>
            <w:r>
              <w:rPr>
                <w:b/>
                <w:bCs/>
                <w:sz w:val="22"/>
                <w:szCs w:val="22"/>
              </w:rPr>
              <w:t>d</w:t>
            </w:r>
            <w:r w:rsidRPr="003F253F">
              <w:rPr>
                <w:b/>
                <w:bCs/>
                <w:sz w:val="22"/>
                <w:szCs w:val="22"/>
              </w:rPr>
              <w:t>a Dimensão</w:t>
            </w:r>
          </w:p>
        </w:tc>
      </w:tr>
      <w:tr w:rsidR="00133403" w:rsidRPr="003F253F" w:rsidTr="00C03013">
        <w:trPr>
          <w:trHeight w:val="436"/>
          <w:jc w:val="center"/>
        </w:trPr>
        <w:tc>
          <w:tcPr>
            <w:tcW w:w="2762" w:type="dxa"/>
            <w:shd w:val="clear" w:color="auto" w:fill="auto"/>
            <w:vAlign w:val="center"/>
            <w:hideMark/>
          </w:tcPr>
          <w:p w:rsidR="00133403" w:rsidRPr="003F253F" w:rsidRDefault="00133403" w:rsidP="00133403">
            <w:pPr>
              <w:jc w:val="center"/>
              <w:rPr>
                <w:bCs/>
                <w:sz w:val="22"/>
                <w:szCs w:val="22"/>
              </w:rPr>
            </w:pPr>
            <w:r w:rsidRPr="003F253F">
              <w:rPr>
                <w:bCs/>
                <w:sz w:val="22"/>
                <w:szCs w:val="22"/>
              </w:rPr>
              <w:t>0,80</w:t>
            </w:r>
          </w:p>
        </w:tc>
        <w:tc>
          <w:tcPr>
            <w:tcW w:w="4063" w:type="dxa"/>
            <w:shd w:val="clear" w:color="auto" w:fill="auto"/>
            <w:vAlign w:val="center"/>
            <w:hideMark/>
          </w:tcPr>
          <w:p w:rsidR="00133403" w:rsidRPr="003F253F" w:rsidRDefault="00133403" w:rsidP="00133403">
            <w:pPr>
              <w:jc w:val="center"/>
              <w:rPr>
                <w:bCs/>
                <w:sz w:val="22"/>
                <w:szCs w:val="22"/>
              </w:rPr>
            </w:pPr>
            <w:r w:rsidRPr="003F253F">
              <w:rPr>
                <w:bCs/>
                <w:sz w:val="22"/>
                <w:szCs w:val="22"/>
              </w:rPr>
              <w:t>IDEAL</w:t>
            </w:r>
          </w:p>
        </w:tc>
      </w:tr>
    </w:tbl>
    <w:p w:rsidR="00133403" w:rsidRPr="00133403" w:rsidRDefault="00133403" w:rsidP="00C03013">
      <w:pPr>
        <w:ind w:left="708" w:firstLine="708"/>
        <w:jc w:val="both"/>
        <w:rPr>
          <w:rFonts w:eastAsia="Calibri"/>
          <w:sz w:val="22"/>
          <w:szCs w:val="22"/>
          <w:lang w:eastAsia="en-US"/>
        </w:rPr>
      </w:pPr>
      <w:r w:rsidRPr="003F253F">
        <w:rPr>
          <w:rFonts w:eastAsia="Calibri"/>
          <w:sz w:val="22"/>
          <w:szCs w:val="22"/>
          <w:lang w:eastAsia="en-US"/>
        </w:rPr>
        <w:t>Fonte: Autores</w:t>
      </w:r>
      <w:r>
        <w:rPr>
          <w:rFonts w:eastAsia="Calibri"/>
          <w:sz w:val="22"/>
          <w:szCs w:val="22"/>
          <w:lang w:eastAsia="en-US"/>
        </w:rPr>
        <w:t xml:space="preserve"> (2018).</w:t>
      </w:r>
    </w:p>
    <w:p w:rsidR="003F253F" w:rsidRPr="00193334" w:rsidRDefault="00FD02B2" w:rsidP="00154607">
      <w:pPr>
        <w:tabs>
          <w:tab w:val="left" w:pos="709"/>
        </w:tabs>
        <w:spacing w:line="360" w:lineRule="auto"/>
        <w:jc w:val="both"/>
        <w:rPr>
          <w:color w:val="000000"/>
          <w:sz w:val="24"/>
          <w:szCs w:val="22"/>
        </w:rPr>
      </w:pPr>
      <w:r>
        <w:rPr>
          <w:b/>
          <w:sz w:val="24"/>
          <w:szCs w:val="24"/>
        </w:rPr>
        <w:tab/>
      </w:r>
      <w:r w:rsidR="00133403">
        <w:rPr>
          <w:sz w:val="24"/>
          <w:szCs w:val="24"/>
        </w:rPr>
        <w:t>Nota-se que o</w:t>
      </w:r>
      <w:r w:rsidR="000D2441">
        <w:rPr>
          <w:sz w:val="24"/>
          <w:szCs w:val="24"/>
        </w:rPr>
        <w:t xml:space="preserve"> valor final do Índice classifica a cidade de Belém como aceitável para o âmbito social, o que pode ser explicado pelo fato deste município apresentar os melhores valores do estado para as variáveis </w:t>
      </w:r>
      <w:r w:rsidR="00133403">
        <w:rPr>
          <w:sz w:val="24"/>
          <w:szCs w:val="24"/>
        </w:rPr>
        <w:t>“</w:t>
      </w:r>
      <w:r w:rsidR="000D2441" w:rsidRPr="000D2441">
        <w:rPr>
          <w:color w:val="000000"/>
          <w:sz w:val="24"/>
          <w:szCs w:val="22"/>
        </w:rPr>
        <w:t>Oferta de Serviços Básicos d</w:t>
      </w:r>
      <w:r w:rsidR="000D2441" w:rsidRPr="003F253F">
        <w:rPr>
          <w:color w:val="000000"/>
          <w:sz w:val="24"/>
          <w:szCs w:val="22"/>
        </w:rPr>
        <w:t>e Saúde</w:t>
      </w:r>
      <w:r w:rsidR="00133403">
        <w:rPr>
          <w:color w:val="000000"/>
          <w:sz w:val="24"/>
          <w:szCs w:val="22"/>
        </w:rPr>
        <w:t>”</w:t>
      </w:r>
      <w:r w:rsidR="005D4940">
        <w:rPr>
          <w:color w:val="000000"/>
          <w:sz w:val="24"/>
          <w:szCs w:val="22"/>
        </w:rPr>
        <w:t xml:space="preserve"> (1 – ideal)</w:t>
      </w:r>
      <w:r w:rsidR="000D2441">
        <w:rPr>
          <w:color w:val="000000"/>
          <w:sz w:val="24"/>
          <w:szCs w:val="22"/>
        </w:rPr>
        <w:t xml:space="preserve">, </w:t>
      </w:r>
      <w:r w:rsidR="00133403">
        <w:rPr>
          <w:color w:val="000000"/>
          <w:sz w:val="24"/>
          <w:szCs w:val="22"/>
        </w:rPr>
        <w:t>“</w:t>
      </w:r>
      <w:r w:rsidR="000D2441">
        <w:rPr>
          <w:color w:val="000000"/>
          <w:sz w:val="24"/>
          <w:szCs w:val="22"/>
        </w:rPr>
        <w:t>Escolaridade</w:t>
      </w:r>
      <w:r w:rsidR="00133403">
        <w:rPr>
          <w:color w:val="000000"/>
          <w:sz w:val="24"/>
          <w:szCs w:val="22"/>
        </w:rPr>
        <w:t>”</w:t>
      </w:r>
      <w:r w:rsidR="005D4940">
        <w:rPr>
          <w:color w:val="000000"/>
          <w:sz w:val="24"/>
          <w:szCs w:val="22"/>
        </w:rPr>
        <w:t xml:space="preserve"> (1 – ideal)</w:t>
      </w:r>
      <w:r w:rsidR="000D2441">
        <w:rPr>
          <w:color w:val="000000"/>
          <w:sz w:val="24"/>
          <w:szCs w:val="22"/>
        </w:rPr>
        <w:t xml:space="preserve"> e </w:t>
      </w:r>
      <w:r w:rsidR="00133403">
        <w:rPr>
          <w:color w:val="000000"/>
          <w:sz w:val="24"/>
          <w:szCs w:val="22"/>
        </w:rPr>
        <w:t>“</w:t>
      </w:r>
      <w:r w:rsidR="000D2441" w:rsidRPr="000D2441">
        <w:rPr>
          <w:color w:val="000000"/>
          <w:sz w:val="24"/>
          <w:szCs w:val="22"/>
        </w:rPr>
        <w:t>Adequação de Moradia nos Domicílios</w:t>
      </w:r>
      <w:r w:rsidR="00133403">
        <w:rPr>
          <w:color w:val="000000"/>
          <w:sz w:val="24"/>
          <w:szCs w:val="22"/>
        </w:rPr>
        <w:t>”</w:t>
      </w:r>
      <w:r w:rsidR="005D4940">
        <w:rPr>
          <w:color w:val="000000"/>
          <w:sz w:val="24"/>
          <w:szCs w:val="22"/>
        </w:rPr>
        <w:t xml:space="preserve"> (1 – ideal)</w:t>
      </w:r>
      <w:r w:rsidR="000D2441">
        <w:rPr>
          <w:color w:val="000000"/>
          <w:sz w:val="24"/>
          <w:szCs w:val="22"/>
        </w:rPr>
        <w:t xml:space="preserve">. Ademais, é importante salientar que esta classificação é meramente comparativa, indicando que Belém possui um bom índice </w:t>
      </w:r>
      <w:r w:rsidR="000D2441">
        <w:rPr>
          <w:color w:val="000000"/>
          <w:sz w:val="24"/>
          <w:szCs w:val="22"/>
        </w:rPr>
        <w:lastRenderedPageBreak/>
        <w:t xml:space="preserve">quando comparado aos </w:t>
      </w:r>
      <w:r w:rsidR="00133403">
        <w:rPr>
          <w:color w:val="000000"/>
          <w:sz w:val="24"/>
          <w:szCs w:val="22"/>
        </w:rPr>
        <w:t>demais</w:t>
      </w:r>
      <w:r w:rsidR="000D2441">
        <w:rPr>
          <w:color w:val="000000"/>
          <w:sz w:val="24"/>
          <w:szCs w:val="22"/>
        </w:rPr>
        <w:t xml:space="preserve"> municípios do Pará, o que não significa que os índices municipais estão em seus valores ideais de sustentabilidade.</w:t>
      </w:r>
    </w:p>
    <w:p w:rsidR="00344C22" w:rsidRDefault="00344C22" w:rsidP="00154607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="00133403">
        <w:rPr>
          <w:sz w:val="24"/>
          <w:szCs w:val="24"/>
        </w:rPr>
        <w:t xml:space="preserve">ANÁLISE DA </w:t>
      </w:r>
      <w:r w:rsidR="003F253F">
        <w:rPr>
          <w:sz w:val="24"/>
          <w:szCs w:val="24"/>
        </w:rPr>
        <w:t>DIMENSÃO ECONÔMICA</w:t>
      </w:r>
    </w:p>
    <w:p w:rsidR="00133403" w:rsidRDefault="00344C22" w:rsidP="00154607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33403">
        <w:rPr>
          <w:sz w:val="24"/>
          <w:szCs w:val="24"/>
        </w:rPr>
        <w:t>O Quadro 05</w:t>
      </w:r>
      <w:r w:rsidR="003F253F" w:rsidRPr="003F253F">
        <w:rPr>
          <w:sz w:val="24"/>
          <w:szCs w:val="24"/>
        </w:rPr>
        <w:t xml:space="preserve"> contém as variáveis adotadas para o cálculo do IDS da dimensão</w:t>
      </w:r>
      <w:r w:rsidR="00817377">
        <w:rPr>
          <w:sz w:val="24"/>
          <w:szCs w:val="24"/>
        </w:rPr>
        <w:t xml:space="preserve"> econô</w:t>
      </w:r>
      <w:r w:rsidR="003F253F">
        <w:rPr>
          <w:sz w:val="24"/>
          <w:szCs w:val="24"/>
        </w:rPr>
        <w:t>mica</w:t>
      </w:r>
      <w:r w:rsidR="00817377">
        <w:rPr>
          <w:sz w:val="24"/>
          <w:szCs w:val="24"/>
        </w:rPr>
        <w:t>. Vale ressaltar que, para esta dimensão, n</w:t>
      </w:r>
      <w:r w:rsidR="003F253F" w:rsidRPr="003F253F">
        <w:rPr>
          <w:sz w:val="24"/>
          <w:szCs w:val="24"/>
        </w:rPr>
        <w:t xml:space="preserve">ão foi retirada nenhuma variável das que foram utilizadas </w:t>
      </w:r>
      <w:r w:rsidR="00133403">
        <w:rPr>
          <w:sz w:val="24"/>
          <w:szCs w:val="24"/>
        </w:rPr>
        <w:t>originalmente por Martins e Candido (2008)</w:t>
      </w:r>
      <w:r w:rsidR="003F253F" w:rsidRPr="003F253F">
        <w:rPr>
          <w:sz w:val="24"/>
          <w:szCs w:val="24"/>
        </w:rPr>
        <w:t>.</w:t>
      </w:r>
    </w:p>
    <w:p w:rsidR="00133403" w:rsidRPr="0068769F" w:rsidRDefault="00133403" w:rsidP="007D219E">
      <w:pPr>
        <w:tabs>
          <w:tab w:val="left" w:pos="709"/>
          <w:tab w:val="left" w:pos="742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Quadro 05</w:t>
      </w:r>
      <w:r w:rsidR="007D219E">
        <w:rPr>
          <w:sz w:val="22"/>
          <w:szCs w:val="22"/>
        </w:rPr>
        <w:t xml:space="preserve"> </w:t>
      </w:r>
      <w:r w:rsidR="005D4940">
        <w:rPr>
          <w:sz w:val="22"/>
          <w:szCs w:val="22"/>
        </w:rPr>
        <w:t>–</w:t>
      </w:r>
      <w:r w:rsidR="007D219E">
        <w:rPr>
          <w:sz w:val="22"/>
          <w:szCs w:val="22"/>
        </w:rPr>
        <w:t xml:space="preserve"> </w:t>
      </w:r>
      <w:r w:rsidR="005D4940">
        <w:rPr>
          <w:sz w:val="22"/>
          <w:szCs w:val="22"/>
        </w:rPr>
        <w:t>definição dos indicadores econômicos</w:t>
      </w:r>
    </w:p>
    <w:tbl>
      <w:tblPr>
        <w:tblW w:w="934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268"/>
        <w:gridCol w:w="4034"/>
      </w:tblGrid>
      <w:tr w:rsidR="00133403" w:rsidRPr="0068769F" w:rsidTr="00133403">
        <w:trPr>
          <w:trHeight w:val="503"/>
          <w:jc w:val="center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33403" w:rsidRPr="0021563B" w:rsidRDefault="00133403" w:rsidP="00F45276">
            <w:pPr>
              <w:jc w:val="center"/>
              <w:rPr>
                <w:b/>
                <w:bCs/>
                <w:sz w:val="22"/>
                <w:szCs w:val="22"/>
              </w:rPr>
            </w:pPr>
            <w:r w:rsidRPr="0021563B">
              <w:rPr>
                <w:b/>
                <w:bCs/>
                <w:sz w:val="22"/>
                <w:szCs w:val="22"/>
              </w:rPr>
              <w:t>Variáveis</w:t>
            </w:r>
            <w:r>
              <w:rPr>
                <w:b/>
                <w:bCs/>
                <w:sz w:val="22"/>
                <w:szCs w:val="22"/>
              </w:rPr>
              <w:t xml:space="preserve"> Propostas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33403" w:rsidRPr="0021563B" w:rsidRDefault="00133403" w:rsidP="00F45276">
            <w:pPr>
              <w:jc w:val="center"/>
              <w:rPr>
                <w:b/>
                <w:bCs/>
                <w:sz w:val="22"/>
                <w:szCs w:val="22"/>
              </w:rPr>
            </w:pPr>
            <w:r w:rsidRPr="0021563B">
              <w:rPr>
                <w:b/>
                <w:bCs/>
                <w:sz w:val="22"/>
                <w:szCs w:val="22"/>
              </w:rPr>
              <w:t>Fonte</w:t>
            </w:r>
            <w:r>
              <w:rPr>
                <w:b/>
                <w:bCs/>
                <w:sz w:val="22"/>
                <w:szCs w:val="22"/>
              </w:rPr>
              <w:t xml:space="preserve"> utilizada</w:t>
            </w:r>
          </w:p>
        </w:tc>
        <w:tc>
          <w:tcPr>
            <w:tcW w:w="4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33403" w:rsidRPr="0021563B" w:rsidRDefault="00133403" w:rsidP="00F45276">
            <w:pPr>
              <w:jc w:val="center"/>
              <w:rPr>
                <w:b/>
                <w:bCs/>
                <w:sz w:val="22"/>
                <w:szCs w:val="22"/>
              </w:rPr>
            </w:pPr>
            <w:r w:rsidRPr="0021563B">
              <w:rPr>
                <w:b/>
                <w:bCs/>
                <w:sz w:val="22"/>
                <w:szCs w:val="22"/>
              </w:rPr>
              <w:t>Indicador</w:t>
            </w:r>
            <w:r>
              <w:rPr>
                <w:b/>
                <w:bCs/>
                <w:sz w:val="22"/>
                <w:szCs w:val="22"/>
              </w:rPr>
              <w:t xml:space="preserve"> proposto</w:t>
            </w:r>
          </w:p>
        </w:tc>
      </w:tr>
      <w:tr w:rsidR="00133403" w:rsidRPr="0068769F" w:rsidTr="00133403">
        <w:trPr>
          <w:trHeight w:val="503"/>
          <w:jc w:val="center"/>
        </w:trPr>
        <w:tc>
          <w:tcPr>
            <w:tcW w:w="30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33403" w:rsidRPr="0068769F" w:rsidRDefault="00133403" w:rsidP="00F45276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68769F">
              <w:rPr>
                <w:sz w:val="22"/>
                <w:szCs w:val="22"/>
              </w:rPr>
              <w:t xml:space="preserve">Produto Interno bruto </w:t>
            </w:r>
            <w:r w:rsidRPr="0068769F">
              <w:rPr>
                <w:i/>
                <w:iCs/>
                <w:sz w:val="22"/>
                <w:szCs w:val="22"/>
              </w:rPr>
              <w:t>per capita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33403" w:rsidRPr="0068769F" w:rsidRDefault="00133403" w:rsidP="00F45276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68769F">
              <w:rPr>
                <w:sz w:val="22"/>
                <w:szCs w:val="22"/>
              </w:rPr>
              <w:t>IBGE (2010)</w:t>
            </w: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33403" w:rsidRPr="0068769F" w:rsidRDefault="00133403" w:rsidP="00F45276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68769F">
              <w:rPr>
                <w:sz w:val="22"/>
                <w:szCs w:val="22"/>
              </w:rPr>
              <w:t xml:space="preserve">PIB </w:t>
            </w:r>
            <w:r w:rsidRPr="0068769F">
              <w:rPr>
                <w:i/>
                <w:iCs/>
                <w:sz w:val="22"/>
                <w:szCs w:val="22"/>
              </w:rPr>
              <w:t>per capita</w:t>
            </w:r>
          </w:p>
        </w:tc>
      </w:tr>
      <w:tr w:rsidR="00133403" w:rsidRPr="0068769F" w:rsidTr="00133403">
        <w:trPr>
          <w:trHeight w:val="460"/>
          <w:jc w:val="center"/>
        </w:trPr>
        <w:tc>
          <w:tcPr>
            <w:tcW w:w="3047" w:type="dxa"/>
            <w:shd w:val="clear" w:color="auto" w:fill="auto"/>
            <w:vAlign w:val="center"/>
            <w:hideMark/>
          </w:tcPr>
          <w:p w:rsidR="00133403" w:rsidRPr="0068769F" w:rsidRDefault="00133403" w:rsidP="00F45276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68769F">
              <w:rPr>
                <w:sz w:val="22"/>
                <w:szCs w:val="22"/>
              </w:rPr>
              <w:t>Participação da indústria no PIB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33403" w:rsidRPr="0068769F" w:rsidRDefault="00133403" w:rsidP="00F45276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68769F">
              <w:rPr>
                <w:sz w:val="22"/>
                <w:szCs w:val="22"/>
              </w:rPr>
              <w:t>IBGE (2010)</w:t>
            </w:r>
          </w:p>
        </w:tc>
        <w:tc>
          <w:tcPr>
            <w:tcW w:w="4034" w:type="dxa"/>
            <w:shd w:val="clear" w:color="auto" w:fill="auto"/>
            <w:vAlign w:val="center"/>
            <w:hideMark/>
          </w:tcPr>
          <w:p w:rsidR="00133403" w:rsidRPr="0068769F" w:rsidRDefault="00133403" w:rsidP="00F45276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68769F">
              <w:rPr>
                <w:sz w:val="22"/>
                <w:szCs w:val="22"/>
              </w:rPr>
              <w:t>Valor adicionado bruto da indústria, a preços correntes</w:t>
            </w:r>
          </w:p>
        </w:tc>
      </w:tr>
      <w:tr w:rsidR="00133403" w:rsidRPr="0068769F" w:rsidTr="00133403">
        <w:trPr>
          <w:trHeight w:val="584"/>
          <w:jc w:val="center"/>
        </w:trPr>
        <w:tc>
          <w:tcPr>
            <w:tcW w:w="3047" w:type="dxa"/>
            <w:shd w:val="clear" w:color="auto" w:fill="auto"/>
            <w:vAlign w:val="center"/>
            <w:hideMark/>
          </w:tcPr>
          <w:p w:rsidR="00133403" w:rsidRPr="0068769F" w:rsidRDefault="00133403" w:rsidP="00F45276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68769F">
              <w:rPr>
                <w:sz w:val="22"/>
                <w:szCs w:val="22"/>
              </w:rPr>
              <w:t>Saldo da balança comercial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33403" w:rsidRPr="0068769F" w:rsidRDefault="00133403" w:rsidP="00F45276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68769F">
              <w:rPr>
                <w:sz w:val="22"/>
                <w:szCs w:val="22"/>
              </w:rPr>
              <w:t>MDIC/SECEX/DEPLA (2010)</w:t>
            </w:r>
          </w:p>
        </w:tc>
        <w:tc>
          <w:tcPr>
            <w:tcW w:w="4034" w:type="dxa"/>
            <w:shd w:val="clear" w:color="auto" w:fill="auto"/>
            <w:vAlign w:val="center"/>
            <w:hideMark/>
          </w:tcPr>
          <w:p w:rsidR="00133403" w:rsidRPr="0068769F" w:rsidRDefault="00133403" w:rsidP="00F45276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68769F">
              <w:rPr>
                <w:sz w:val="22"/>
                <w:szCs w:val="22"/>
              </w:rPr>
              <w:t>Saldo da Balança Comercial Brasileira por Município - Pará</w:t>
            </w:r>
          </w:p>
        </w:tc>
      </w:tr>
      <w:tr w:rsidR="00133403" w:rsidRPr="0068769F" w:rsidTr="00133403">
        <w:trPr>
          <w:trHeight w:val="434"/>
          <w:jc w:val="center"/>
        </w:trPr>
        <w:tc>
          <w:tcPr>
            <w:tcW w:w="3047" w:type="dxa"/>
            <w:shd w:val="clear" w:color="auto" w:fill="auto"/>
            <w:vAlign w:val="center"/>
            <w:hideMark/>
          </w:tcPr>
          <w:p w:rsidR="00133403" w:rsidRPr="0068769F" w:rsidRDefault="00133403" w:rsidP="00F45276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68769F">
              <w:rPr>
                <w:sz w:val="22"/>
                <w:szCs w:val="22"/>
              </w:rPr>
              <w:t xml:space="preserve">Renda familiar </w:t>
            </w:r>
            <w:r w:rsidRPr="0068769F">
              <w:rPr>
                <w:i/>
                <w:iCs/>
                <w:sz w:val="22"/>
                <w:szCs w:val="22"/>
              </w:rPr>
              <w:t xml:space="preserve">per capita </w:t>
            </w:r>
            <w:r w:rsidRPr="0068769F">
              <w:rPr>
                <w:sz w:val="22"/>
                <w:szCs w:val="22"/>
              </w:rPr>
              <w:t>em salários mínimos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33403" w:rsidRPr="0068769F" w:rsidRDefault="00133403" w:rsidP="00F45276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68769F">
              <w:rPr>
                <w:sz w:val="22"/>
                <w:szCs w:val="22"/>
              </w:rPr>
              <w:t>IBGE (2010)</w:t>
            </w:r>
          </w:p>
        </w:tc>
        <w:tc>
          <w:tcPr>
            <w:tcW w:w="4034" w:type="dxa"/>
            <w:shd w:val="clear" w:color="auto" w:fill="auto"/>
            <w:vAlign w:val="center"/>
            <w:hideMark/>
          </w:tcPr>
          <w:p w:rsidR="00133403" w:rsidRPr="0068769F" w:rsidRDefault="00133403" w:rsidP="00F45276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68769F">
              <w:rPr>
                <w:sz w:val="22"/>
                <w:szCs w:val="22"/>
              </w:rPr>
              <w:t>Rendimento mensal domiciliar per capita nominal - valor médio</w:t>
            </w:r>
          </w:p>
        </w:tc>
      </w:tr>
      <w:tr w:rsidR="00133403" w:rsidRPr="0068769F" w:rsidTr="00133403">
        <w:trPr>
          <w:trHeight w:val="418"/>
          <w:jc w:val="center"/>
        </w:trPr>
        <w:tc>
          <w:tcPr>
            <w:tcW w:w="3047" w:type="dxa"/>
            <w:shd w:val="clear" w:color="auto" w:fill="auto"/>
            <w:vAlign w:val="center"/>
            <w:hideMark/>
          </w:tcPr>
          <w:p w:rsidR="00133403" w:rsidRPr="0068769F" w:rsidRDefault="00133403" w:rsidP="00F45276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68769F">
              <w:rPr>
                <w:sz w:val="22"/>
                <w:szCs w:val="22"/>
              </w:rPr>
              <w:t xml:space="preserve">Renda </w:t>
            </w:r>
            <w:r w:rsidRPr="0068769F">
              <w:rPr>
                <w:i/>
                <w:iCs/>
                <w:sz w:val="22"/>
                <w:szCs w:val="22"/>
              </w:rPr>
              <w:t>per capita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33403" w:rsidRPr="0068769F" w:rsidRDefault="00133403" w:rsidP="00F45276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68769F">
              <w:rPr>
                <w:sz w:val="22"/>
                <w:szCs w:val="22"/>
              </w:rPr>
              <w:t>ATLAS BRASIL (2010)</w:t>
            </w:r>
          </w:p>
        </w:tc>
        <w:tc>
          <w:tcPr>
            <w:tcW w:w="4034" w:type="dxa"/>
            <w:shd w:val="clear" w:color="auto" w:fill="auto"/>
            <w:vAlign w:val="center"/>
            <w:hideMark/>
          </w:tcPr>
          <w:p w:rsidR="00133403" w:rsidRPr="0068769F" w:rsidRDefault="00133403" w:rsidP="00F45276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68769F">
              <w:rPr>
                <w:sz w:val="22"/>
                <w:szCs w:val="22"/>
              </w:rPr>
              <w:t>Renda per capita</w:t>
            </w:r>
          </w:p>
        </w:tc>
      </w:tr>
      <w:tr w:rsidR="00133403" w:rsidRPr="0068769F" w:rsidTr="00133403">
        <w:trPr>
          <w:trHeight w:val="61"/>
          <w:jc w:val="center"/>
        </w:trPr>
        <w:tc>
          <w:tcPr>
            <w:tcW w:w="30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33403" w:rsidRPr="0068769F" w:rsidRDefault="00133403" w:rsidP="00F45276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68769F">
              <w:rPr>
                <w:sz w:val="22"/>
                <w:szCs w:val="22"/>
              </w:rPr>
              <w:t>Rendimentos provenientes do trabalho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33403" w:rsidRPr="0068769F" w:rsidRDefault="00133403" w:rsidP="00F45276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68769F">
              <w:rPr>
                <w:sz w:val="22"/>
                <w:szCs w:val="22"/>
              </w:rPr>
              <w:t>ATLAS BRASIL (2010)</w:t>
            </w: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33403" w:rsidRPr="0068769F" w:rsidRDefault="00133403" w:rsidP="00F45276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68769F">
              <w:rPr>
                <w:sz w:val="22"/>
                <w:szCs w:val="22"/>
              </w:rPr>
              <w:t>% da renda proveniente de rendimentos do trabalho</w:t>
            </w:r>
          </w:p>
        </w:tc>
      </w:tr>
      <w:tr w:rsidR="00133403" w:rsidRPr="0068769F" w:rsidTr="00133403">
        <w:trPr>
          <w:trHeight w:val="133"/>
          <w:jc w:val="center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33403" w:rsidRPr="0068769F" w:rsidRDefault="00133403" w:rsidP="00F45276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68769F">
              <w:rPr>
                <w:sz w:val="22"/>
                <w:szCs w:val="22"/>
              </w:rPr>
              <w:t>Índice de</w:t>
            </w:r>
            <w:r>
              <w:rPr>
                <w:sz w:val="22"/>
                <w:szCs w:val="22"/>
              </w:rPr>
              <w:t xml:space="preserve"> GINI</w:t>
            </w:r>
            <w:r w:rsidRPr="0068769F">
              <w:rPr>
                <w:sz w:val="22"/>
                <w:szCs w:val="22"/>
              </w:rPr>
              <w:t xml:space="preserve"> de distribuição do rendimento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33403" w:rsidRPr="0068769F" w:rsidRDefault="00133403" w:rsidP="00F45276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68769F">
              <w:rPr>
                <w:sz w:val="22"/>
                <w:szCs w:val="22"/>
              </w:rPr>
              <w:t>ATLAS BRASIL (2010)</w:t>
            </w:r>
          </w:p>
        </w:tc>
        <w:tc>
          <w:tcPr>
            <w:tcW w:w="4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33403" w:rsidRPr="0068769F" w:rsidRDefault="00133403" w:rsidP="00F45276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68769F">
              <w:rPr>
                <w:sz w:val="22"/>
                <w:szCs w:val="22"/>
              </w:rPr>
              <w:t xml:space="preserve">Índice de </w:t>
            </w:r>
            <w:proofErr w:type="spellStart"/>
            <w:r w:rsidRPr="0068769F">
              <w:rPr>
                <w:sz w:val="22"/>
                <w:szCs w:val="22"/>
              </w:rPr>
              <w:t>Gini</w:t>
            </w:r>
            <w:proofErr w:type="spellEnd"/>
          </w:p>
        </w:tc>
      </w:tr>
    </w:tbl>
    <w:p w:rsidR="00133403" w:rsidRPr="0068769F" w:rsidRDefault="00133403" w:rsidP="00133403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 w:rsidRPr="0068769F">
        <w:rPr>
          <w:sz w:val="22"/>
          <w:szCs w:val="22"/>
        </w:rPr>
        <w:t>Fonte: Autores</w:t>
      </w:r>
      <w:r>
        <w:rPr>
          <w:sz w:val="22"/>
          <w:szCs w:val="22"/>
        </w:rPr>
        <w:t xml:space="preserve"> (2018).</w:t>
      </w:r>
    </w:p>
    <w:p w:rsidR="00133403" w:rsidRPr="00133403" w:rsidRDefault="00193334" w:rsidP="00133403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33403">
        <w:rPr>
          <w:sz w:val="24"/>
          <w:szCs w:val="24"/>
        </w:rPr>
        <w:t>Desse modo, foi calculado</w:t>
      </w:r>
      <w:r w:rsidR="00660DF5">
        <w:rPr>
          <w:sz w:val="24"/>
          <w:szCs w:val="24"/>
        </w:rPr>
        <w:t xml:space="preserve"> </w:t>
      </w:r>
      <w:r w:rsidR="00133403" w:rsidRPr="0021563B">
        <w:rPr>
          <w:sz w:val="24"/>
          <w:szCs w:val="24"/>
        </w:rPr>
        <w:t xml:space="preserve">o IDS de cada variável </w:t>
      </w:r>
      <w:r w:rsidR="00133403">
        <w:rPr>
          <w:sz w:val="24"/>
          <w:szCs w:val="24"/>
        </w:rPr>
        <w:t xml:space="preserve">(Quadro 06) </w:t>
      </w:r>
      <w:r w:rsidR="00133403" w:rsidRPr="0021563B">
        <w:rPr>
          <w:sz w:val="24"/>
          <w:szCs w:val="24"/>
        </w:rPr>
        <w:t>e o IDS da dim</w:t>
      </w:r>
      <w:r w:rsidR="00133403">
        <w:rPr>
          <w:sz w:val="24"/>
          <w:szCs w:val="24"/>
        </w:rPr>
        <w:t>ensão econômica (Quadro 07).</w:t>
      </w:r>
    </w:p>
    <w:p w:rsidR="00133403" w:rsidRPr="0068769F" w:rsidRDefault="00133403" w:rsidP="007D219E">
      <w:pPr>
        <w:tabs>
          <w:tab w:val="left" w:pos="70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Quadro 06</w:t>
      </w:r>
      <w:r w:rsidRPr="0068769F">
        <w:rPr>
          <w:sz w:val="22"/>
          <w:szCs w:val="22"/>
        </w:rPr>
        <w:t xml:space="preserve"> – IDS para cada variável econômica</w:t>
      </w:r>
    </w:p>
    <w:tbl>
      <w:tblPr>
        <w:tblW w:w="97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276"/>
        <w:gridCol w:w="1559"/>
        <w:gridCol w:w="1134"/>
        <w:gridCol w:w="857"/>
        <w:gridCol w:w="663"/>
        <w:gridCol w:w="525"/>
      </w:tblGrid>
      <w:tr w:rsidR="00133403" w:rsidRPr="0068769F" w:rsidTr="00133403">
        <w:trPr>
          <w:trHeight w:val="60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769F">
              <w:rPr>
                <w:b/>
                <w:color w:val="000000"/>
                <w:sz w:val="22"/>
                <w:szCs w:val="22"/>
              </w:rPr>
              <w:t>Índice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769F">
              <w:rPr>
                <w:b/>
                <w:color w:val="000000"/>
                <w:sz w:val="22"/>
                <w:szCs w:val="22"/>
              </w:rPr>
              <w:t>Índice do município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253F">
              <w:rPr>
                <w:b/>
                <w:bCs/>
                <w:color w:val="000000"/>
                <w:sz w:val="22"/>
                <w:szCs w:val="22"/>
              </w:rPr>
              <w:t>Município de Maior Valor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769F">
              <w:rPr>
                <w:b/>
                <w:color w:val="000000"/>
                <w:sz w:val="22"/>
                <w:szCs w:val="22"/>
              </w:rPr>
              <w:t>Município de Menor valor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769F">
              <w:rPr>
                <w:b/>
                <w:color w:val="000000"/>
                <w:sz w:val="22"/>
                <w:szCs w:val="22"/>
              </w:rPr>
              <w:t>Sinal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769F">
              <w:rPr>
                <w:b/>
                <w:color w:val="000000"/>
                <w:sz w:val="22"/>
                <w:szCs w:val="22"/>
              </w:rPr>
              <w:t>IDS</w:t>
            </w:r>
          </w:p>
        </w:tc>
      </w:tr>
      <w:tr w:rsidR="00133403" w:rsidRPr="0068769F" w:rsidTr="00133403">
        <w:trPr>
          <w:trHeight w:val="11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 xml:space="preserve">PIB </w:t>
            </w:r>
            <w:r w:rsidRPr="00461D84">
              <w:rPr>
                <w:i/>
                <w:iCs/>
                <w:color w:val="000000"/>
                <w:sz w:val="22"/>
                <w:szCs w:val="22"/>
              </w:rPr>
              <w:t>per capita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12921,64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Parauapebas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97342,96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Melgaço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2792,87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133403" w:rsidRPr="0068769F" w:rsidTr="00133403">
        <w:trPr>
          <w:trHeight w:val="70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Valor adicionado bruto da indústria, a preços correntes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2682845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Parauapebas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11965462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8769F">
              <w:rPr>
                <w:color w:val="000000"/>
                <w:sz w:val="22"/>
                <w:szCs w:val="22"/>
              </w:rPr>
              <w:t>Bannach</w:t>
            </w:r>
            <w:proofErr w:type="spellEnd"/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133403" w:rsidRPr="0068769F" w:rsidTr="00133403">
        <w:trPr>
          <w:trHeight w:val="579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Valor exportado - US$ FOB (2010)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sz w:val="22"/>
                <w:szCs w:val="22"/>
              </w:rPr>
            </w:pPr>
            <w:r w:rsidRPr="0068769F">
              <w:rPr>
                <w:sz w:val="22"/>
                <w:szCs w:val="22"/>
              </w:rPr>
              <w:t xml:space="preserve"> $454.253.328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Parauapebas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$7.894.717.018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São João de Pirabas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$882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133403" w:rsidRPr="0068769F" w:rsidTr="00133403">
        <w:trPr>
          <w:trHeight w:val="721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Rendimento mensal domiciliar per capita nominal - valor médio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Belém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Melgaço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133403" w:rsidRPr="0068769F" w:rsidTr="00133403">
        <w:trPr>
          <w:trHeight w:val="364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Renda per capita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853,82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Belém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853,82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Cachoeira do Piriá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130,4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133403" w:rsidRPr="0068769F" w:rsidTr="00133403">
        <w:trPr>
          <w:trHeight w:val="143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 xml:space="preserve">% da renda proveniente </w:t>
            </w:r>
            <w:r w:rsidRPr="00461D84">
              <w:rPr>
                <w:color w:val="000000"/>
                <w:sz w:val="22"/>
                <w:szCs w:val="22"/>
              </w:rPr>
              <w:lastRenderedPageBreak/>
              <w:t>de rendimentos do trabalho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lastRenderedPageBreak/>
              <w:t>75,58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Ulianópolis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93,42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Chaves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42,63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0,65</w:t>
            </w:r>
          </w:p>
        </w:tc>
      </w:tr>
      <w:tr w:rsidR="00133403" w:rsidRPr="0068769F" w:rsidTr="00133403">
        <w:trPr>
          <w:trHeight w:val="11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lastRenderedPageBreak/>
              <w:t>Índice de GINI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0,61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Ulianópolis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Marituba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133403" w:rsidRPr="00461D84" w:rsidRDefault="00133403" w:rsidP="00F45276">
            <w:pPr>
              <w:jc w:val="center"/>
              <w:rPr>
                <w:color w:val="000000"/>
                <w:sz w:val="22"/>
                <w:szCs w:val="22"/>
              </w:rPr>
            </w:pPr>
            <w:r w:rsidRPr="00461D84">
              <w:rPr>
                <w:color w:val="000000"/>
                <w:sz w:val="22"/>
                <w:szCs w:val="22"/>
              </w:rPr>
              <w:t>0,32</w:t>
            </w:r>
          </w:p>
        </w:tc>
      </w:tr>
    </w:tbl>
    <w:p w:rsidR="00133403" w:rsidRDefault="00133403" w:rsidP="00133403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 w:rsidRPr="0068769F">
        <w:rPr>
          <w:sz w:val="22"/>
          <w:szCs w:val="22"/>
        </w:rPr>
        <w:t>Fonte: Autores</w:t>
      </w:r>
      <w:r>
        <w:rPr>
          <w:sz w:val="22"/>
          <w:szCs w:val="22"/>
        </w:rPr>
        <w:t xml:space="preserve"> (2018).</w:t>
      </w:r>
    </w:p>
    <w:p w:rsidR="00133403" w:rsidRPr="0068769F" w:rsidRDefault="00C03013" w:rsidP="00154607">
      <w:pPr>
        <w:tabs>
          <w:tab w:val="left" w:pos="70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940">
        <w:rPr>
          <w:sz w:val="22"/>
          <w:szCs w:val="22"/>
        </w:rPr>
        <w:t>Quadro 07</w:t>
      </w:r>
      <w:r w:rsidR="00133403" w:rsidRPr="0068769F">
        <w:rPr>
          <w:sz w:val="22"/>
          <w:szCs w:val="22"/>
        </w:rPr>
        <w:t xml:space="preserve"> – IDS para a dimensão ECONÔMICA</w:t>
      </w:r>
    </w:p>
    <w:tbl>
      <w:tblPr>
        <w:tblW w:w="6588" w:type="dxa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7"/>
        <w:gridCol w:w="3881"/>
      </w:tblGrid>
      <w:tr w:rsidR="00133403" w:rsidRPr="000E6857" w:rsidTr="00C03013">
        <w:trPr>
          <w:trHeight w:val="161"/>
          <w:jc w:val="center"/>
        </w:trPr>
        <w:tc>
          <w:tcPr>
            <w:tcW w:w="27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33403" w:rsidRPr="000E6857" w:rsidRDefault="005D4940" w:rsidP="00F452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IDS</w:t>
            </w:r>
            <w:r w:rsidR="00133403" w:rsidRPr="0068769F">
              <w:rPr>
                <w:b/>
                <w:bCs/>
                <w:color w:val="000000"/>
                <w:sz w:val="22"/>
                <w:szCs w:val="22"/>
              </w:rPr>
              <w:t xml:space="preserve"> da Dimensão</w:t>
            </w:r>
          </w:p>
        </w:tc>
        <w:tc>
          <w:tcPr>
            <w:tcW w:w="388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33403" w:rsidRPr="000E6857" w:rsidRDefault="00133403" w:rsidP="00F452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769F">
              <w:rPr>
                <w:b/>
                <w:bCs/>
                <w:color w:val="000000"/>
                <w:sz w:val="22"/>
                <w:szCs w:val="22"/>
              </w:rPr>
              <w:t>Classificação da Dimensão</w:t>
            </w:r>
          </w:p>
        </w:tc>
      </w:tr>
      <w:tr w:rsidR="00133403" w:rsidRPr="000E6857" w:rsidTr="00C03013">
        <w:trPr>
          <w:trHeight w:val="290"/>
          <w:jc w:val="center"/>
        </w:trPr>
        <w:tc>
          <w:tcPr>
            <w:tcW w:w="2707" w:type="dxa"/>
            <w:vMerge w:val="restart"/>
            <w:shd w:val="clear" w:color="auto" w:fill="auto"/>
            <w:vAlign w:val="center"/>
            <w:hideMark/>
          </w:tcPr>
          <w:p w:rsidR="00133403" w:rsidRPr="000E6857" w:rsidRDefault="00133403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6857">
              <w:rPr>
                <w:bCs/>
                <w:color w:val="000000"/>
                <w:sz w:val="22"/>
                <w:szCs w:val="22"/>
              </w:rPr>
              <w:t>0,48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:rsidR="00133403" w:rsidRPr="000E6857" w:rsidRDefault="00133403" w:rsidP="00F452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69F">
              <w:rPr>
                <w:bCs/>
                <w:color w:val="000000"/>
                <w:sz w:val="22"/>
                <w:szCs w:val="22"/>
              </w:rPr>
              <w:t>ALERTA</w:t>
            </w:r>
          </w:p>
        </w:tc>
      </w:tr>
      <w:tr w:rsidR="00133403" w:rsidRPr="000E6857" w:rsidTr="00C03013">
        <w:trPr>
          <w:trHeight w:val="253"/>
          <w:jc w:val="center"/>
        </w:trPr>
        <w:tc>
          <w:tcPr>
            <w:tcW w:w="2707" w:type="dxa"/>
            <w:vMerge/>
            <w:shd w:val="clear" w:color="auto" w:fill="auto"/>
            <w:vAlign w:val="center"/>
            <w:hideMark/>
          </w:tcPr>
          <w:p w:rsidR="00133403" w:rsidRPr="000E6857" w:rsidRDefault="00133403" w:rsidP="00F4527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  <w:hideMark/>
          </w:tcPr>
          <w:p w:rsidR="00133403" w:rsidRPr="000E6857" w:rsidRDefault="00133403" w:rsidP="00F45276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133403" w:rsidRPr="00133403" w:rsidRDefault="00C03013" w:rsidP="00154607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3403" w:rsidRPr="0068769F">
        <w:rPr>
          <w:sz w:val="22"/>
          <w:szCs w:val="22"/>
        </w:rPr>
        <w:t>Fonte: Autores</w:t>
      </w:r>
      <w:r w:rsidR="00133403">
        <w:rPr>
          <w:sz w:val="22"/>
          <w:szCs w:val="22"/>
        </w:rPr>
        <w:t xml:space="preserve"> (2018).</w:t>
      </w:r>
    </w:p>
    <w:p w:rsidR="00CC3EAE" w:rsidRDefault="00133403" w:rsidP="00FD02B2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Nesse cenário, pô</w:t>
      </w:r>
      <w:r w:rsidR="00CC3EAE">
        <w:rPr>
          <w:sz w:val="24"/>
          <w:szCs w:val="24"/>
        </w:rPr>
        <w:t>de-se perceber que</w:t>
      </w:r>
      <w:r>
        <w:rPr>
          <w:sz w:val="24"/>
          <w:szCs w:val="24"/>
        </w:rPr>
        <w:t>,</w:t>
      </w:r>
      <w:r w:rsidR="00CC3EAE">
        <w:rPr>
          <w:sz w:val="24"/>
          <w:szCs w:val="24"/>
        </w:rPr>
        <w:t xml:space="preserve"> economicamente</w:t>
      </w:r>
      <w:r>
        <w:rPr>
          <w:sz w:val="24"/>
          <w:szCs w:val="24"/>
        </w:rPr>
        <w:t>,</w:t>
      </w:r>
      <w:r w:rsidR="00CC3EAE">
        <w:rPr>
          <w:sz w:val="24"/>
          <w:szCs w:val="24"/>
        </w:rPr>
        <w:t xml:space="preserve"> o </w:t>
      </w:r>
      <w:r>
        <w:rPr>
          <w:sz w:val="24"/>
          <w:szCs w:val="24"/>
        </w:rPr>
        <w:t>IDS</w:t>
      </w:r>
      <w:r w:rsidR="00CC3EAE">
        <w:rPr>
          <w:sz w:val="24"/>
          <w:szCs w:val="24"/>
        </w:rPr>
        <w:t xml:space="preserve"> aponta uma situação de alerta para o município de Belém, resultado este que pode ser explicado devido aos baixos índices obtidos nas variáveis: </w:t>
      </w:r>
      <w:r>
        <w:rPr>
          <w:sz w:val="24"/>
          <w:szCs w:val="24"/>
        </w:rPr>
        <w:t>“</w:t>
      </w:r>
      <w:r w:rsidR="00CC3EAE">
        <w:rPr>
          <w:sz w:val="24"/>
          <w:szCs w:val="24"/>
        </w:rPr>
        <w:t>PIB per capita</w:t>
      </w:r>
      <w:r>
        <w:rPr>
          <w:sz w:val="24"/>
          <w:szCs w:val="24"/>
        </w:rPr>
        <w:t>” (0,11 – crítico)</w:t>
      </w:r>
      <w:r w:rsidR="00CC3EAE">
        <w:rPr>
          <w:sz w:val="24"/>
          <w:szCs w:val="24"/>
        </w:rPr>
        <w:t xml:space="preserve">, </w:t>
      </w:r>
      <w:r>
        <w:rPr>
          <w:sz w:val="24"/>
          <w:szCs w:val="24"/>
        </w:rPr>
        <w:t>“</w:t>
      </w:r>
      <w:r w:rsidR="00CC3EAE">
        <w:rPr>
          <w:sz w:val="24"/>
          <w:szCs w:val="24"/>
        </w:rPr>
        <w:t>v</w:t>
      </w:r>
      <w:r w:rsidR="00CC3EAE" w:rsidRPr="00CC3EAE">
        <w:rPr>
          <w:sz w:val="24"/>
          <w:szCs w:val="24"/>
        </w:rPr>
        <w:t>alor</w:t>
      </w:r>
      <w:r w:rsidR="00CC3EAE">
        <w:rPr>
          <w:sz w:val="24"/>
          <w:szCs w:val="24"/>
        </w:rPr>
        <w:t xml:space="preserve"> adicionado bruto da indústria</w:t>
      </w:r>
      <w:r>
        <w:rPr>
          <w:sz w:val="24"/>
          <w:szCs w:val="24"/>
        </w:rPr>
        <w:t>” (0,22 – crítico)</w:t>
      </w:r>
      <w:r w:rsidR="00CC3EAE">
        <w:rPr>
          <w:sz w:val="24"/>
          <w:szCs w:val="24"/>
        </w:rPr>
        <w:t xml:space="preserve">, </w:t>
      </w:r>
      <w:r>
        <w:rPr>
          <w:sz w:val="24"/>
          <w:szCs w:val="24"/>
        </w:rPr>
        <w:t>“</w:t>
      </w:r>
      <w:r w:rsidR="00CC3EAE">
        <w:rPr>
          <w:sz w:val="24"/>
          <w:szCs w:val="24"/>
        </w:rPr>
        <w:t>valor exportado</w:t>
      </w:r>
      <w:r>
        <w:rPr>
          <w:sz w:val="24"/>
          <w:szCs w:val="24"/>
        </w:rPr>
        <w:t>” (</w:t>
      </w:r>
      <w:r w:rsidR="005D4940">
        <w:rPr>
          <w:sz w:val="24"/>
          <w:szCs w:val="24"/>
        </w:rPr>
        <w:t>0,06 – crítico) e índice de GINI (0,32 – alerta)</w:t>
      </w:r>
      <w:r w:rsidR="00CC3EAE">
        <w:rPr>
          <w:sz w:val="24"/>
          <w:szCs w:val="24"/>
        </w:rPr>
        <w:t>. Dentre eles</w:t>
      </w:r>
      <w:r w:rsidR="005D4940">
        <w:rPr>
          <w:sz w:val="24"/>
          <w:szCs w:val="24"/>
        </w:rPr>
        <w:t>, o mau</w:t>
      </w:r>
      <w:r w:rsidR="00CC3EAE">
        <w:rPr>
          <w:sz w:val="24"/>
          <w:szCs w:val="24"/>
        </w:rPr>
        <w:t xml:space="preserve"> desempenho </w:t>
      </w:r>
      <w:r w:rsidR="005D4940">
        <w:rPr>
          <w:sz w:val="24"/>
          <w:szCs w:val="24"/>
        </w:rPr>
        <w:t>no índice de GINI</w:t>
      </w:r>
      <w:r w:rsidR="001B007A">
        <w:rPr>
          <w:sz w:val="24"/>
          <w:szCs w:val="24"/>
        </w:rPr>
        <w:t xml:space="preserve"> </w:t>
      </w:r>
      <w:r w:rsidR="005D4940">
        <w:rPr>
          <w:sz w:val="24"/>
          <w:szCs w:val="24"/>
        </w:rPr>
        <w:t>evidencia</w:t>
      </w:r>
      <w:r w:rsidR="00CC3EAE">
        <w:rPr>
          <w:sz w:val="24"/>
          <w:szCs w:val="24"/>
        </w:rPr>
        <w:t xml:space="preserve"> um cenário alarmante, visto que este índice representa a desigualdade de distribuição de renda, ou seja, quanto mais próximo a zero</w:t>
      </w:r>
      <w:r w:rsidR="005D4940">
        <w:rPr>
          <w:sz w:val="24"/>
          <w:szCs w:val="24"/>
        </w:rPr>
        <w:t>,</w:t>
      </w:r>
      <w:r w:rsidR="00CC3EAE">
        <w:rPr>
          <w:sz w:val="24"/>
          <w:szCs w:val="24"/>
        </w:rPr>
        <w:t xml:space="preserve"> menos desigualdade há no município.</w:t>
      </w:r>
      <w:r w:rsidR="005D4940">
        <w:rPr>
          <w:sz w:val="24"/>
          <w:szCs w:val="24"/>
        </w:rPr>
        <w:t xml:space="preserve"> Com isso, pode-se inferir que em Belém a desigualdade na distribuição de renda é preocupante ao verificar o cenário estadual.</w:t>
      </w:r>
    </w:p>
    <w:p w:rsidR="00817377" w:rsidRPr="00817377" w:rsidRDefault="00344C22" w:rsidP="00FD02B2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</w:t>
      </w:r>
      <w:r w:rsidR="005D4940">
        <w:rPr>
          <w:sz w:val="24"/>
          <w:szCs w:val="24"/>
        </w:rPr>
        <w:t xml:space="preserve">ANÁLISE DA </w:t>
      </w:r>
      <w:r w:rsidR="00817377">
        <w:rPr>
          <w:sz w:val="24"/>
          <w:szCs w:val="24"/>
        </w:rPr>
        <w:t>DIMENSÃO AMBIENTAL</w:t>
      </w:r>
      <w:r>
        <w:rPr>
          <w:sz w:val="24"/>
          <w:szCs w:val="24"/>
        </w:rPr>
        <w:tab/>
      </w:r>
    </w:p>
    <w:p w:rsidR="005D4940" w:rsidRDefault="00817377" w:rsidP="00FD02B2">
      <w:pPr>
        <w:spacing w:before="24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4940">
        <w:rPr>
          <w:sz w:val="24"/>
          <w:szCs w:val="24"/>
        </w:rPr>
        <w:t xml:space="preserve">O Quadro </w:t>
      </w:r>
      <w:r w:rsidR="00C03013">
        <w:rPr>
          <w:sz w:val="24"/>
          <w:szCs w:val="24"/>
        </w:rPr>
        <w:t>0</w:t>
      </w:r>
      <w:r w:rsidR="005D4940">
        <w:rPr>
          <w:sz w:val="24"/>
          <w:szCs w:val="24"/>
        </w:rPr>
        <w:t>8</w:t>
      </w:r>
      <w:r w:rsidRPr="00817377">
        <w:rPr>
          <w:sz w:val="24"/>
          <w:szCs w:val="24"/>
        </w:rPr>
        <w:t xml:space="preserve"> contém as variáveis adotadas para </w:t>
      </w:r>
      <w:r>
        <w:rPr>
          <w:sz w:val="24"/>
          <w:szCs w:val="24"/>
        </w:rPr>
        <w:t>o cálculo do IDS da dimensão</w:t>
      </w:r>
      <w:r w:rsidR="005D4940">
        <w:rPr>
          <w:sz w:val="24"/>
          <w:szCs w:val="24"/>
        </w:rPr>
        <w:t xml:space="preserve"> ambiental</w:t>
      </w:r>
      <w:r>
        <w:rPr>
          <w:sz w:val="24"/>
          <w:szCs w:val="24"/>
        </w:rPr>
        <w:t>, valor para o qual foram utilizadas as variáveis propostas pela metodologia em sua totalidade.</w:t>
      </w:r>
    </w:p>
    <w:p w:rsidR="005D4940" w:rsidRPr="0068769F" w:rsidRDefault="005D4940" w:rsidP="007D219E">
      <w:pPr>
        <w:spacing w:before="240" w:line="360" w:lineRule="auto"/>
        <w:contextualSpacing/>
        <w:rPr>
          <w:sz w:val="28"/>
          <w:szCs w:val="24"/>
        </w:rPr>
      </w:pPr>
      <w:r>
        <w:rPr>
          <w:rFonts w:eastAsia="Calibri"/>
          <w:sz w:val="22"/>
          <w:lang w:eastAsia="en-US"/>
        </w:rPr>
        <w:t>Quadro 08–definição dos indicadores ambientais</w:t>
      </w:r>
    </w:p>
    <w:tbl>
      <w:tblPr>
        <w:tblW w:w="0" w:type="auto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596"/>
        <w:gridCol w:w="3836"/>
      </w:tblGrid>
      <w:tr w:rsidR="005D4940" w:rsidRPr="0068769F" w:rsidTr="001F74C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4940" w:rsidRPr="0021563B" w:rsidRDefault="005D4940" w:rsidP="00F45276">
            <w:pPr>
              <w:jc w:val="center"/>
              <w:rPr>
                <w:b/>
                <w:bCs/>
                <w:sz w:val="22"/>
                <w:szCs w:val="22"/>
              </w:rPr>
            </w:pPr>
            <w:r w:rsidRPr="0021563B">
              <w:rPr>
                <w:b/>
                <w:bCs/>
                <w:sz w:val="22"/>
                <w:szCs w:val="22"/>
              </w:rPr>
              <w:t>Variáveis</w:t>
            </w:r>
            <w:r>
              <w:rPr>
                <w:b/>
                <w:bCs/>
                <w:sz w:val="22"/>
                <w:szCs w:val="22"/>
              </w:rPr>
              <w:t xml:space="preserve"> Propostas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4940" w:rsidRPr="0021563B" w:rsidRDefault="005D4940" w:rsidP="00F45276">
            <w:pPr>
              <w:jc w:val="center"/>
              <w:rPr>
                <w:b/>
                <w:bCs/>
                <w:sz w:val="22"/>
                <w:szCs w:val="22"/>
              </w:rPr>
            </w:pPr>
            <w:r w:rsidRPr="0021563B">
              <w:rPr>
                <w:b/>
                <w:bCs/>
                <w:sz w:val="22"/>
                <w:szCs w:val="22"/>
              </w:rPr>
              <w:t>Fonte</w:t>
            </w:r>
            <w:r>
              <w:rPr>
                <w:b/>
                <w:bCs/>
                <w:sz w:val="22"/>
                <w:szCs w:val="22"/>
              </w:rPr>
              <w:t xml:space="preserve"> utilizada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4940" w:rsidRPr="0021563B" w:rsidRDefault="005D4940" w:rsidP="00F45276">
            <w:pPr>
              <w:jc w:val="center"/>
              <w:rPr>
                <w:b/>
                <w:bCs/>
                <w:sz w:val="22"/>
                <w:szCs w:val="22"/>
              </w:rPr>
            </w:pPr>
            <w:r w:rsidRPr="0021563B">
              <w:rPr>
                <w:b/>
                <w:bCs/>
                <w:sz w:val="22"/>
                <w:szCs w:val="22"/>
              </w:rPr>
              <w:t>Indicador</w:t>
            </w:r>
            <w:r>
              <w:rPr>
                <w:b/>
                <w:bCs/>
                <w:sz w:val="22"/>
                <w:szCs w:val="22"/>
              </w:rPr>
              <w:t xml:space="preserve"> proposto</w:t>
            </w:r>
          </w:p>
        </w:tc>
      </w:tr>
      <w:tr w:rsidR="005D4940" w:rsidRPr="0068769F" w:rsidTr="001F74C5">
        <w:trPr>
          <w:trHeight w:val="46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4940" w:rsidRPr="00817377" w:rsidRDefault="005D4940" w:rsidP="00F45276">
            <w:pPr>
              <w:rPr>
                <w:sz w:val="22"/>
              </w:rPr>
            </w:pPr>
            <w:r w:rsidRPr="00817377">
              <w:rPr>
                <w:sz w:val="22"/>
              </w:rPr>
              <w:t>Qualidade das águas: aferição de cloro residual, de turbidez, de coliformes totais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4940" w:rsidRPr="00817377" w:rsidRDefault="005D4940" w:rsidP="00F45276">
            <w:pPr>
              <w:jc w:val="center"/>
              <w:rPr>
                <w:bCs/>
                <w:sz w:val="22"/>
              </w:rPr>
            </w:pPr>
            <w:r w:rsidRPr="0068769F">
              <w:rPr>
                <w:bCs/>
                <w:sz w:val="22"/>
              </w:rPr>
              <w:t xml:space="preserve"> SNIS (2010)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D4940" w:rsidRPr="00817377" w:rsidRDefault="005D4940" w:rsidP="00F45276">
            <w:pPr>
              <w:jc w:val="center"/>
              <w:rPr>
                <w:sz w:val="22"/>
              </w:rPr>
            </w:pPr>
            <w:r w:rsidRPr="00817377">
              <w:rPr>
                <w:sz w:val="22"/>
              </w:rPr>
              <w:t>Nº de amostras fora do padrão</w:t>
            </w:r>
          </w:p>
        </w:tc>
      </w:tr>
      <w:tr w:rsidR="005D4940" w:rsidRPr="0068769F" w:rsidTr="001F74C5">
        <w:trPr>
          <w:trHeight w:val="23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4940" w:rsidRPr="00817377" w:rsidRDefault="005D4940" w:rsidP="00F45276">
            <w:pPr>
              <w:rPr>
                <w:sz w:val="22"/>
              </w:rPr>
            </w:pPr>
            <w:r w:rsidRPr="0068769F">
              <w:rPr>
                <w:sz w:val="22"/>
              </w:rPr>
              <w:t xml:space="preserve">Tratamento das águas: tratada em </w:t>
            </w:r>
            <w:proofErr w:type="spellStart"/>
            <w:r w:rsidRPr="0068769F">
              <w:rPr>
                <w:sz w:val="22"/>
              </w:rPr>
              <w:t>ETAs</w:t>
            </w:r>
            <w:proofErr w:type="spellEnd"/>
            <w:r w:rsidRPr="0068769F">
              <w:rPr>
                <w:sz w:val="22"/>
              </w:rPr>
              <w:t xml:space="preserve"> e por desinfecção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4940" w:rsidRPr="00817377" w:rsidRDefault="005D4940" w:rsidP="00F45276">
            <w:pPr>
              <w:jc w:val="center"/>
              <w:rPr>
                <w:bCs/>
                <w:sz w:val="22"/>
              </w:rPr>
            </w:pPr>
            <w:r w:rsidRPr="0068769F">
              <w:rPr>
                <w:bCs/>
                <w:sz w:val="22"/>
              </w:rPr>
              <w:t xml:space="preserve"> SNIS (2010)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4940" w:rsidRPr="00817377" w:rsidRDefault="005D4940" w:rsidP="00F45276">
            <w:pPr>
              <w:jc w:val="center"/>
              <w:rPr>
                <w:sz w:val="22"/>
              </w:rPr>
            </w:pPr>
            <w:r w:rsidRPr="0068769F">
              <w:rPr>
                <w:sz w:val="22"/>
              </w:rPr>
              <w:t xml:space="preserve">Volume de água tratado em </w:t>
            </w:r>
            <w:proofErr w:type="spellStart"/>
            <w:r w:rsidRPr="0068769F">
              <w:rPr>
                <w:sz w:val="22"/>
              </w:rPr>
              <w:t>ETAs</w:t>
            </w:r>
            <w:proofErr w:type="spellEnd"/>
            <w:r w:rsidRPr="0068769F">
              <w:rPr>
                <w:sz w:val="22"/>
              </w:rPr>
              <w:t xml:space="preserve"> e por simples desinfecção</w:t>
            </w:r>
          </w:p>
        </w:tc>
      </w:tr>
      <w:tr w:rsidR="005D4940" w:rsidRPr="0068769F" w:rsidTr="001F74C5">
        <w:trPr>
          <w:trHeight w:val="7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4940" w:rsidRPr="00817377" w:rsidRDefault="005D4940" w:rsidP="00F45276">
            <w:pPr>
              <w:rPr>
                <w:sz w:val="22"/>
              </w:rPr>
            </w:pPr>
            <w:r w:rsidRPr="00817377">
              <w:rPr>
                <w:sz w:val="22"/>
              </w:rPr>
              <w:t xml:space="preserve">Consumo médio </w:t>
            </w:r>
            <w:r w:rsidRPr="00817377">
              <w:rPr>
                <w:i/>
                <w:iCs/>
                <w:sz w:val="22"/>
              </w:rPr>
              <w:t xml:space="preserve">per capita </w:t>
            </w:r>
            <w:r w:rsidRPr="00817377">
              <w:rPr>
                <w:sz w:val="22"/>
              </w:rPr>
              <w:t>de água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4940" w:rsidRPr="00817377" w:rsidRDefault="005D4940" w:rsidP="00F45276">
            <w:pPr>
              <w:jc w:val="center"/>
              <w:rPr>
                <w:bCs/>
                <w:sz w:val="22"/>
              </w:rPr>
            </w:pPr>
            <w:r w:rsidRPr="0068769F">
              <w:rPr>
                <w:bCs/>
                <w:sz w:val="22"/>
              </w:rPr>
              <w:t xml:space="preserve"> SNIS (2010)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4940" w:rsidRPr="00817377" w:rsidRDefault="005D4940" w:rsidP="00F45276">
            <w:pPr>
              <w:jc w:val="center"/>
              <w:rPr>
                <w:sz w:val="22"/>
              </w:rPr>
            </w:pPr>
            <w:r w:rsidRPr="00817377">
              <w:rPr>
                <w:sz w:val="22"/>
              </w:rPr>
              <w:t>Volume de água consumido (m³/ano)</w:t>
            </w:r>
          </w:p>
        </w:tc>
      </w:tr>
      <w:tr w:rsidR="005D4940" w:rsidRPr="0068769F" w:rsidTr="001F74C5">
        <w:trPr>
          <w:trHeight w:val="7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4940" w:rsidRPr="00817377" w:rsidRDefault="005D4940" w:rsidP="00F45276">
            <w:pPr>
              <w:rPr>
                <w:sz w:val="22"/>
              </w:rPr>
            </w:pPr>
            <w:r w:rsidRPr="00817377">
              <w:rPr>
                <w:sz w:val="22"/>
              </w:rPr>
              <w:t>Acesso ao sistema de abastecimento de água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4940" w:rsidRPr="00817377" w:rsidRDefault="005D4940" w:rsidP="00F45276">
            <w:pPr>
              <w:jc w:val="center"/>
              <w:rPr>
                <w:bCs/>
                <w:sz w:val="22"/>
              </w:rPr>
            </w:pPr>
            <w:r w:rsidRPr="0068769F">
              <w:rPr>
                <w:bCs/>
                <w:sz w:val="22"/>
              </w:rPr>
              <w:t>ATLAS BRASIL (2010)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4940" w:rsidRPr="00817377" w:rsidRDefault="005D4940" w:rsidP="00F45276">
            <w:pPr>
              <w:jc w:val="center"/>
              <w:rPr>
                <w:sz w:val="22"/>
              </w:rPr>
            </w:pPr>
            <w:r w:rsidRPr="00817377">
              <w:rPr>
                <w:sz w:val="22"/>
              </w:rPr>
              <w:t>% da população em domicílios com água encanada</w:t>
            </w:r>
          </w:p>
        </w:tc>
      </w:tr>
      <w:tr w:rsidR="005D4940" w:rsidRPr="0068769F" w:rsidTr="001F74C5">
        <w:trPr>
          <w:trHeight w:val="7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4940" w:rsidRPr="00817377" w:rsidRDefault="005D4940" w:rsidP="00F45276">
            <w:pPr>
              <w:rPr>
                <w:sz w:val="22"/>
              </w:rPr>
            </w:pPr>
            <w:r w:rsidRPr="00817377">
              <w:rPr>
                <w:sz w:val="22"/>
              </w:rPr>
              <w:t>Tipo de esgotamento sanitário por domicílio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4940" w:rsidRPr="00817377" w:rsidRDefault="005D4940" w:rsidP="00F45276">
            <w:pPr>
              <w:jc w:val="center"/>
              <w:rPr>
                <w:bCs/>
                <w:sz w:val="22"/>
              </w:rPr>
            </w:pPr>
            <w:r w:rsidRPr="0068769F">
              <w:rPr>
                <w:bCs/>
                <w:sz w:val="22"/>
              </w:rPr>
              <w:t>IBGE (2010)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4940" w:rsidRPr="00817377" w:rsidRDefault="005D4940" w:rsidP="00F45276">
            <w:pPr>
              <w:jc w:val="center"/>
              <w:rPr>
                <w:sz w:val="22"/>
              </w:rPr>
            </w:pPr>
            <w:r w:rsidRPr="00817377">
              <w:rPr>
                <w:sz w:val="22"/>
              </w:rPr>
              <w:t>População residente em domicílios particulares com saneamento inadequado</w:t>
            </w:r>
          </w:p>
        </w:tc>
      </w:tr>
      <w:tr w:rsidR="005D4940" w:rsidRPr="0068769F" w:rsidTr="001F74C5">
        <w:trPr>
          <w:trHeight w:val="46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4940" w:rsidRPr="00817377" w:rsidRDefault="005D4940" w:rsidP="00F45276">
            <w:pPr>
              <w:rPr>
                <w:sz w:val="22"/>
              </w:rPr>
            </w:pPr>
            <w:r w:rsidRPr="00817377">
              <w:rPr>
                <w:sz w:val="22"/>
              </w:rPr>
              <w:t>Acesso a coleta de lixo urbano e rural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4940" w:rsidRPr="00817377" w:rsidRDefault="005D4940" w:rsidP="00F45276">
            <w:pPr>
              <w:jc w:val="center"/>
              <w:rPr>
                <w:bCs/>
                <w:sz w:val="22"/>
              </w:rPr>
            </w:pPr>
            <w:r w:rsidRPr="0068769F">
              <w:rPr>
                <w:bCs/>
                <w:sz w:val="22"/>
              </w:rPr>
              <w:t>ATLAS BRASIL (2010)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D4940" w:rsidRPr="00817377" w:rsidRDefault="005D4940" w:rsidP="00F45276">
            <w:pPr>
              <w:jc w:val="center"/>
              <w:rPr>
                <w:sz w:val="22"/>
              </w:rPr>
            </w:pPr>
            <w:r w:rsidRPr="00817377">
              <w:rPr>
                <w:sz w:val="22"/>
              </w:rPr>
              <w:t>% da população em domicílios com coleta de lixo</w:t>
            </w:r>
          </w:p>
        </w:tc>
      </w:tr>
    </w:tbl>
    <w:p w:rsidR="005D4940" w:rsidRDefault="005D4940" w:rsidP="005D4940">
      <w:pPr>
        <w:spacing w:line="360" w:lineRule="auto"/>
        <w:contextualSpacing/>
        <w:rPr>
          <w:rFonts w:eastAsia="Calibri"/>
          <w:sz w:val="22"/>
          <w:lang w:eastAsia="en-US"/>
        </w:rPr>
      </w:pPr>
      <w:r w:rsidRPr="0068769F">
        <w:rPr>
          <w:rFonts w:eastAsia="Calibri"/>
          <w:sz w:val="22"/>
          <w:lang w:eastAsia="en-US"/>
        </w:rPr>
        <w:t>Fonte: Autores</w:t>
      </w:r>
      <w:r>
        <w:rPr>
          <w:rFonts w:eastAsia="Calibri"/>
          <w:sz w:val="22"/>
          <w:lang w:eastAsia="en-US"/>
        </w:rPr>
        <w:t xml:space="preserve"> (2018).</w:t>
      </w:r>
    </w:p>
    <w:p w:rsidR="00455718" w:rsidRDefault="00F45276" w:rsidP="00FD02B2">
      <w:pPr>
        <w:spacing w:before="24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4940">
        <w:rPr>
          <w:sz w:val="24"/>
          <w:szCs w:val="24"/>
        </w:rPr>
        <w:t>Já os Quadros 09 e 10 contê</w:t>
      </w:r>
      <w:r w:rsidR="007A087A">
        <w:rPr>
          <w:sz w:val="24"/>
          <w:szCs w:val="24"/>
        </w:rPr>
        <w:t xml:space="preserve">m, </w:t>
      </w:r>
      <w:r w:rsidR="005D4940">
        <w:rPr>
          <w:sz w:val="24"/>
          <w:szCs w:val="24"/>
        </w:rPr>
        <w:t>respectivamente</w:t>
      </w:r>
      <w:r w:rsidR="007A087A">
        <w:rPr>
          <w:sz w:val="24"/>
          <w:szCs w:val="24"/>
        </w:rPr>
        <w:t xml:space="preserve">, os valores calculados do IDS para cada variável e para a dimensão </w:t>
      </w:r>
      <w:r w:rsidR="005D4940">
        <w:rPr>
          <w:sz w:val="24"/>
          <w:szCs w:val="24"/>
        </w:rPr>
        <w:t>ambiental</w:t>
      </w:r>
      <w:r w:rsidR="007A087A">
        <w:rPr>
          <w:sz w:val="24"/>
          <w:szCs w:val="24"/>
        </w:rPr>
        <w:t>.</w:t>
      </w:r>
    </w:p>
    <w:p w:rsidR="001F74C5" w:rsidRDefault="001F74C5" w:rsidP="001F74C5">
      <w:pPr>
        <w:spacing w:before="240" w:line="360" w:lineRule="auto"/>
        <w:contextualSpacing/>
        <w:rPr>
          <w:rFonts w:eastAsia="Calibri"/>
          <w:sz w:val="22"/>
          <w:lang w:eastAsia="en-US"/>
        </w:rPr>
      </w:pPr>
    </w:p>
    <w:p w:rsidR="0068769F" w:rsidRPr="005D4940" w:rsidRDefault="008E0DD2" w:rsidP="001F74C5">
      <w:pPr>
        <w:spacing w:before="240" w:line="360" w:lineRule="auto"/>
        <w:contextualSpacing/>
        <w:rPr>
          <w:sz w:val="24"/>
          <w:szCs w:val="24"/>
        </w:rPr>
      </w:pPr>
      <w:r>
        <w:rPr>
          <w:rFonts w:eastAsia="Calibri"/>
          <w:sz w:val="22"/>
          <w:lang w:eastAsia="en-US"/>
        </w:rPr>
        <w:lastRenderedPageBreak/>
        <w:t>Quadro 09</w:t>
      </w:r>
      <w:r w:rsidR="0068769F" w:rsidRPr="0068769F">
        <w:rPr>
          <w:rFonts w:eastAsia="Calibri"/>
          <w:sz w:val="22"/>
          <w:lang w:eastAsia="en-US"/>
        </w:rPr>
        <w:t xml:space="preserve"> – IDS para cada variável ambiental</w:t>
      </w:r>
    </w:p>
    <w:tbl>
      <w:tblPr>
        <w:tblW w:w="96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1134"/>
        <w:gridCol w:w="1326"/>
        <w:gridCol w:w="800"/>
        <w:gridCol w:w="160"/>
        <w:gridCol w:w="692"/>
        <w:gridCol w:w="546"/>
      </w:tblGrid>
      <w:tr w:rsidR="00455718" w:rsidRPr="0068769F" w:rsidTr="001F74C5">
        <w:trPr>
          <w:trHeight w:val="278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5718">
              <w:rPr>
                <w:b/>
                <w:color w:val="000000"/>
                <w:sz w:val="22"/>
                <w:szCs w:val="22"/>
              </w:rPr>
              <w:t>Índice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Índice do municí</w:t>
            </w:r>
            <w:r w:rsidRPr="00455718">
              <w:rPr>
                <w:b/>
                <w:color w:val="000000"/>
                <w:sz w:val="22"/>
                <w:szCs w:val="22"/>
              </w:rPr>
              <w:t>pio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253F">
              <w:rPr>
                <w:b/>
                <w:bCs/>
                <w:color w:val="000000"/>
                <w:sz w:val="22"/>
                <w:szCs w:val="22"/>
              </w:rPr>
              <w:t>Município de Maior Valor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251"/>
              <w:jc w:val="center"/>
              <w:rPr>
                <w:b/>
                <w:color w:val="000000"/>
                <w:sz w:val="22"/>
                <w:szCs w:val="22"/>
              </w:rPr>
            </w:pPr>
            <w:r w:rsidRPr="00455718">
              <w:rPr>
                <w:b/>
                <w:color w:val="000000"/>
                <w:sz w:val="22"/>
                <w:szCs w:val="22"/>
              </w:rPr>
              <w:t>Município de Menor valor</w:t>
            </w:r>
          </w:p>
        </w:tc>
        <w:tc>
          <w:tcPr>
            <w:tcW w:w="160" w:type="dxa"/>
          </w:tcPr>
          <w:p w:rsidR="00455718" w:rsidRPr="00455718" w:rsidRDefault="00455718" w:rsidP="00FD02B2">
            <w:pPr>
              <w:ind w:left="-25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251" w:right="-50"/>
              <w:jc w:val="center"/>
              <w:rPr>
                <w:b/>
                <w:color w:val="000000"/>
                <w:sz w:val="22"/>
                <w:szCs w:val="22"/>
              </w:rPr>
            </w:pPr>
            <w:r w:rsidRPr="00455718">
              <w:rPr>
                <w:b/>
                <w:color w:val="000000"/>
                <w:sz w:val="22"/>
                <w:szCs w:val="22"/>
              </w:rPr>
              <w:t>Sinal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786" w:firstLine="786"/>
              <w:jc w:val="center"/>
              <w:rPr>
                <w:b/>
                <w:color w:val="000000"/>
                <w:sz w:val="22"/>
                <w:szCs w:val="22"/>
              </w:rPr>
            </w:pPr>
            <w:r w:rsidRPr="00455718">
              <w:rPr>
                <w:b/>
                <w:color w:val="000000"/>
                <w:sz w:val="22"/>
                <w:szCs w:val="22"/>
              </w:rPr>
              <w:t>IDS</w:t>
            </w:r>
          </w:p>
        </w:tc>
      </w:tr>
      <w:tr w:rsidR="00455718" w:rsidRPr="0068769F" w:rsidTr="001F74C5">
        <w:trPr>
          <w:trHeight w:val="70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Nº de amostras fora do padrão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786" w:firstLine="786"/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Belém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Ourilândia do norte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251"/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0" w:type="dxa"/>
          </w:tcPr>
          <w:p w:rsidR="00455718" w:rsidRPr="0068769F" w:rsidRDefault="00455718" w:rsidP="00FD02B2">
            <w:pPr>
              <w:ind w:left="-25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251" w:right="-50"/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786" w:firstLine="786"/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5718" w:rsidRPr="0068769F" w:rsidTr="001F74C5">
        <w:trPr>
          <w:trHeight w:val="345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 xml:space="preserve">Volume de água tratado em </w:t>
            </w:r>
            <w:proofErr w:type="spellStart"/>
            <w:r w:rsidRPr="0068769F">
              <w:rPr>
                <w:color w:val="000000"/>
                <w:sz w:val="22"/>
                <w:szCs w:val="22"/>
              </w:rPr>
              <w:t>ETAs</w:t>
            </w:r>
            <w:proofErr w:type="spellEnd"/>
            <w:r w:rsidRPr="0068769F">
              <w:rPr>
                <w:color w:val="000000"/>
                <w:sz w:val="22"/>
                <w:szCs w:val="22"/>
              </w:rPr>
              <w:t xml:space="preserve"> e por simples desinfecção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786" w:firstLine="786"/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109803,43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Belém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109803,43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Ourilândia do norte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251"/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0" w:type="dxa"/>
          </w:tcPr>
          <w:p w:rsidR="00455718" w:rsidRPr="0068769F" w:rsidRDefault="00455718" w:rsidP="00FD02B2">
            <w:pPr>
              <w:ind w:left="-25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251" w:right="-50"/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786" w:firstLine="786"/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455718" w:rsidRPr="0068769F" w:rsidTr="001F74C5">
        <w:trPr>
          <w:trHeight w:val="70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Volume de água consumido (m³/ano)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786" w:firstLine="786"/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41,17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Ourilândia do N</w:t>
            </w:r>
            <w:r w:rsidRPr="0068769F">
              <w:rPr>
                <w:color w:val="000000"/>
                <w:sz w:val="22"/>
                <w:szCs w:val="22"/>
              </w:rPr>
              <w:t>orte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62,69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São Geraldo do A</w:t>
            </w:r>
            <w:r w:rsidRPr="0068769F">
              <w:rPr>
                <w:color w:val="000000"/>
                <w:sz w:val="22"/>
                <w:szCs w:val="22"/>
              </w:rPr>
              <w:t>raguaia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251"/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18,41</w:t>
            </w:r>
          </w:p>
        </w:tc>
        <w:tc>
          <w:tcPr>
            <w:tcW w:w="160" w:type="dxa"/>
          </w:tcPr>
          <w:p w:rsidR="00455718" w:rsidRPr="0068769F" w:rsidRDefault="00455718" w:rsidP="00FD02B2">
            <w:pPr>
              <w:ind w:left="-25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251" w:right="-50"/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786" w:firstLine="786"/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0,49</w:t>
            </w:r>
          </w:p>
        </w:tc>
      </w:tr>
      <w:tr w:rsidR="00455718" w:rsidRPr="0068769F" w:rsidTr="001F74C5">
        <w:trPr>
          <w:trHeight w:val="70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 da população em domicí</w:t>
            </w:r>
            <w:r w:rsidRPr="0068769F">
              <w:rPr>
                <w:color w:val="000000"/>
                <w:sz w:val="22"/>
                <w:szCs w:val="22"/>
              </w:rPr>
              <w:t>lios com água encanada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786" w:firstLine="786"/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96,09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8769F">
              <w:rPr>
                <w:color w:val="000000"/>
                <w:sz w:val="22"/>
                <w:szCs w:val="22"/>
              </w:rPr>
              <w:t>Salvaterra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96,19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Anajás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251"/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21,06</w:t>
            </w:r>
          </w:p>
        </w:tc>
        <w:tc>
          <w:tcPr>
            <w:tcW w:w="160" w:type="dxa"/>
          </w:tcPr>
          <w:p w:rsidR="00455718" w:rsidRPr="0068769F" w:rsidRDefault="00455718" w:rsidP="00FD02B2">
            <w:pPr>
              <w:ind w:left="-25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251" w:right="-50"/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786" w:firstLine="786"/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455718" w:rsidRPr="0068769F" w:rsidTr="001F74C5">
        <w:trPr>
          <w:trHeight w:val="276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População residente em domicílios particulares com saneamento inadequado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786" w:firstLine="786"/>
              <w:jc w:val="center"/>
              <w:rPr>
                <w:sz w:val="22"/>
                <w:szCs w:val="22"/>
              </w:rPr>
            </w:pPr>
            <w:r w:rsidRPr="0068769F">
              <w:rPr>
                <w:sz w:val="22"/>
                <w:szCs w:val="22"/>
              </w:rPr>
              <w:t>17981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Cametá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53970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Magalhães B</w:t>
            </w:r>
            <w:r w:rsidRPr="0068769F">
              <w:rPr>
                <w:color w:val="000000"/>
                <w:sz w:val="22"/>
                <w:szCs w:val="22"/>
              </w:rPr>
              <w:t>arata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251"/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498</w:t>
            </w:r>
          </w:p>
        </w:tc>
        <w:tc>
          <w:tcPr>
            <w:tcW w:w="160" w:type="dxa"/>
          </w:tcPr>
          <w:p w:rsidR="00455718" w:rsidRPr="0068769F" w:rsidRDefault="00455718" w:rsidP="00FD02B2">
            <w:pPr>
              <w:ind w:left="-25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251" w:right="-50"/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786" w:firstLine="786"/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0,67</w:t>
            </w:r>
          </w:p>
        </w:tc>
      </w:tr>
      <w:tr w:rsidR="00455718" w:rsidRPr="00455718" w:rsidTr="001F74C5">
        <w:trPr>
          <w:trHeight w:val="561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% da população em domic</w:t>
            </w:r>
            <w:r w:rsidRPr="00455718">
              <w:rPr>
                <w:color w:val="000000"/>
                <w:sz w:val="22"/>
                <w:szCs w:val="22"/>
              </w:rPr>
              <w:t>í</w:t>
            </w:r>
            <w:r w:rsidRPr="0068769F">
              <w:rPr>
                <w:color w:val="000000"/>
                <w:sz w:val="22"/>
                <w:szCs w:val="22"/>
              </w:rPr>
              <w:t>lios com coleta de lixo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786" w:firstLine="786"/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97,15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jc w:val="center"/>
              <w:rPr>
                <w:color w:val="000000"/>
                <w:sz w:val="22"/>
                <w:szCs w:val="22"/>
              </w:rPr>
            </w:pPr>
            <w:r w:rsidRPr="00455718">
              <w:rPr>
                <w:color w:val="000000"/>
                <w:sz w:val="22"/>
                <w:szCs w:val="22"/>
              </w:rPr>
              <w:t>São João da ponta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55718">
              <w:rPr>
                <w:color w:val="000000"/>
                <w:sz w:val="22"/>
                <w:szCs w:val="22"/>
              </w:rPr>
              <w:t>Curuá</w:t>
            </w:r>
            <w:proofErr w:type="spellEnd"/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251"/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36,72</w:t>
            </w:r>
          </w:p>
        </w:tc>
        <w:tc>
          <w:tcPr>
            <w:tcW w:w="160" w:type="dxa"/>
          </w:tcPr>
          <w:p w:rsidR="00455718" w:rsidRPr="00455718" w:rsidRDefault="00455718" w:rsidP="00FD02B2">
            <w:pPr>
              <w:ind w:left="-25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251" w:right="-50"/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455718" w:rsidRPr="0068769F" w:rsidRDefault="00455718" w:rsidP="00FD02B2">
            <w:pPr>
              <w:ind w:left="-786" w:firstLine="786"/>
              <w:jc w:val="center"/>
              <w:rPr>
                <w:color w:val="000000"/>
                <w:sz w:val="22"/>
                <w:szCs w:val="22"/>
              </w:rPr>
            </w:pPr>
            <w:r w:rsidRPr="0068769F">
              <w:rPr>
                <w:color w:val="000000"/>
                <w:sz w:val="22"/>
                <w:szCs w:val="22"/>
              </w:rPr>
              <w:t>0,95</w:t>
            </w:r>
          </w:p>
        </w:tc>
      </w:tr>
    </w:tbl>
    <w:p w:rsidR="00817377" w:rsidRDefault="00455718" w:rsidP="00FD02B2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 w:rsidRPr="00455718">
        <w:rPr>
          <w:sz w:val="22"/>
          <w:szCs w:val="22"/>
        </w:rPr>
        <w:t>Fonte: Autores</w:t>
      </w:r>
      <w:r w:rsidR="00193334">
        <w:rPr>
          <w:sz w:val="22"/>
          <w:szCs w:val="22"/>
        </w:rPr>
        <w:t xml:space="preserve"> (</w:t>
      </w:r>
      <w:r w:rsidR="005D4940">
        <w:rPr>
          <w:sz w:val="22"/>
          <w:szCs w:val="22"/>
        </w:rPr>
        <w:t>2018).</w:t>
      </w:r>
    </w:p>
    <w:p w:rsidR="007A087A" w:rsidRDefault="008E0DD2" w:rsidP="00C03013">
      <w:pPr>
        <w:ind w:left="708" w:firstLine="708"/>
        <w:rPr>
          <w:sz w:val="22"/>
        </w:rPr>
      </w:pPr>
      <w:r>
        <w:rPr>
          <w:sz w:val="22"/>
        </w:rPr>
        <w:t>Quadro 10</w:t>
      </w:r>
      <w:r w:rsidR="007A087A" w:rsidRPr="007A087A">
        <w:rPr>
          <w:sz w:val="22"/>
        </w:rPr>
        <w:t xml:space="preserve"> – IDS para a dimensão </w:t>
      </w:r>
      <w:r w:rsidR="005D4940">
        <w:rPr>
          <w:sz w:val="22"/>
        </w:rPr>
        <w:t>AMBIENTAL</w:t>
      </w:r>
    </w:p>
    <w:tbl>
      <w:tblPr>
        <w:tblW w:w="6585" w:type="dxa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2"/>
        <w:gridCol w:w="3853"/>
      </w:tblGrid>
      <w:tr w:rsidR="007A087A" w:rsidRPr="007A087A" w:rsidTr="00C03013">
        <w:trPr>
          <w:trHeight w:val="155"/>
          <w:jc w:val="center"/>
        </w:trPr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087A" w:rsidRPr="007A087A" w:rsidRDefault="005D4940" w:rsidP="005D49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IDS</w:t>
            </w:r>
            <w:r w:rsidR="007A087A" w:rsidRPr="007A087A">
              <w:rPr>
                <w:b/>
                <w:bCs/>
                <w:sz w:val="22"/>
                <w:szCs w:val="22"/>
              </w:rPr>
              <w:t xml:space="preserve"> da Dimensão</w:t>
            </w:r>
          </w:p>
        </w:tc>
        <w:tc>
          <w:tcPr>
            <w:tcW w:w="3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087A" w:rsidRPr="007A087A" w:rsidRDefault="007A087A" w:rsidP="005D4940">
            <w:pPr>
              <w:jc w:val="center"/>
              <w:rPr>
                <w:b/>
                <w:bCs/>
                <w:sz w:val="22"/>
                <w:szCs w:val="22"/>
              </w:rPr>
            </w:pPr>
            <w:r w:rsidRPr="007A087A">
              <w:rPr>
                <w:b/>
                <w:bCs/>
                <w:sz w:val="22"/>
                <w:szCs w:val="22"/>
              </w:rPr>
              <w:t>Classificação da Dimensão</w:t>
            </w:r>
          </w:p>
        </w:tc>
      </w:tr>
      <w:tr w:rsidR="007A087A" w:rsidRPr="007A087A" w:rsidTr="00C03013">
        <w:trPr>
          <w:trHeight w:val="438"/>
          <w:jc w:val="center"/>
        </w:trPr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087A" w:rsidRPr="007A087A" w:rsidRDefault="007A087A" w:rsidP="005D49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0,69</w:t>
            </w:r>
          </w:p>
        </w:tc>
        <w:tc>
          <w:tcPr>
            <w:tcW w:w="3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087A" w:rsidRPr="007A087A" w:rsidRDefault="007A087A" w:rsidP="005D49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ACEITÁVEL</w:t>
            </w:r>
          </w:p>
        </w:tc>
      </w:tr>
    </w:tbl>
    <w:p w:rsidR="007A087A" w:rsidRDefault="007A087A" w:rsidP="00C03013">
      <w:pPr>
        <w:ind w:left="708" w:firstLine="708"/>
        <w:rPr>
          <w:sz w:val="22"/>
        </w:rPr>
      </w:pPr>
      <w:r>
        <w:rPr>
          <w:sz w:val="22"/>
        </w:rPr>
        <w:t>Fonte: Autores</w:t>
      </w:r>
      <w:r w:rsidR="005D4940">
        <w:rPr>
          <w:sz w:val="22"/>
        </w:rPr>
        <w:t xml:space="preserve"> (2018).</w:t>
      </w:r>
    </w:p>
    <w:p w:rsidR="005D4940" w:rsidRDefault="005D4940" w:rsidP="00FD02B2">
      <w:pPr>
        <w:rPr>
          <w:sz w:val="22"/>
        </w:rPr>
      </w:pPr>
    </w:p>
    <w:p w:rsidR="00154607" w:rsidRDefault="005D4940" w:rsidP="001546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D4940">
        <w:rPr>
          <w:sz w:val="24"/>
          <w:szCs w:val="24"/>
        </w:rPr>
        <w:t>O valor final encontrado</w:t>
      </w:r>
      <w:r>
        <w:rPr>
          <w:sz w:val="24"/>
          <w:szCs w:val="24"/>
        </w:rPr>
        <w:t xml:space="preserve"> para o IDS ambiental</w:t>
      </w:r>
      <w:r w:rsidRPr="005D4940">
        <w:rPr>
          <w:sz w:val="24"/>
          <w:szCs w:val="24"/>
        </w:rPr>
        <w:t xml:space="preserve">, tido como aceitável, deve-se majoritariamente ao fato de que a maior parte das variáveis </w:t>
      </w:r>
      <w:proofErr w:type="spellStart"/>
      <w:r w:rsidRPr="005D4940">
        <w:rPr>
          <w:sz w:val="24"/>
          <w:szCs w:val="24"/>
        </w:rPr>
        <w:t>esta</w:t>
      </w:r>
      <w:proofErr w:type="spellEnd"/>
      <w:r w:rsidRPr="005D4940">
        <w:rPr>
          <w:sz w:val="24"/>
          <w:szCs w:val="24"/>
        </w:rPr>
        <w:t xml:space="preserve"> relacionada ao saneamento urbano, temática </w:t>
      </w:r>
      <w:r w:rsidR="00660DF5" w:rsidRPr="005D4940">
        <w:rPr>
          <w:sz w:val="24"/>
          <w:szCs w:val="24"/>
        </w:rPr>
        <w:t>está</w:t>
      </w:r>
      <w:r w:rsidRPr="005D4940">
        <w:rPr>
          <w:sz w:val="24"/>
          <w:szCs w:val="24"/>
        </w:rPr>
        <w:t xml:space="preserve"> extremamente problemática para a maior parte dos municípios </w:t>
      </w:r>
      <w:r>
        <w:rPr>
          <w:sz w:val="24"/>
          <w:szCs w:val="24"/>
        </w:rPr>
        <w:t>paraenses</w:t>
      </w:r>
      <w:r w:rsidRPr="005D4940">
        <w:rPr>
          <w:sz w:val="24"/>
          <w:szCs w:val="24"/>
        </w:rPr>
        <w:t>. Por</w:t>
      </w:r>
      <w:r>
        <w:rPr>
          <w:sz w:val="24"/>
          <w:szCs w:val="24"/>
        </w:rPr>
        <w:t>tanto, Belém, quando comparada à</w:t>
      </w:r>
      <w:r w:rsidRPr="005D4940">
        <w:rPr>
          <w:sz w:val="24"/>
          <w:szCs w:val="24"/>
        </w:rPr>
        <w:t xml:space="preserve">s demais cidades </w:t>
      </w:r>
      <w:r>
        <w:rPr>
          <w:sz w:val="24"/>
          <w:szCs w:val="24"/>
        </w:rPr>
        <w:t>do estado</w:t>
      </w:r>
      <w:r w:rsidRPr="005D4940">
        <w:rPr>
          <w:sz w:val="24"/>
          <w:szCs w:val="24"/>
        </w:rPr>
        <w:t>, apresenta um</w:t>
      </w:r>
      <w:r>
        <w:rPr>
          <w:sz w:val="24"/>
          <w:szCs w:val="24"/>
        </w:rPr>
        <w:t>a rede de saneamento maior</w:t>
      </w:r>
      <w:r w:rsidRPr="005D4940">
        <w:rPr>
          <w:sz w:val="24"/>
          <w:szCs w:val="24"/>
        </w:rPr>
        <w:t>, não sendo</w:t>
      </w:r>
      <w:r>
        <w:rPr>
          <w:sz w:val="24"/>
          <w:szCs w:val="24"/>
        </w:rPr>
        <w:t>,</w:t>
      </w:r>
      <w:r w:rsidRPr="005D4940">
        <w:rPr>
          <w:sz w:val="24"/>
          <w:szCs w:val="24"/>
        </w:rPr>
        <w:t xml:space="preserve"> porém</w:t>
      </w:r>
      <w:r>
        <w:rPr>
          <w:sz w:val="24"/>
          <w:szCs w:val="24"/>
        </w:rPr>
        <w:t>,</w:t>
      </w:r>
      <w:r w:rsidRPr="005D4940">
        <w:rPr>
          <w:sz w:val="24"/>
          <w:szCs w:val="24"/>
        </w:rPr>
        <w:t xml:space="preserve"> indicativo de um quadro de sustentabilidade ambiental</w:t>
      </w:r>
      <w:r>
        <w:rPr>
          <w:sz w:val="24"/>
          <w:szCs w:val="24"/>
        </w:rPr>
        <w:t>, mas sim de mensuração de realidades urbanas distintas</w:t>
      </w:r>
      <w:r w:rsidRPr="005D4940">
        <w:rPr>
          <w:sz w:val="24"/>
          <w:szCs w:val="24"/>
        </w:rPr>
        <w:t>.</w:t>
      </w:r>
    </w:p>
    <w:p w:rsidR="00154607" w:rsidRDefault="007A087A" w:rsidP="001546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 </w:t>
      </w:r>
      <w:r w:rsidR="008E0DD2">
        <w:rPr>
          <w:sz w:val="24"/>
          <w:szCs w:val="24"/>
        </w:rPr>
        <w:t xml:space="preserve">DEFINIÇÃO DO </w:t>
      </w:r>
      <w:r>
        <w:rPr>
          <w:sz w:val="24"/>
          <w:szCs w:val="24"/>
        </w:rPr>
        <w:t>ÍNDICE DE DESENVOLVIMENTO SUSTENTÁVEL DO MUNICÍPIO</w:t>
      </w:r>
      <w:r w:rsidR="008E0DD2">
        <w:rPr>
          <w:sz w:val="24"/>
          <w:szCs w:val="24"/>
        </w:rPr>
        <w:t xml:space="preserve"> DE BELÉM (IDSM)</w:t>
      </w:r>
    </w:p>
    <w:p w:rsidR="008E0DD2" w:rsidRPr="00193334" w:rsidRDefault="008E0DD2" w:rsidP="0015460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Observa-se, a partir do Quadro 11,</w:t>
      </w:r>
      <w:r w:rsidR="007B27A6">
        <w:rPr>
          <w:sz w:val="24"/>
          <w:szCs w:val="24"/>
        </w:rPr>
        <w:t xml:space="preserve"> que o valor </w:t>
      </w:r>
      <w:r>
        <w:rPr>
          <w:sz w:val="24"/>
          <w:szCs w:val="24"/>
        </w:rPr>
        <w:t xml:space="preserve">encontrado para o IDSM de Belém é </w:t>
      </w:r>
      <w:r w:rsidR="007B27A6">
        <w:rPr>
          <w:sz w:val="24"/>
          <w:szCs w:val="24"/>
        </w:rPr>
        <w:t>considerado aceitável</w:t>
      </w:r>
      <w:r>
        <w:rPr>
          <w:sz w:val="24"/>
          <w:szCs w:val="24"/>
        </w:rPr>
        <w:t xml:space="preserve"> para o cenário paraense. Diante disso, </w:t>
      </w:r>
      <w:r w:rsidR="00DD70E2">
        <w:rPr>
          <w:sz w:val="24"/>
          <w:szCs w:val="24"/>
        </w:rPr>
        <w:t xml:space="preserve">salienta-se que tal quadro pode ser explicado pelo fato de o </w:t>
      </w:r>
      <w:r>
        <w:rPr>
          <w:sz w:val="24"/>
          <w:szCs w:val="24"/>
        </w:rPr>
        <w:t xml:space="preserve">grau de desenvolvimento urbano </w:t>
      </w:r>
      <w:r w:rsidR="00DD70E2">
        <w:rPr>
          <w:sz w:val="24"/>
          <w:szCs w:val="24"/>
        </w:rPr>
        <w:t xml:space="preserve">da capital do Pará </w:t>
      </w:r>
      <w:r>
        <w:rPr>
          <w:sz w:val="24"/>
          <w:szCs w:val="24"/>
        </w:rPr>
        <w:t>é mais intenso do que na maioria dos munícipios do estado, beneficiando-se da comparação com realidades urbanas mais vulneráveis.</w:t>
      </w:r>
    </w:p>
    <w:p w:rsidR="008E0DD2" w:rsidRDefault="00C03013" w:rsidP="00C03013">
      <w:pPr>
        <w:ind w:left="708" w:firstLine="708"/>
        <w:rPr>
          <w:sz w:val="22"/>
        </w:rPr>
      </w:pPr>
      <w:r>
        <w:rPr>
          <w:sz w:val="22"/>
        </w:rPr>
        <w:lastRenderedPageBreak/>
        <w:t>Quadro 11</w:t>
      </w:r>
      <w:r w:rsidR="008E0DD2" w:rsidRPr="0052676A">
        <w:rPr>
          <w:sz w:val="22"/>
        </w:rPr>
        <w:t xml:space="preserve"> – IDSM</w:t>
      </w:r>
      <w:r w:rsidR="008E0DD2">
        <w:rPr>
          <w:sz w:val="22"/>
        </w:rPr>
        <w:t xml:space="preserve"> de Belém</w:t>
      </w:r>
    </w:p>
    <w:tbl>
      <w:tblPr>
        <w:tblpPr w:leftFromText="141" w:rightFromText="141" w:vertAnchor="text" w:horzAnchor="margin" w:tblpXSpec="center" w:tblpY="28"/>
        <w:tblW w:w="6616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3709"/>
      </w:tblGrid>
      <w:tr w:rsidR="00154607" w:rsidRPr="007A087A" w:rsidTr="00C03013">
        <w:trPr>
          <w:trHeight w:val="142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607" w:rsidRPr="007A087A" w:rsidRDefault="00154607" w:rsidP="001546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676A">
              <w:rPr>
                <w:b/>
                <w:bCs/>
                <w:color w:val="000000"/>
                <w:sz w:val="22"/>
                <w:szCs w:val="22"/>
              </w:rPr>
              <w:t>IDSM final</w:t>
            </w:r>
          </w:p>
        </w:tc>
        <w:tc>
          <w:tcPr>
            <w:tcW w:w="3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607" w:rsidRPr="007A087A" w:rsidRDefault="00154607" w:rsidP="001546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676A">
              <w:rPr>
                <w:b/>
                <w:bCs/>
                <w:color w:val="000000"/>
                <w:sz w:val="22"/>
                <w:szCs w:val="22"/>
              </w:rPr>
              <w:t>Categoria do IDSM</w:t>
            </w:r>
          </w:p>
        </w:tc>
      </w:tr>
      <w:tr w:rsidR="00154607" w:rsidRPr="007A087A" w:rsidTr="00C03013">
        <w:trPr>
          <w:trHeight w:val="396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607" w:rsidRPr="007A087A" w:rsidRDefault="00154607" w:rsidP="001546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087A">
              <w:rPr>
                <w:bCs/>
                <w:color w:val="000000"/>
                <w:sz w:val="22"/>
                <w:szCs w:val="22"/>
              </w:rPr>
              <w:t>0,66</w:t>
            </w:r>
          </w:p>
        </w:tc>
        <w:tc>
          <w:tcPr>
            <w:tcW w:w="3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607" w:rsidRPr="007A087A" w:rsidRDefault="00154607" w:rsidP="001546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087A">
              <w:rPr>
                <w:bCs/>
                <w:color w:val="000000"/>
                <w:sz w:val="22"/>
                <w:szCs w:val="22"/>
              </w:rPr>
              <w:t>ACEITÁVEL</w:t>
            </w:r>
          </w:p>
        </w:tc>
      </w:tr>
    </w:tbl>
    <w:p w:rsidR="008E0DD2" w:rsidRPr="0052676A" w:rsidRDefault="008E0DD2" w:rsidP="008E0DD2">
      <w:pPr>
        <w:rPr>
          <w:sz w:val="22"/>
        </w:rPr>
      </w:pPr>
    </w:p>
    <w:p w:rsidR="008E0DD2" w:rsidRDefault="008E0DD2" w:rsidP="008E0DD2">
      <w:pPr>
        <w:rPr>
          <w:sz w:val="22"/>
        </w:rPr>
      </w:pPr>
    </w:p>
    <w:p w:rsidR="008E0DD2" w:rsidRDefault="008E0DD2" w:rsidP="008E0DD2">
      <w:pPr>
        <w:rPr>
          <w:sz w:val="22"/>
        </w:rPr>
      </w:pPr>
    </w:p>
    <w:p w:rsidR="008E0DD2" w:rsidRPr="008E0DD2" w:rsidRDefault="008E0DD2" w:rsidP="00C03013">
      <w:pPr>
        <w:ind w:left="708" w:firstLine="708"/>
        <w:rPr>
          <w:sz w:val="22"/>
        </w:rPr>
      </w:pPr>
      <w:r>
        <w:rPr>
          <w:sz w:val="22"/>
        </w:rPr>
        <w:t>Fonte: Autores</w:t>
      </w:r>
      <w:r w:rsidR="007D219E">
        <w:rPr>
          <w:sz w:val="22"/>
        </w:rPr>
        <w:t xml:space="preserve"> </w:t>
      </w:r>
      <w:r w:rsidR="007D219E">
        <w:rPr>
          <w:sz w:val="24"/>
          <w:szCs w:val="24"/>
        </w:rPr>
        <w:t>(2018)</w:t>
      </w:r>
    </w:p>
    <w:p w:rsidR="008B0CF3" w:rsidRDefault="008E0DD2" w:rsidP="008B0CF3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7CB5">
        <w:rPr>
          <w:sz w:val="24"/>
          <w:szCs w:val="24"/>
        </w:rPr>
        <w:t xml:space="preserve">Novamente, é crucial salientar que o </w:t>
      </w:r>
      <w:r>
        <w:rPr>
          <w:sz w:val="24"/>
          <w:szCs w:val="24"/>
        </w:rPr>
        <w:t>IDSM</w:t>
      </w:r>
      <w:r w:rsidR="007E7CB5">
        <w:rPr>
          <w:sz w:val="24"/>
          <w:szCs w:val="24"/>
        </w:rPr>
        <w:t xml:space="preserve"> tem </w:t>
      </w:r>
      <w:r>
        <w:rPr>
          <w:sz w:val="24"/>
          <w:szCs w:val="24"/>
        </w:rPr>
        <w:t>como</w:t>
      </w:r>
      <w:r w:rsidR="007E7CB5">
        <w:rPr>
          <w:sz w:val="24"/>
          <w:szCs w:val="24"/>
        </w:rPr>
        <w:t xml:space="preserve"> base uma análise </w:t>
      </w:r>
      <w:r w:rsidR="00193334">
        <w:rPr>
          <w:sz w:val="24"/>
          <w:szCs w:val="24"/>
        </w:rPr>
        <w:t>quantitativo-comparativa</w:t>
      </w:r>
      <w:r w:rsidR="007E7CB5">
        <w:rPr>
          <w:sz w:val="24"/>
          <w:szCs w:val="24"/>
        </w:rPr>
        <w:t xml:space="preserve">, que demonstra a posição da cidade em relação ao cenário </w:t>
      </w:r>
      <w:r>
        <w:rPr>
          <w:sz w:val="24"/>
          <w:szCs w:val="24"/>
        </w:rPr>
        <w:t>do estado o qual ela pertence</w:t>
      </w:r>
      <w:r w:rsidR="007E7CB5">
        <w:rPr>
          <w:sz w:val="24"/>
          <w:szCs w:val="24"/>
        </w:rPr>
        <w:t xml:space="preserve">. </w:t>
      </w:r>
      <w:r>
        <w:rPr>
          <w:sz w:val="24"/>
          <w:szCs w:val="24"/>
        </w:rPr>
        <w:t>Observa-se, a partir desse aspecto, que e</w:t>
      </w:r>
      <w:r w:rsidR="007E7CB5">
        <w:rPr>
          <w:sz w:val="24"/>
          <w:szCs w:val="24"/>
        </w:rPr>
        <w:t>ssa car</w:t>
      </w:r>
      <w:r w:rsidR="00033767">
        <w:rPr>
          <w:sz w:val="24"/>
          <w:szCs w:val="24"/>
        </w:rPr>
        <w:t xml:space="preserve">acterística é importante para uma </w:t>
      </w:r>
      <w:r>
        <w:rPr>
          <w:sz w:val="24"/>
          <w:szCs w:val="24"/>
        </w:rPr>
        <w:t>análise</w:t>
      </w:r>
      <w:r w:rsidR="00033767">
        <w:rPr>
          <w:sz w:val="24"/>
          <w:szCs w:val="24"/>
        </w:rPr>
        <w:t xml:space="preserve"> crítica do </w:t>
      </w:r>
      <w:r w:rsidR="007E7CB5">
        <w:rPr>
          <w:sz w:val="24"/>
          <w:szCs w:val="24"/>
        </w:rPr>
        <w:t>valor final, pois</w:t>
      </w:r>
      <w:r>
        <w:rPr>
          <w:sz w:val="24"/>
          <w:szCs w:val="24"/>
        </w:rPr>
        <w:t>,</w:t>
      </w:r>
      <w:r w:rsidR="007E7CB5">
        <w:rPr>
          <w:sz w:val="24"/>
          <w:szCs w:val="24"/>
        </w:rPr>
        <w:t xml:space="preserve"> apesar da classificação </w:t>
      </w:r>
      <w:r w:rsidR="00033767">
        <w:rPr>
          <w:sz w:val="24"/>
          <w:szCs w:val="24"/>
        </w:rPr>
        <w:t xml:space="preserve">do </w:t>
      </w:r>
      <w:r>
        <w:rPr>
          <w:sz w:val="24"/>
          <w:szCs w:val="24"/>
        </w:rPr>
        <w:t>IDSM de Belém ser “Aceitável”</w:t>
      </w:r>
      <w:r w:rsidR="00033767">
        <w:rPr>
          <w:sz w:val="24"/>
          <w:szCs w:val="24"/>
        </w:rPr>
        <w:t xml:space="preserve">, </w:t>
      </w:r>
      <w:r>
        <w:rPr>
          <w:sz w:val="24"/>
          <w:szCs w:val="24"/>
        </w:rPr>
        <w:t>nota-se que o mesmo não demonstra o real desenvolvimento sustentável de uma cidade, mas sim afere o quanto um município está sustentável em escala pré-determinada</w:t>
      </w:r>
      <w:r w:rsidR="00033767">
        <w:rPr>
          <w:sz w:val="24"/>
          <w:szCs w:val="24"/>
        </w:rPr>
        <w:t xml:space="preserve">. </w:t>
      </w:r>
    </w:p>
    <w:p w:rsidR="007E7CB5" w:rsidRPr="00F83285" w:rsidRDefault="008B0CF3" w:rsidP="008B0CF3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0DD2">
        <w:rPr>
          <w:sz w:val="24"/>
          <w:szCs w:val="24"/>
        </w:rPr>
        <w:t>Por essa ótica</w:t>
      </w:r>
      <w:r w:rsidR="00033767">
        <w:rPr>
          <w:sz w:val="24"/>
          <w:szCs w:val="24"/>
        </w:rPr>
        <w:t xml:space="preserve">, </w:t>
      </w:r>
      <w:r w:rsidR="008E0DD2">
        <w:rPr>
          <w:sz w:val="24"/>
          <w:szCs w:val="24"/>
        </w:rPr>
        <w:t xml:space="preserve">concebe-se que o IDSM de Belém </w:t>
      </w:r>
      <w:r w:rsidR="00033767">
        <w:rPr>
          <w:sz w:val="24"/>
          <w:szCs w:val="24"/>
        </w:rPr>
        <w:t xml:space="preserve">seria diferente se </w:t>
      </w:r>
      <w:r w:rsidR="008E0DD2">
        <w:rPr>
          <w:sz w:val="24"/>
          <w:szCs w:val="24"/>
        </w:rPr>
        <w:t xml:space="preserve">fossem comparados </w:t>
      </w:r>
      <w:r>
        <w:rPr>
          <w:sz w:val="24"/>
          <w:szCs w:val="24"/>
        </w:rPr>
        <w:t>dados de cidades de diferentes estados, uma vez que os cenários de atendimento às variáveis seriam distintos. Com isso, afirma-se que a apli</w:t>
      </w:r>
      <w:r w:rsidR="002A4747">
        <w:rPr>
          <w:sz w:val="24"/>
          <w:szCs w:val="24"/>
        </w:rPr>
        <w:t>cação deste método é restringida</w:t>
      </w:r>
      <w:r>
        <w:rPr>
          <w:sz w:val="24"/>
          <w:szCs w:val="24"/>
        </w:rPr>
        <w:t xml:space="preserve"> a uma observação regional da sustentabilidade local, </w:t>
      </w:r>
      <w:r w:rsidR="00033767">
        <w:rPr>
          <w:sz w:val="24"/>
          <w:szCs w:val="24"/>
        </w:rPr>
        <w:t xml:space="preserve">não sendo possível utilizar os valores </w:t>
      </w:r>
      <w:r>
        <w:rPr>
          <w:sz w:val="24"/>
          <w:szCs w:val="24"/>
        </w:rPr>
        <w:t>encontrados</w:t>
      </w:r>
      <w:r w:rsidR="00547CF3">
        <w:rPr>
          <w:sz w:val="24"/>
          <w:szCs w:val="24"/>
        </w:rPr>
        <w:t xml:space="preserve"> </w:t>
      </w:r>
      <w:r>
        <w:rPr>
          <w:sz w:val="24"/>
          <w:szCs w:val="24"/>
        </w:rPr>
        <w:t>para transmitir com fidelidade o desenvolvimento sustentável promovido pelo município</w:t>
      </w:r>
      <w:r w:rsidR="00033767">
        <w:rPr>
          <w:sz w:val="24"/>
          <w:szCs w:val="24"/>
        </w:rPr>
        <w:t>.</w:t>
      </w:r>
    </w:p>
    <w:p w:rsidR="00344C22" w:rsidRDefault="00344C22" w:rsidP="008B0CF3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 CONSIDERAÇÕES FINAIS</w:t>
      </w:r>
    </w:p>
    <w:p w:rsidR="00BB6DBB" w:rsidRDefault="00E8669B" w:rsidP="008B0CF3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B0CF3">
        <w:rPr>
          <w:sz w:val="24"/>
          <w:szCs w:val="24"/>
        </w:rPr>
        <w:t xml:space="preserve">Em termos comparativos, a realidade social da capital paraense demonstra ser mais desenvolvida do que nos municípios do interior do estado, essencialmente no que tange à educação, saúde moradia. Já a realidade econômica apresenta altos índices de desigualdade de renda e monotonia industrial e comercial, o que torna o desenvolvimento econômico de Belém estagnado ou em retrocesso, quando comparado a realidades de municípios como Parauapebas ou Ulianópolis. Por fim, a realidade ambiental é </w:t>
      </w:r>
      <w:r w:rsidR="00467FC0">
        <w:rPr>
          <w:sz w:val="24"/>
          <w:szCs w:val="24"/>
        </w:rPr>
        <w:t>considerada analiticamente aceitável</w:t>
      </w:r>
      <w:r w:rsidR="008B0CF3">
        <w:rPr>
          <w:sz w:val="24"/>
          <w:szCs w:val="24"/>
        </w:rPr>
        <w:t>,</w:t>
      </w:r>
      <w:r w:rsidR="00467FC0">
        <w:rPr>
          <w:sz w:val="24"/>
          <w:szCs w:val="24"/>
        </w:rPr>
        <w:t xml:space="preserve"> fato este discordante de uma realidade onde apenas 3% dos domicílios urbanos são a</w:t>
      </w:r>
      <w:r w:rsidR="00193334">
        <w:rPr>
          <w:sz w:val="24"/>
          <w:szCs w:val="24"/>
        </w:rPr>
        <w:t>tendidos por uma rede básica</w:t>
      </w:r>
      <w:r w:rsidR="00467FC0">
        <w:rPr>
          <w:sz w:val="24"/>
          <w:szCs w:val="24"/>
        </w:rPr>
        <w:t xml:space="preserve"> de coleta de esgoto.</w:t>
      </w:r>
    </w:p>
    <w:p w:rsidR="00467FC0" w:rsidRDefault="00467FC0" w:rsidP="008B0CF3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isso, conclui-se que o método de </w:t>
      </w:r>
      <w:r w:rsidRPr="0068769F">
        <w:rPr>
          <w:sz w:val="22"/>
          <w:szCs w:val="24"/>
        </w:rPr>
        <w:t>Martins e Cândido (2008)</w:t>
      </w:r>
      <w:r>
        <w:rPr>
          <w:sz w:val="22"/>
          <w:szCs w:val="24"/>
        </w:rPr>
        <w:t xml:space="preserve"> apresenta restrições, tanto analíticas quanto metodológicas, uma vez que o índice obtido é fruto de interações entre municípios de um campo amostral pré-definido, podendo não refletir, necessariamente, índices satisfatórios de desenvolvimento sustentável. Dessa forma, sugere-se atenção na utilização do mesmo quando analisado determinado município, uma vez que os resultados obtidos podem apresentar uma cidade analiticamente viável, porém humanamente insustentável.</w:t>
      </w:r>
    </w:p>
    <w:p w:rsidR="008B0CF3" w:rsidRPr="0071394B" w:rsidRDefault="008B0CF3" w:rsidP="008B0CF3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:rsidR="00344C22" w:rsidRPr="00BB6DBB" w:rsidRDefault="00344C22" w:rsidP="008B0CF3">
      <w:pPr>
        <w:tabs>
          <w:tab w:val="left" w:pos="709"/>
        </w:tabs>
        <w:spacing w:line="360" w:lineRule="auto"/>
        <w:jc w:val="both"/>
        <w:rPr>
          <w:b/>
          <w:sz w:val="24"/>
          <w:szCs w:val="24"/>
        </w:rPr>
      </w:pPr>
      <w:r w:rsidRPr="00BB6DBB">
        <w:rPr>
          <w:b/>
          <w:sz w:val="24"/>
          <w:szCs w:val="24"/>
        </w:rPr>
        <w:lastRenderedPageBreak/>
        <w:t>REFERÊNCIAS</w:t>
      </w:r>
    </w:p>
    <w:p w:rsidR="00467FC0" w:rsidRDefault="00467FC0" w:rsidP="008B0CF3">
      <w:pPr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ab/>
      </w:r>
    </w:p>
    <w:p w:rsidR="00467FC0" w:rsidRDefault="00467FC0" w:rsidP="008B0CF3">
      <w:pPr>
        <w:jc w:val="both"/>
        <w:rPr>
          <w:rFonts w:eastAsia="Calibri"/>
          <w:noProof/>
          <w:sz w:val="24"/>
          <w:szCs w:val="24"/>
        </w:rPr>
      </w:pPr>
      <w:r w:rsidRPr="00BB6DBB">
        <w:rPr>
          <w:rFonts w:eastAsia="Calibri"/>
          <w:noProof/>
          <w:sz w:val="24"/>
          <w:szCs w:val="24"/>
        </w:rPr>
        <w:t xml:space="preserve">ATLAS BRASIL. </w:t>
      </w:r>
      <w:r w:rsidRPr="00BB6DBB">
        <w:rPr>
          <w:rFonts w:eastAsia="Calibri"/>
          <w:b/>
          <w:noProof/>
          <w:sz w:val="24"/>
          <w:szCs w:val="24"/>
        </w:rPr>
        <w:t xml:space="preserve">Indicadores </w:t>
      </w:r>
      <w:r>
        <w:rPr>
          <w:rFonts w:eastAsia="Calibri"/>
          <w:b/>
          <w:noProof/>
          <w:sz w:val="24"/>
          <w:szCs w:val="24"/>
        </w:rPr>
        <w:t xml:space="preserve">do </w:t>
      </w:r>
      <w:r w:rsidRPr="00BB6DBB">
        <w:rPr>
          <w:rFonts w:eastAsia="Calibri"/>
          <w:b/>
          <w:noProof/>
          <w:sz w:val="24"/>
          <w:szCs w:val="24"/>
        </w:rPr>
        <w:t>IBGE 2010</w:t>
      </w:r>
      <w:r w:rsidRPr="00BB6DBB">
        <w:rPr>
          <w:rFonts w:eastAsia="Calibri"/>
          <w:noProof/>
          <w:sz w:val="24"/>
          <w:szCs w:val="24"/>
        </w:rPr>
        <w:t xml:space="preserve">. Disponível em:  &lt;http://www.atlasbrasil.org.br/2013/pt/consulta/&gt;. Acesso em 08 </w:t>
      </w:r>
      <w:r>
        <w:rPr>
          <w:rFonts w:eastAsia="Calibri"/>
          <w:noProof/>
          <w:sz w:val="24"/>
          <w:szCs w:val="24"/>
        </w:rPr>
        <w:t>set.</w:t>
      </w:r>
      <w:r w:rsidRPr="00BB6DBB">
        <w:rPr>
          <w:rFonts w:eastAsia="Calibri"/>
          <w:noProof/>
          <w:sz w:val="24"/>
          <w:szCs w:val="24"/>
        </w:rPr>
        <w:t xml:space="preserve"> 2018</w:t>
      </w:r>
      <w:r>
        <w:rPr>
          <w:rFonts w:eastAsia="Calibri"/>
          <w:noProof/>
          <w:sz w:val="24"/>
          <w:szCs w:val="24"/>
        </w:rPr>
        <w:t>.</w:t>
      </w:r>
    </w:p>
    <w:p w:rsidR="00467FC0" w:rsidRDefault="00467FC0" w:rsidP="008B0CF3">
      <w:pPr>
        <w:jc w:val="both"/>
        <w:rPr>
          <w:rFonts w:eastAsia="Calibri"/>
          <w:noProof/>
          <w:sz w:val="24"/>
          <w:szCs w:val="24"/>
        </w:rPr>
      </w:pPr>
    </w:p>
    <w:p w:rsidR="00193334" w:rsidRDefault="00193334" w:rsidP="008B0CF3">
      <w:pPr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>BRASIL</w:t>
      </w:r>
      <w:r w:rsidRPr="00BB6DBB">
        <w:rPr>
          <w:rFonts w:eastAsia="Calibri"/>
          <w:noProof/>
          <w:sz w:val="24"/>
          <w:szCs w:val="24"/>
        </w:rPr>
        <w:t xml:space="preserve">. </w:t>
      </w:r>
      <w:r w:rsidRPr="00BB6DBB">
        <w:rPr>
          <w:rFonts w:eastAsia="Calibri"/>
          <w:b/>
          <w:noProof/>
          <w:sz w:val="24"/>
          <w:szCs w:val="24"/>
        </w:rPr>
        <w:t xml:space="preserve">Balança comercial brasileira: Municípios. </w:t>
      </w:r>
      <w:r w:rsidRPr="00BB6DBB">
        <w:rPr>
          <w:rFonts w:eastAsia="Calibri"/>
          <w:noProof/>
          <w:sz w:val="24"/>
          <w:szCs w:val="24"/>
        </w:rPr>
        <w:t xml:space="preserve">Disponível em: &lt;http://www.mdic.gov.br/comercio-exterior/estatisticas-de-comercio-exterior/balanca-comercial-brasileira-municipios?item=2010-12&gt;. Acesso em 08 </w:t>
      </w:r>
      <w:r>
        <w:rPr>
          <w:rFonts w:eastAsia="Calibri"/>
          <w:noProof/>
          <w:sz w:val="24"/>
          <w:szCs w:val="24"/>
        </w:rPr>
        <w:t>set.</w:t>
      </w:r>
      <w:r w:rsidRPr="00BB6DBB">
        <w:rPr>
          <w:rFonts w:eastAsia="Calibri"/>
          <w:noProof/>
          <w:sz w:val="24"/>
          <w:szCs w:val="24"/>
        </w:rPr>
        <w:t xml:space="preserve"> 2018</w:t>
      </w:r>
      <w:r>
        <w:rPr>
          <w:rFonts w:eastAsia="Calibri"/>
          <w:noProof/>
          <w:sz w:val="24"/>
          <w:szCs w:val="24"/>
        </w:rPr>
        <w:t>.</w:t>
      </w:r>
      <w:r>
        <w:rPr>
          <w:rFonts w:eastAsia="Calibri"/>
          <w:noProof/>
          <w:sz w:val="24"/>
          <w:szCs w:val="24"/>
        </w:rPr>
        <w:tab/>
      </w:r>
    </w:p>
    <w:p w:rsidR="00193334" w:rsidRDefault="00193334" w:rsidP="008B0CF3">
      <w:pPr>
        <w:jc w:val="both"/>
        <w:rPr>
          <w:rFonts w:eastAsia="Calibri"/>
          <w:noProof/>
          <w:sz w:val="24"/>
          <w:szCs w:val="24"/>
        </w:rPr>
      </w:pPr>
    </w:p>
    <w:p w:rsidR="00467FC0" w:rsidRDefault="00467FC0" w:rsidP="008B0CF3">
      <w:pPr>
        <w:jc w:val="both"/>
        <w:rPr>
          <w:rFonts w:eastAsia="Calibri"/>
          <w:noProof/>
          <w:sz w:val="24"/>
          <w:szCs w:val="24"/>
        </w:rPr>
      </w:pPr>
      <w:r w:rsidRPr="00BB6DBB">
        <w:rPr>
          <w:rFonts w:eastAsia="Calibri"/>
          <w:noProof/>
          <w:sz w:val="24"/>
          <w:szCs w:val="24"/>
        </w:rPr>
        <w:t xml:space="preserve">BRASIL. </w:t>
      </w:r>
      <w:r w:rsidRPr="00BB6DBB">
        <w:rPr>
          <w:rFonts w:eastAsia="Calibri"/>
          <w:b/>
          <w:noProof/>
          <w:sz w:val="24"/>
          <w:szCs w:val="24"/>
        </w:rPr>
        <w:t>Matriz de Informação Social.</w:t>
      </w:r>
      <w:r w:rsidRPr="00BB6DBB">
        <w:rPr>
          <w:rFonts w:eastAsia="Calibri"/>
          <w:noProof/>
          <w:sz w:val="24"/>
          <w:szCs w:val="24"/>
        </w:rPr>
        <w:t xml:space="preserve"> Disponível em: &lt;http://aplicacoes.mds.gov.br/sagi-data/misocial/tabelas/mi_social.php&gt;. </w:t>
      </w:r>
      <w:r>
        <w:rPr>
          <w:rFonts w:eastAsia="Calibri"/>
          <w:noProof/>
          <w:sz w:val="24"/>
          <w:szCs w:val="24"/>
        </w:rPr>
        <w:t xml:space="preserve">Acesso em 08 set. </w:t>
      </w:r>
      <w:r w:rsidRPr="00BB6DBB">
        <w:rPr>
          <w:rFonts w:eastAsia="Calibri"/>
          <w:noProof/>
          <w:sz w:val="24"/>
          <w:szCs w:val="24"/>
        </w:rPr>
        <w:t>2018.</w:t>
      </w:r>
    </w:p>
    <w:p w:rsidR="00467FC0" w:rsidRPr="00BB6DBB" w:rsidRDefault="00467FC0" w:rsidP="008B0CF3">
      <w:pPr>
        <w:jc w:val="both"/>
        <w:rPr>
          <w:rFonts w:eastAsia="Calibri"/>
          <w:noProof/>
          <w:sz w:val="24"/>
          <w:szCs w:val="24"/>
        </w:rPr>
      </w:pPr>
      <w:bookmarkStart w:id="0" w:name="_GoBack"/>
      <w:bookmarkEnd w:id="0"/>
    </w:p>
    <w:p w:rsidR="009A33FB" w:rsidRDefault="009A33FB" w:rsidP="008B0CF3">
      <w:pPr>
        <w:jc w:val="both"/>
        <w:rPr>
          <w:rFonts w:eastAsia="Calibri"/>
          <w:noProof/>
          <w:sz w:val="24"/>
          <w:szCs w:val="24"/>
        </w:rPr>
      </w:pPr>
      <w:r w:rsidRPr="00BB6DBB">
        <w:rPr>
          <w:rFonts w:eastAsia="Calibri"/>
          <w:noProof/>
          <w:sz w:val="24"/>
          <w:szCs w:val="24"/>
        </w:rPr>
        <w:t xml:space="preserve">IBGE. </w:t>
      </w:r>
      <w:r w:rsidRPr="00BB6DBB">
        <w:rPr>
          <w:rFonts w:eastAsia="Calibri"/>
          <w:b/>
          <w:noProof/>
          <w:sz w:val="24"/>
          <w:szCs w:val="24"/>
        </w:rPr>
        <w:t>Indicadores de Desenvolvimento Sustentável: Brasil 2015</w:t>
      </w:r>
      <w:r w:rsidRPr="00BB6DBB">
        <w:rPr>
          <w:rFonts w:eastAsia="Calibri"/>
          <w:noProof/>
          <w:sz w:val="24"/>
          <w:szCs w:val="24"/>
        </w:rPr>
        <w:t xml:space="preserve">. Diretoria de Geociências (Estudos e Pesquisas). Rio de Janeiro: IBGE, 2015. Disponível em: &lt;http://www.ibge.gov.br/home/geociencias/recursosnaturais/ids/default_2015.shtm&gt;. </w:t>
      </w:r>
      <w:r w:rsidR="00BB6DBB" w:rsidRPr="00BB6DBB">
        <w:rPr>
          <w:rFonts w:eastAsia="Calibri"/>
          <w:noProof/>
          <w:sz w:val="24"/>
          <w:szCs w:val="24"/>
        </w:rPr>
        <w:t xml:space="preserve">Acesso em 08 </w:t>
      </w:r>
      <w:r w:rsidR="00467FC0">
        <w:rPr>
          <w:rFonts w:eastAsia="Calibri"/>
          <w:noProof/>
          <w:sz w:val="24"/>
          <w:szCs w:val="24"/>
        </w:rPr>
        <w:t>set.</w:t>
      </w:r>
      <w:r w:rsidR="00BB6DBB" w:rsidRPr="00BB6DBB">
        <w:rPr>
          <w:rFonts w:eastAsia="Calibri"/>
          <w:noProof/>
          <w:sz w:val="24"/>
          <w:szCs w:val="24"/>
        </w:rPr>
        <w:t xml:space="preserve"> 2018</w:t>
      </w:r>
    </w:p>
    <w:p w:rsidR="00467FC0" w:rsidRPr="00BB6DBB" w:rsidRDefault="00467FC0" w:rsidP="008B0CF3">
      <w:pPr>
        <w:jc w:val="both"/>
        <w:rPr>
          <w:rFonts w:eastAsia="Calibri"/>
          <w:noProof/>
          <w:sz w:val="24"/>
          <w:szCs w:val="24"/>
        </w:rPr>
      </w:pPr>
    </w:p>
    <w:p w:rsidR="009A33FB" w:rsidRPr="00BB6DBB" w:rsidRDefault="00210AF0" w:rsidP="008B0CF3">
      <w:pPr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>MARTINS, M. F.,</w:t>
      </w:r>
      <w:r w:rsidR="009A33FB" w:rsidRPr="00BB6DBB">
        <w:rPr>
          <w:rFonts w:eastAsia="Calibri"/>
          <w:noProof/>
          <w:sz w:val="24"/>
          <w:szCs w:val="24"/>
        </w:rPr>
        <w:t xml:space="preserve"> CÂNDIDO, G.A.</w:t>
      </w:r>
      <w:r w:rsidR="009A33FB" w:rsidRPr="00BB6DBB">
        <w:rPr>
          <w:rFonts w:eastAsia="Calibri"/>
          <w:b/>
          <w:noProof/>
          <w:sz w:val="24"/>
          <w:szCs w:val="24"/>
        </w:rPr>
        <w:t xml:space="preserve"> Índice de Desenvolvimento Sustentável para Municípios (IDSM): metodologia para análise e cálculo do IDSM e classificação dos níveis de sustentabilidade – uma aplicação no Estado da Paraíba.</w:t>
      </w:r>
      <w:r w:rsidR="00467FC0">
        <w:rPr>
          <w:rFonts w:eastAsia="Calibri"/>
          <w:noProof/>
          <w:sz w:val="24"/>
          <w:szCs w:val="24"/>
        </w:rPr>
        <w:t xml:space="preserve"> João Pessoa: Sebrae, 2008.</w:t>
      </w:r>
    </w:p>
    <w:p w:rsidR="00467FC0" w:rsidRDefault="00467FC0" w:rsidP="008B0CF3">
      <w:pPr>
        <w:jc w:val="both"/>
        <w:rPr>
          <w:rFonts w:eastAsia="Calibri"/>
          <w:noProof/>
          <w:sz w:val="24"/>
          <w:szCs w:val="24"/>
        </w:rPr>
      </w:pPr>
    </w:p>
    <w:p w:rsidR="009A33FB" w:rsidRDefault="009A33FB" w:rsidP="008B0CF3">
      <w:pPr>
        <w:jc w:val="both"/>
        <w:rPr>
          <w:rFonts w:eastAsia="Calibri"/>
          <w:noProof/>
          <w:sz w:val="24"/>
          <w:szCs w:val="24"/>
        </w:rPr>
      </w:pPr>
      <w:r w:rsidRPr="00BB6DBB">
        <w:rPr>
          <w:rFonts w:eastAsia="Calibri"/>
          <w:noProof/>
          <w:sz w:val="24"/>
          <w:szCs w:val="24"/>
        </w:rPr>
        <w:t xml:space="preserve">PARÁ. </w:t>
      </w:r>
      <w:r w:rsidRPr="00BB6DBB">
        <w:rPr>
          <w:rFonts w:eastAsia="Calibri"/>
          <w:b/>
          <w:noProof/>
          <w:sz w:val="24"/>
          <w:szCs w:val="24"/>
        </w:rPr>
        <w:t>Anuário Estatístico do Pará 2015</w:t>
      </w:r>
      <w:r w:rsidRPr="00BB6DBB">
        <w:rPr>
          <w:rFonts w:eastAsia="Calibri"/>
          <w:noProof/>
          <w:sz w:val="24"/>
          <w:szCs w:val="24"/>
        </w:rPr>
        <w:t xml:space="preserve">. Disponível em: &lt;http://www.fapespa.pa.gov.br/anuario_estatistico/social.html&gt;. Acesso em 08 </w:t>
      </w:r>
      <w:r w:rsidR="00193334">
        <w:rPr>
          <w:rFonts w:eastAsia="Calibri"/>
          <w:noProof/>
          <w:sz w:val="24"/>
          <w:szCs w:val="24"/>
        </w:rPr>
        <w:t>set.</w:t>
      </w:r>
      <w:r w:rsidRPr="00BB6DBB">
        <w:rPr>
          <w:rFonts w:eastAsia="Calibri"/>
          <w:noProof/>
          <w:sz w:val="24"/>
          <w:szCs w:val="24"/>
        </w:rPr>
        <w:t xml:space="preserve"> 201</w:t>
      </w:r>
      <w:r w:rsidR="00BB6DBB" w:rsidRPr="00BB6DBB">
        <w:rPr>
          <w:rFonts w:eastAsia="Calibri"/>
          <w:noProof/>
          <w:sz w:val="24"/>
          <w:szCs w:val="24"/>
        </w:rPr>
        <w:t>8</w:t>
      </w:r>
      <w:r w:rsidRPr="00BB6DBB">
        <w:rPr>
          <w:rFonts w:eastAsia="Calibri"/>
          <w:noProof/>
          <w:sz w:val="24"/>
          <w:szCs w:val="24"/>
        </w:rPr>
        <w:t>.</w:t>
      </w:r>
    </w:p>
    <w:p w:rsidR="00193334" w:rsidRDefault="00193334" w:rsidP="008B0CF3">
      <w:pPr>
        <w:jc w:val="both"/>
        <w:rPr>
          <w:rFonts w:eastAsia="Calibri"/>
          <w:noProof/>
          <w:sz w:val="24"/>
          <w:szCs w:val="24"/>
        </w:rPr>
      </w:pPr>
    </w:p>
    <w:p w:rsidR="00193334" w:rsidRPr="00210AF0" w:rsidRDefault="00193334" w:rsidP="008B0CF3">
      <w:pPr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>PEREIRA, F</w:t>
      </w:r>
      <w:r w:rsidR="00210AF0">
        <w:rPr>
          <w:rFonts w:eastAsia="Calibri"/>
          <w:noProof/>
          <w:sz w:val="24"/>
          <w:szCs w:val="24"/>
        </w:rPr>
        <w:t>.S., VIEIRA, I. C.</w:t>
      </w:r>
      <w:r>
        <w:rPr>
          <w:rFonts w:eastAsia="Calibri"/>
          <w:noProof/>
          <w:sz w:val="24"/>
          <w:szCs w:val="24"/>
        </w:rPr>
        <w:t xml:space="preserve"> G</w:t>
      </w:r>
      <w:r w:rsidR="00210AF0">
        <w:rPr>
          <w:rFonts w:eastAsia="Calibri"/>
          <w:noProof/>
          <w:sz w:val="24"/>
          <w:szCs w:val="24"/>
        </w:rPr>
        <w:t>.</w:t>
      </w:r>
      <w:r w:rsidR="00AA2693">
        <w:rPr>
          <w:rFonts w:eastAsia="Calibri"/>
          <w:noProof/>
          <w:sz w:val="24"/>
          <w:szCs w:val="24"/>
        </w:rPr>
        <w:t xml:space="preserve"> </w:t>
      </w:r>
      <w:r w:rsidRPr="00BB6DBB">
        <w:rPr>
          <w:rFonts w:eastAsia="Calibri"/>
          <w:b/>
          <w:noProof/>
          <w:sz w:val="24"/>
          <w:szCs w:val="24"/>
        </w:rPr>
        <w:t>Expansão urbana da Região Metropolitana de Belém sob a ótica de um sistema de índices de sustentabilidade</w:t>
      </w:r>
      <w:r>
        <w:rPr>
          <w:rFonts w:eastAsia="Calibri"/>
          <w:b/>
          <w:noProof/>
          <w:sz w:val="24"/>
          <w:szCs w:val="24"/>
        </w:rPr>
        <w:t xml:space="preserve">. </w:t>
      </w:r>
      <w:r w:rsidRPr="00BB6DBB">
        <w:rPr>
          <w:rFonts w:eastAsia="Calibri"/>
          <w:noProof/>
          <w:sz w:val="24"/>
          <w:szCs w:val="24"/>
          <w:lang w:val="en-US"/>
        </w:rPr>
        <w:t>Ambiente &amp; Água – An Interdiciplinary Journal of A</w:t>
      </w:r>
      <w:r>
        <w:rPr>
          <w:rFonts w:eastAsia="Calibri"/>
          <w:noProof/>
          <w:sz w:val="24"/>
          <w:szCs w:val="24"/>
          <w:lang w:val="en-US"/>
        </w:rPr>
        <w:t xml:space="preserve">pplied Science. </w:t>
      </w:r>
      <w:r w:rsidR="00210AF0">
        <w:rPr>
          <w:rFonts w:eastAsia="Calibri"/>
          <w:noProof/>
          <w:sz w:val="24"/>
          <w:szCs w:val="24"/>
          <w:lang w:val="en-US"/>
        </w:rPr>
        <w:t xml:space="preserve">n.3, v. 11, p. 731-744, ISSN 1980-993X, 2016. </w:t>
      </w:r>
      <w:r w:rsidR="00210AF0" w:rsidRPr="00210AF0">
        <w:rPr>
          <w:rFonts w:eastAsia="Calibri"/>
          <w:noProof/>
          <w:sz w:val="24"/>
          <w:szCs w:val="24"/>
        </w:rPr>
        <w:t xml:space="preserve">Disponível em: &lt;http://dx.doi.org/10.4136/ambi-agua.1878&gt; Acesso em 04 nov. </w:t>
      </w:r>
      <w:r w:rsidR="00210AF0">
        <w:rPr>
          <w:rFonts w:eastAsia="Calibri"/>
          <w:noProof/>
          <w:sz w:val="24"/>
          <w:szCs w:val="24"/>
        </w:rPr>
        <w:t>2018.</w:t>
      </w:r>
    </w:p>
    <w:p w:rsidR="00193334" w:rsidRPr="00210AF0" w:rsidRDefault="00193334" w:rsidP="008B0CF3">
      <w:pPr>
        <w:jc w:val="both"/>
        <w:rPr>
          <w:rFonts w:eastAsia="Calibri"/>
          <w:noProof/>
          <w:sz w:val="24"/>
          <w:szCs w:val="24"/>
        </w:rPr>
      </w:pPr>
    </w:p>
    <w:p w:rsidR="009A33FB" w:rsidRDefault="009A33FB" w:rsidP="008B0CF3">
      <w:pPr>
        <w:jc w:val="both"/>
        <w:rPr>
          <w:rFonts w:eastAsia="Calibri"/>
          <w:noProof/>
          <w:sz w:val="24"/>
          <w:szCs w:val="24"/>
        </w:rPr>
      </w:pPr>
      <w:r w:rsidRPr="00BB6DBB">
        <w:rPr>
          <w:rFonts w:eastAsia="Calibri"/>
          <w:noProof/>
          <w:sz w:val="24"/>
          <w:szCs w:val="24"/>
        </w:rPr>
        <w:t xml:space="preserve">PORTAL DA SAÚDE. </w:t>
      </w:r>
      <w:r w:rsidRPr="00BB6DBB">
        <w:rPr>
          <w:rFonts w:eastAsia="Calibri"/>
          <w:b/>
          <w:noProof/>
          <w:sz w:val="24"/>
          <w:szCs w:val="24"/>
        </w:rPr>
        <w:t xml:space="preserve">DATASUS. </w:t>
      </w:r>
      <w:r w:rsidRPr="00BB6DBB">
        <w:rPr>
          <w:rFonts w:eastAsia="Calibri"/>
          <w:noProof/>
          <w:sz w:val="24"/>
          <w:szCs w:val="24"/>
        </w:rPr>
        <w:t>Disponível em: &lt;http://www2.datasus.gov.br/DATASUS/&gt;. Acesso em 08</w:t>
      </w:r>
      <w:r w:rsidR="00193334">
        <w:rPr>
          <w:rFonts w:eastAsia="Calibri"/>
          <w:noProof/>
          <w:sz w:val="24"/>
          <w:szCs w:val="24"/>
        </w:rPr>
        <w:t xml:space="preserve">set. </w:t>
      </w:r>
      <w:r w:rsidR="00BB6DBB" w:rsidRPr="00BB6DBB">
        <w:rPr>
          <w:rFonts w:eastAsia="Calibri"/>
          <w:noProof/>
          <w:sz w:val="24"/>
          <w:szCs w:val="24"/>
        </w:rPr>
        <w:t xml:space="preserve"> 2018</w:t>
      </w:r>
      <w:r w:rsidRPr="00BB6DBB">
        <w:rPr>
          <w:rFonts w:eastAsia="Calibri"/>
          <w:noProof/>
          <w:sz w:val="24"/>
          <w:szCs w:val="24"/>
        </w:rPr>
        <w:t>.</w:t>
      </w:r>
    </w:p>
    <w:p w:rsidR="00193334" w:rsidRPr="00BB6DBB" w:rsidRDefault="00193334" w:rsidP="008B0CF3">
      <w:pPr>
        <w:jc w:val="both"/>
        <w:rPr>
          <w:rFonts w:eastAsia="Calibri"/>
          <w:noProof/>
          <w:sz w:val="24"/>
          <w:szCs w:val="24"/>
        </w:rPr>
      </w:pPr>
    </w:p>
    <w:p w:rsidR="009A33FB" w:rsidRPr="00BB6DBB" w:rsidRDefault="009A33FB" w:rsidP="008B0CF3">
      <w:pPr>
        <w:jc w:val="both"/>
        <w:rPr>
          <w:rFonts w:eastAsia="Calibri"/>
          <w:noProof/>
          <w:sz w:val="24"/>
          <w:szCs w:val="24"/>
        </w:rPr>
      </w:pPr>
      <w:r w:rsidRPr="00BB6DBB">
        <w:rPr>
          <w:rFonts w:eastAsia="Calibri"/>
          <w:noProof/>
          <w:sz w:val="24"/>
          <w:szCs w:val="24"/>
        </w:rPr>
        <w:t xml:space="preserve">SNIS (Sistema Nacional de Informação sobre Saneamento). </w:t>
      </w:r>
      <w:r w:rsidRPr="00BB6DBB">
        <w:rPr>
          <w:rFonts w:eastAsia="Calibri"/>
          <w:b/>
          <w:noProof/>
          <w:sz w:val="24"/>
          <w:szCs w:val="24"/>
        </w:rPr>
        <w:t>Série Histórica</w:t>
      </w:r>
      <w:r w:rsidRPr="00BB6DBB">
        <w:rPr>
          <w:rFonts w:eastAsia="Calibri"/>
          <w:noProof/>
          <w:sz w:val="24"/>
          <w:szCs w:val="24"/>
        </w:rPr>
        <w:t xml:space="preserve">. Disponível em: &lt;http://app.cidades.gov.br/serieHistorica/&gt;. </w:t>
      </w:r>
      <w:r w:rsidR="00BB6DBB" w:rsidRPr="00BB6DBB">
        <w:rPr>
          <w:rFonts w:eastAsia="Calibri"/>
          <w:noProof/>
          <w:sz w:val="24"/>
          <w:szCs w:val="24"/>
        </w:rPr>
        <w:t xml:space="preserve">Acesso em 08 </w:t>
      </w:r>
      <w:r w:rsidR="00193334">
        <w:rPr>
          <w:rFonts w:eastAsia="Calibri"/>
          <w:noProof/>
          <w:sz w:val="24"/>
          <w:szCs w:val="24"/>
        </w:rPr>
        <w:t>set.</w:t>
      </w:r>
      <w:r w:rsidR="00BB6DBB" w:rsidRPr="00BB6DBB">
        <w:rPr>
          <w:rFonts w:eastAsia="Calibri"/>
          <w:noProof/>
          <w:sz w:val="24"/>
          <w:szCs w:val="24"/>
        </w:rPr>
        <w:t xml:space="preserve"> 2018</w:t>
      </w:r>
      <w:r w:rsidRPr="00BB6DBB">
        <w:rPr>
          <w:rFonts w:eastAsia="Calibri"/>
          <w:noProof/>
          <w:sz w:val="24"/>
          <w:szCs w:val="24"/>
        </w:rPr>
        <w:t>.</w:t>
      </w:r>
    </w:p>
    <w:p w:rsidR="009A33FB" w:rsidRDefault="00467FC0" w:rsidP="008B0CF3">
      <w:pPr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ab/>
      </w:r>
    </w:p>
    <w:p w:rsidR="0068769F" w:rsidRPr="00BB6DBB" w:rsidRDefault="00344C22" w:rsidP="0068769F">
      <w:pPr>
        <w:tabs>
          <w:tab w:val="left" w:pos="709"/>
        </w:tabs>
        <w:jc w:val="both"/>
        <w:rPr>
          <w:b/>
          <w:sz w:val="24"/>
          <w:szCs w:val="24"/>
          <w:lang w:val="en-US"/>
        </w:rPr>
      </w:pPr>
      <w:r w:rsidRPr="00BB6DBB">
        <w:rPr>
          <w:sz w:val="24"/>
          <w:szCs w:val="24"/>
          <w:lang w:val="en-US"/>
        </w:rPr>
        <w:tab/>
      </w:r>
    </w:p>
    <w:p w:rsidR="00D0394C" w:rsidRPr="00BB6DBB" w:rsidRDefault="00D0394C" w:rsidP="0098657A">
      <w:pPr>
        <w:jc w:val="both"/>
        <w:rPr>
          <w:b/>
          <w:sz w:val="24"/>
          <w:szCs w:val="24"/>
          <w:lang w:val="en-US"/>
        </w:rPr>
      </w:pPr>
    </w:p>
    <w:sectPr w:rsidR="00D0394C" w:rsidRPr="00BB6DBB" w:rsidSect="00353EEF">
      <w:headerReference w:type="default" r:id="rId8"/>
      <w:footerReference w:type="default" r:id="rId9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F06" w:rsidRDefault="00894F06" w:rsidP="00392012">
      <w:r>
        <w:separator/>
      </w:r>
    </w:p>
  </w:endnote>
  <w:endnote w:type="continuationSeparator" w:id="0">
    <w:p w:rsidR="00894F06" w:rsidRDefault="00894F06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E96" w:rsidRPr="00B84589" w:rsidRDefault="00251E96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F06" w:rsidRDefault="00894F06" w:rsidP="00392012">
      <w:r>
        <w:separator/>
      </w:r>
    </w:p>
  </w:footnote>
  <w:footnote w:type="continuationSeparator" w:id="0">
    <w:p w:rsidR="00894F06" w:rsidRDefault="00894F06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E96" w:rsidRDefault="00894F06" w:rsidP="00C4632A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825"/>
      </w:tabs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234.1pt;margin-top:-12.1pt;width:238.6pt;height:32.9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<v:textbox style="mso-next-textbox:#Caixa de Texto 2">
            <w:txbxContent>
              <w:p w:rsidR="00251E96" w:rsidRPr="001001BB" w:rsidRDefault="00251E96" w:rsidP="00C100B9">
                <w:pPr>
                  <w:pStyle w:val="Rodap"/>
                  <w:spacing w:line="276" w:lineRule="auto"/>
                  <w:jc w:val="right"/>
                </w:pPr>
                <w:r>
                  <w:t xml:space="preserve">Belém (PA), 28 a 30 </w:t>
                </w:r>
                <w:r w:rsidRPr="001001BB">
                  <w:t xml:space="preserve">de novembro </w:t>
                </w:r>
                <w:r>
                  <w:t xml:space="preserve">de </w:t>
                </w:r>
                <w:r w:rsidRPr="001001BB">
                  <w:t>201</w:t>
                </w:r>
                <w:r>
                  <w:t>8</w:t>
                </w:r>
              </w:p>
              <w:p w:rsidR="00251E96" w:rsidRPr="001001BB" w:rsidRDefault="00251E96" w:rsidP="00C100B9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</w:pPr>
                <w:r w:rsidRPr="001001BB">
                  <w:t>ISSN 2316-7637</w:t>
                </w:r>
              </w:p>
              <w:p w:rsidR="00251E96" w:rsidRPr="00206969" w:rsidRDefault="00251E96" w:rsidP="007422FB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  <w:rPr>
                    <w:i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-25.95pt;margin-top:-20.35pt;width:187.75pt;height:51.7pt;z-index:-25165619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<v:textbox style="mso-next-textbox:#_x0000_s2049;mso-fit-shape-to-text:t">
            <w:txbxContent>
              <w:p w:rsidR="00251E96" w:rsidRDefault="00251E96">
                <w:r w:rsidRPr="004C583D">
                  <w:rPr>
                    <w:noProof/>
                  </w:rPr>
                  <w:drawing>
                    <wp:inline distT="0" distB="0" distL="0" distR="0">
                      <wp:extent cx="1786153" cy="565150"/>
                      <wp:effectExtent l="0" t="0" r="5080" b="635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8" descr="C:\Users\Altem\Dropbox\2017\VI Simpósio\Imagens para Site\Imagens do Site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6153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4632A">
      <w:rPr>
        <w:noProof/>
      </w:rPr>
      <w:tab/>
    </w:r>
  </w:p>
  <w:p w:rsidR="00251E96" w:rsidRDefault="00251E96" w:rsidP="0095437F">
    <w:pPr>
      <w:pStyle w:val="Cabealho"/>
      <w:pBdr>
        <w:bottom w:val="single" w:sz="4" w:space="1" w:color="auto"/>
      </w:pBdr>
      <w:rPr>
        <w:noProof/>
      </w:rPr>
    </w:pPr>
  </w:p>
  <w:p w:rsidR="00251E96" w:rsidRDefault="00251E96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>
      <o:colormru v:ext="edit" colors="#f1ff9f,white,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4FA"/>
    <w:rsid w:val="0000459E"/>
    <w:rsid w:val="0001355C"/>
    <w:rsid w:val="000220CE"/>
    <w:rsid w:val="00027D99"/>
    <w:rsid w:val="00033767"/>
    <w:rsid w:val="00044DB3"/>
    <w:rsid w:val="00046262"/>
    <w:rsid w:val="00076CED"/>
    <w:rsid w:val="00082FE3"/>
    <w:rsid w:val="00094A6D"/>
    <w:rsid w:val="000B0814"/>
    <w:rsid w:val="000D2441"/>
    <w:rsid w:val="000E6857"/>
    <w:rsid w:val="000F7B8F"/>
    <w:rsid w:val="001179C2"/>
    <w:rsid w:val="00121F29"/>
    <w:rsid w:val="0012462E"/>
    <w:rsid w:val="00133403"/>
    <w:rsid w:val="00154607"/>
    <w:rsid w:val="00160D2E"/>
    <w:rsid w:val="00193334"/>
    <w:rsid w:val="00195E0E"/>
    <w:rsid w:val="001B007A"/>
    <w:rsid w:val="001B1308"/>
    <w:rsid w:val="001B3370"/>
    <w:rsid w:val="001B6E63"/>
    <w:rsid w:val="001C7011"/>
    <w:rsid w:val="001C79FB"/>
    <w:rsid w:val="001F74C5"/>
    <w:rsid w:val="002021A5"/>
    <w:rsid w:val="00202A94"/>
    <w:rsid w:val="00206969"/>
    <w:rsid w:val="002076EF"/>
    <w:rsid w:val="00210AF0"/>
    <w:rsid w:val="0021563B"/>
    <w:rsid w:val="0024156F"/>
    <w:rsid w:val="0024285C"/>
    <w:rsid w:val="00251E96"/>
    <w:rsid w:val="00253593"/>
    <w:rsid w:val="00253D7B"/>
    <w:rsid w:val="00261E93"/>
    <w:rsid w:val="00270F09"/>
    <w:rsid w:val="00273A6E"/>
    <w:rsid w:val="00297DFF"/>
    <w:rsid w:val="002A456B"/>
    <w:rsid w:val="002A4747"/>
    <w:rsid w:val="002B4C8E"/>
    <w:rsid w:val="002C04FA"/>
    <w:rsid w:val="002C3F9C"/>
    <w:rsid w:val="002F114A"/>
    <w:rsid w:val="002F2604"/>
    <w:rsid w:val="002F37D6"/>
    <w:rsid w:val="002F692C"/>
    <w:rsid w:val="00314A42"/>
    <w:rsid w:val="00330A53"/>
    <w:rsid w:val="00330AA8"/>
    <w:rsid w:val="00334ABB"/>
    <w:rsid w:val="00341867"/>
    <w:rsid w:val="00343E88"/>
    <w:rsid w:val="00344C22"/>
    <w:rsid w:val="00353EEF"/>
    <w:rsid w:val="00372163"/>
    <w:rsid w:val="0039168A"/>
    <w:rsid w:val="00392012"/>
    <w:rsid w:val="003A4B26"/>
    <w:rsid w:val="003B02AD"/>
    <w:rsid w:val="003B090B"/>
    <w:rsid w:val="003B0E3D"/>
    <w:rsid w:val="003D0994"/>
    <w:rsid w:val="003E1ADB"/>
    <w:rsid w:val="003E5034"/>
    <w:rsid w:val="003F253F"/>
    <w:rsid w:val="004006AC"/>
    <w:rsid w:val="00400D61"/>
    <w:rsid w:val="0041315B"/>
    <w:rsid w:val="0042057D"/>
    <w:rsid w:val="00422D99"/>
    <w:rsid w:val="00426873"/>
    <w:rsid w:val="00436326"/>
    <w:rsid w:val="004365F3"/>
    <w:rsid w:val="00455718"/>
    <w:rsid w:val="00461D84"/>
    <w:rsid w:val="00467FC0"/>
    <w:rsid w:val="004709D3"/>
    <w:rsid w:val="004777CC"/>
    <w:rsid w:val="00497F38"/>
    <w:rsid w:val="004B03F7"/>
    <w:rsid w:val="004C52D5"/>
    <w:rsid w:val="004C746A"/>
    <w:rsid w:val="004F3394"/>
    <w:rsid w:val="004F536C"/>
    <w:rsid w:val="004F6258"/>
    <w:rsid w:val="00511E8F"/>
    <w:rsid w:val="005159DA"/>
    <w:rsid w:val="005225D5"/>
    <w:rsid w:val="0052676A"/>
    <w:rsid w:val="00533182"/>
    <w:rsid w:val="00536072"/>
    <w:rsid w:val="00547CF3"/>
    <w:rsid w:val="00555769"/>
    <w:rsid w:val="00573FE7"/>
    <w:rsid w:val="005A62CB"/>
    <w:rsid w:val="005C6204"/>
    <w:rsid w:val="005D4940"/>
    <w:rsid w:val="005D71A6"/>
    <w:rsid w:val="005E616C"/>
    <w:rsid w:val="005E6909"/>
    <w:rsid w:val="00610CCB"/>
    <w:rsid w:val="00612D68"/>
    <w:rsid w:val="00614FB7"/>
    <w:rsid w:val="0061672B"/>
    <w:rsid w:val="00616DDB"/>
    <w:rsid w:val="006201D8"/>
    <w:rsid w:val="00644A0D"/>
    <w:rsid w:val="0066022A"/>
    <w:rsid w:val="00660DF5"/>
    <w:rsid w:val="0068555A"/>
    <w:rsid w:val="0068769F"/>
    <w:rsid w:val="006D43B5"/>
    <w:rsid w:val="00707D9F"/>
    <w:rsid w:val="0071394B"/>
    <w:rsid w:val="00715A5D"/>
    <w:rsid w:val="007218EB"/>
    <w:rsid w:val="007422FB"/>
    <w:rsid w:val="007452FD"/>
    <w:rsid w:val="00760822"/>
    <w:rsid w:val="0076407B"/>
    <w:rsid w:val="00792D0F"/>
    <w:rsid w:val="007A087A"/>
    <w:rsid w:val="007B1EDB"/>
    <w:rsid w:val="007B27A6"/>
    <w:rsid w:val="007C551F"/>
    <w:rsid w:val="007C57CC"/>
    <w:rsid w:val="007D15C8"/>
    <w:rsid w:val="007D219E"/>
    <w:rsid w:val="007D58F5"/>
    <w:rsid w:val="007E40D8"/>
    <w:rsid w:val="007E7CB5"/>
    <w:rsid w:val="00802659"/>
    <w:rsid w:val="008030DD"/>
    <w:rsid w:val="00811FDD"/>
    <w:rsid w:val="00814223"/>
    <w:rsid w:val="00817377"/>
    <w:rsid w:val="0083077E"/>
    <w:rsid w:val="00834BE9"/>
    <w:rsid w:val="00852788"/>
    <w:rsid w:val="00853316"/>
    <w:rsid w:val="00856747"/>
    <w:rsid w:val="00863A0D"/>
    <w:rsid w:val="008644EF"/>
    <w:rsid w:val="008845C5"/>
    <w:rsid w:val="008922FD"/>
    <w:rsid w:val="00894F06"/>
    <w:rsid w:val="008B0CF3"/>
    <w:rsid w:val="008C42B6"/>
    <w:rsid w:val="008D6184"/>
    <w:rsid w:val="008E0DD2"/>
    <w:rsid w:val="008E3F95"/>
    <w:rsid w:val="008E6ADB"/>
    <w:rsid w:val="008F146A"/>
    <w:rsid w:val="009331C3"/>
    <w:rsid w:val="0095437F"/>
    <w:rsid w:val="00961709"/>
    <w:rsid w:val="0097264E"/>
    <w:rsid w:val="0098657A"/>
    <w:rsid w:val="0099011F"/>
    <w:rsid w:val="009962E6"/>
    <w:rsid w:val="009965FA"/>
    <w:rsid w:val="009A17BD"/>
    <w:rsid w:val="009A33FB"/>
    <w:rsid w:val="009B0125"/>
    <w:rsid w:val="009C407A"/>
    <w:rsid w:val="009D3E58"/>
    <w:rsid w:val="009D5F95"/>
    <w:rsid w:val="009D6FE6"/>
    <w:rsid w:val="00A126BC"/>
    <w:rsid w:val="00A14A7B"/>
    <w:rsid w:val="00A22AF6"/>
    <w:rsid w:val="00A26486"/>
    <w:rsid w:val="00A3575E"/>
    <w:rsid w:val="00A522B1"/>
    <w:rsid w:val="00A57710"/>
    <w:rsid w:val="00A77CA4"/>
    <w:rsid w:val="00A92240"/>
    <w:rsid w:val="00A9494E"/>
    <w:rsid w:val="00AA2693"/>
    <w:rsid w:val="00B03F68"/>
    <w:rsid w:val="00B259FE"/>
    <w:rsid w:val="00B40020"/>
    <w:rsid w:val="00B41EE4"/>
    <w:rsid w:val="00B55AB2"/>
    <w:rsid w:val="00B57829"/>
    <w:rsid w:val="00B64760"/>
    <w:rsid w:val="00B7165F"/>
    <w:rsid w:val="00B84589"/>
    <w:rsid w:val="00B864F5"/>
    <w:rsid w:val="00BB2377"/>
    <w:rsid w:val="00BB5D54"/>
    <w:rsid w:val="00BB6DBB"/>
    <w:rsid w:val="00BC29A4"/>
    <w:rsid w:val="00BD0848"/>
    <w:rsid w:val="00BD3FDA"/>
    <w:rsid w:val="00BE10B2"/>
    <w:rsid w:val="00BF08DF"/>
    <w:rsid w:val="00BF5246"/>
    <w:rsid w:val="00BF7AD6"/>
    <w:rsid w:val="00C03013"/>
    <w:rsid w:val="00C100B9"/>
    <w:rsid w:val="00C15CD1"/>
    <w:rsid w:val="00C1658D"/>
    <w:rsid w:val="00C41918"/>
    <w:rsid w:val="00C4632A"/>
    <w:rsid w:val="00C46A3C"/>
    <w:rsid w:val="00C47969"/>
    <w:rsid w:val="00C70228"/>
    <w:rsid w:val="00C71504"/>
    <w:rsid w:val="00C71785"/>
    <w:rsid w:val="00C85E8E"/>
    <w:rsid w:val="00CA71A9"/>
    <w:rsid w:val="00CB7D10"/>
    <w:rsid w:val="00CC3EAE"/>
    <w:rsid w:val="00CC5C92"/>
    <w:rsid w:val="00CC79D3"/>
    <w:rsid w:val="00CD3E3D"/>
    <w:rsid w:val="00CE45A6"/>
    <w:rsid w:val="00CE4F5C"/>
    <w:rsid w:val="00CE581B"/>
    <w:rsid w:val="00CE62B0"/>
    <w:rsid w:val="00D0394C"/>
    <w:rsid w:val="00D048E7"/>
    <w:rsid w:val="00D13969"/>
    <w:rsid w:val="00D34D39"/>
    <w:rsid w:val="00D40455"/>
    <w:rsid w:val="00D507CA"/>
    <w:rsid w:val="00D66D9D"/>
    <w:rsid w:val="00DA0B68"/>
    <w:rsid w:val="00DA38D5"/>
    <w:rsid w:val="00DB67E5"/>
    <w:rsid w:val="00DC31F5"/>
    <w:rsid w:val="00DD3629"/>
    <w:rsid w:val="00DD70E2"/>
    <w:rsid w:val="00DE0D0B"/>
    <w:rsid w:val="00DE40AF"/>
    <w:rsid w:val="00DE72AD"/>
    <w:rsid w:val="00E05E73"/>
    <w:rsid w:val="00E0707A"/>
    <w:rsid w:val="00E34F91"/>
    <w:rsid w:val="00E739AB"/>
    <w:rsid w:val="00E753BE"/>
    <w:rsid w:val="00E76DCA"/>
    <w:rsid w:val="00E85C97"/>
    <w:rsid w:val="00E8669B"/>
    <w:rsid w:val="00E86724"/>
    <w:rsid w:val="00E9381C"/>
    <w:rsid w:val="00EA6802"/>
    <w:rsid w:val="00EB2734"/>
    <w:rsid w:val="00EC2C0A"/>
    <w:rsid w:val="00EE4602"/>
    <w:rsid w:val="00EF1C09"/>
    <w:rsid w:val="00EF273F"/>
    <w:rsid w:val="00F06F8F"/>
    <w:rsid w:val="00F16A91"/>
    <w:rsid w:val="00F253D0"/>
    <w:rsid w:val="00F43D66"/>
    <w:rsid w:val="00F45276"/>
    <w:rsid w:val="00F47276"/>
    <w:rsid w:val="00F5269B"/>
    <w:rsid w:val="00F528A5"/>
    <w:rsid w:val="00F67AA9"/>
    <w:rsid w:val="00F72608"/>
    <w:rsid w:val="00F76C81"/>
    <w:rsid w:val="00F83285"/>
    <w:rsid w:val="00FB6399"/>
    <w:rsid w:val="00FD02B2"/>
    <w:rsid w:val="00FE12AD"/>
    <w:rsid w:val="00FE2CCA"/>
    <w:rsid w:val="00FE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1ff9f,white,#ffc"/>
    </o:shapedefaults>
    <o:shapelayout v:ext="edit">
      <o:idmap v:ext="edit" data="1"/>
    </o:shapelayout>
  </w:shapeDefaults>
  <w:decimalSymbol w:val=","/>
  <w:listSeparator w:val=";"/>
  <w15:docId w15:val="{8F1C5E99-9BAC-49C2-9A95-79EB0098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A38D5"/>
    <w:rPr>
      <w:b/>
      <w:bCs/>
    </w:rPr>
  </w:style>
  <w:style w:type="paragraph" w:customStyle="1" w:styleId="Rodap1">
    <w:name w:val="Rodapé1"/>
    <w:basedOn w:val="Normal"/>
    <w:rsid w:val="00344C22"/>
    <w:pPr>
      <w:tabs>
        <w:tab w:val="center" w:pos="4252"/>
        <w:tab w:val="right" w:pos="8504"/>
      </w:tabs>
    </w:pPr>
  </w:style>
  <w:style w:type="character" w:styleId="TextodoEspaoReservado">
    <w:name w:val="Placeholder Text"/>
    <w:basedOn w:val="Fontepargpadro"/>
    <w:uiPriority w:val="99"/>
    <w:semiHidden/>
    <w:rsid w:val="002021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0BF33-A466-4D0F-A0B7-228F23AC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3263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20844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Villas Boas</dc:creator>
  <cp:lastModifiedBy>Marina Saady Morhy Pereira</cp:lastModifiedBy>
  <cp:revision>7</cp:revision>
  <cp:lastPrinted>2018-10-29T14:12:00Z</cp:lastPrinted>
  <dcterms:created xsi:type="dcterms:W3CDTF">2018-11-15T22:52:00Z</dcterms:created>
  <dcterms:modified xsi:type="dcterms:W3CDTF">2018-11-16T00:04:00Z</dcterms:modified>
</cp:coreProperties>
</file>