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C041" w14:textId="77777777"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4DF4266" w14:textId="43DA3C61" w:rsidR="0012462E" w:rsidRPr="004306A6" w:rsidRDefault="00CA12FF" w:rsidP="006C5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DISTRIBUIÇÃO DIAMÉTRICA E </w:t>
      </w:r>
      <w:r w:rsidR="00685532">
        <w:rPr>
          <w:b/>
          <w:sz w:val="24"/>
          <w:szCs w:val="24"/>
        </w:rPr>
        <w:t>ESTRUTURA DA POPULAÇÃO</w:t>
      </w:r>
      <w:r w:rsidR="00D94CBA">
        <w:rPr>
          <w:b/>
          <w:sz w:val="24"/>
          <w:szCs w:val="24"/>
        </w:rPr>
        <w:t xml:space="preserve"> </w:t>
      </w:r>
      <w:r w:rsidR="006C5635">
        <w:rPr>
          <w:b/>
          <w:sz w:val="24"/>
          <w:szCs w:val="24"/>
        </w:rPr>
        <w:t xml:space="preserve">DA ESPÉCIE </w:t>
      </w:r>
      <w:r w:rsidR="006C5635" w:rsidRPr="00685532">
        <w:rPr>
          <w:b/>
          <w:i/>
          <w:sz w:val="24"/>
          <w:szCs w:val="24"/>
        </w:rPr>
        <w:t>ZANTHOXYLUM EKMANII</w:t>
      </w:r>
      <w:r w:rsidR="006C5635">
        <w:rPr>
          <w:b/>
          <w:sz w:val="24"/>
          <w:szCs w:val="24"/>
        </w:rPr>
        <w:t xml:space="preserve"> (URB.) ALAIN NO MUNÍCIPIO DE DOM ELI</w:t>
      </w:r>
      <w:r w:rsidR="00C66D8C">
        <w:rPr>
          <w:b/>
          <w:sz w:val="24"/>
          <w:szCs w:val="24"/>
        </w:rPr>
        <w:t>S</w:t>
      </w:r>
      <w:r w:rsidR="006C5635">
        <w:rPr>
          <w:b/>
          <w:sz w:val="24"/>
          <w:szCs w:val="24"/>
        </w:rPr>
        <w:t>EU</w:t>
      </w:r>
      <w:r w:rsidR="00C66D8C">
        <w:rPr>
          <w:b/>
          <w:sz w:val="24"/>
          <w:szCs w:val="24"/>
        </w:rPr>
        <w:t>,</w:t>
      </w:r>
      <w:r w:rsidR="006C5635">
        <w:rPr>
          <w:b/>
          <w:sz w:val="24"/>
          <w:szCs w:val="24"/>
        </w:rPr>
        <w:t xml:space="preserve"> PARÁ</w:t>
      </w:r>
    </w:p>
    <w:p w14:paraId="74031326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35029FAD" w14:textId="264B3107" w:rsidR="0012462E" w:rsidRPr="004F6258" w:rsidRDefault="006C5635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Cleibiane da Silva Martins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Jesomi Jonatan da Costa Abreu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Madson Alan Rocha de Sousa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Paulo Cezar Gomes Pereira</w:t>
      </w:r>
      <w:r w:rsidR="0032043A">
        <w:rPr>
          <w:sz w:val="24"/>
          <w:szCs w:val="24"/>
          <w:vertAlign w:val="superscript"/>
        </w:rPr>
        <w:t>3</w:t>
      </w:r>
      <w:r w:rsidR="00D94CBA">
        <w:rPr>
          <w:sz w:val="24"/>
          <w:szCs w:val="24"/>
        </w:rPr>
        <w:t>; Marco Antonio Siviero</w:t>
      </w:r>
      <w:r w:rsidR="00D94CBA" w:rsidRPr="009E35B1">
        <w:rPr>
          <w:sz w:val="24"/>
          <w:szCs w:val="24"/>
          <w:vertAlign w:val="superscript"/>
        </w:rPr>
        <w:t>4</w:t>
      </w:r>
      <w:r w:rsidR="00D94CBA">
        <w:rPr>
          <w:sz w:val="24"/>
          <w:szCs w:val="24"/>
        </w:rPr>
        <w:t>; Ademir Roberto Ruschel</w:t>
      </w:r>
      <w:r w:rsidR="00D94CBA" w:rsidRPr="009E35B1">
        <w:rPr>
          <w:sz w:val="24"/>
          <w:szCs w:val="24"/>
          <w:vertAlign w:val="superscript"/>
        </w:rPr>
        <w:t>5</w:t>
      </w:r>
      <w:r w:rsidR="0012462E" w:rsidRPr="004F6258">
        <w:rPr>
          <w:sz w:val="24"/>
          <w:szCs w:val="24"/>
        </w:rPr>
        <w:t xml:space="preserve"> </w:t>
      </w:r>
    </w:p>
    <w:p w14:paraId="40B487E4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68CDF9B6" w14:textId="77777777" w:rsidR="0012462E" w:rsidRDefault="0012462E" w:rsidP="00145203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6C5635">
        <w:rPr>
          <w:sz w:val="24"/>
          <w:szCs w:val="24"/>
        </w:rPr>
        <w:t>Graduanda em Engenharia Florestal</w:t>
      </w:r>
      <w:r w:rsidRPr="004F6258">
        <w:rPr>
          <w:sz w:val="24"/>
          <w:szCs w:val="24"/>
        </w:rPr>
        <w:t xml:space="preserve">. </w:t>
      </w:r>
      <w:r w:rsidR="006C5635"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>.</w:t>
      </w:r>
      <w:r w:rsidR="006C5635">
        <w:rPr>
          <w:sz w:val="24"/>
          <w:szCs w:val="24"/>
        </w:rPr>
        <w:t xml:space="preserve"> cleibianemartins@hotmail.com</w:t>
      </w:r>
    </w:p>
    <w:p w14:paraId="40F1AAB0" w14:textId="77777777" w:rsidR="0012462E" w:rsidRPr="00145203" w:rsidRDefault="006C5635" w:rsidP="00145203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Graduando em Engenharia Florestal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>.</w:t>
      </w:r>
      <w:r>
        <w:rPr>
          <w:sz w:val="24"/>
          <w:szCs w:val="24"/>
        </w:rPr>
        <w:t xml:space="preserve"> Jonatanabreu1997@hotmail.com</w:t>
      </w:r>
    </w:p>
    <w:p w14:paraId="122DE72D" w14:textId="2DA4A094" w:rsidR="0032043A" w:rsidRDefault="0012462E" w:rsidP="0032043A">
      <w:pPr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32043A" w:rsidRPr="00CF10B3">
        <w:rPr>
          <w:sz w:val="24"/>
          <w:szCs w:val="24"/>
        </w:rPr>
        <w:t>Me</w:t>
      </w:r>
      <w:r w:rsidR="0032043A">
        <w:rPr>
          <w:sz w:val="24"/>
          <w:szCs w:val="24"/>
        </w:rPr>
        <w:t>stre em Biodiversidade Tropical</w:t>
      </w:r>
      <w:r w:rsidR="0032043A" w:rsidRPr="00CF10B3">
        <w:rPr>
          <w:sz w:val="24"/>
          <w:szCs w:val="24"/>
        </w:rPr>
        <w:t xml:space="preserve">. </w:t>
      </w:r>
      <w:r w:rsidR="00D94CBA">
        <w:rPr>
          <w:sz w:val="24"/>
          <w:szCs w:val="24"/>
        </w:rPr>
        <w:t>Universidade</w:t>
      </w:r>
      <w:r w:rsidR="0032043A">
        <w:rPr>
          <w:sz w:val="24"/>
          <w:szCs w:val="24"/>
        </w:rPr>
        <w:t xml:space="preserve"> do Estado do Pará.</w:t>
      </w:r>
      <w:r w:rsidR="00D7690F">
        <w:rPr>
          <w:sz w:val="24"/>
          <w:szCs w:val="24"/>
        </w:rPr>
        <w:t xml:space="preserve"> </w:t>
      </w:r>
      <w:r w:rsidR="0032043A">
        <w:rPr>
          <w:sz w:val="24"/>
          <w:szCs w:val="24"/>
        </w:rPr>
        <w:t>madsonalan@uepa.br</w:t>
      </w:r>
    </w:p>
    <w:p w14:paraId="060A5689" w14:textId="06D7097D" w:rsidR="00145203" w:rsidRDefault="0032043A" w:rsidP="00145203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145203" w:rsidRPr="004F6258">
        <w:rPr>
          <w:sz w:val="24"/>
          <w:szCs w:val="24"/>
          <w:vertAlign w:val="superscript"/>
        </w:rPr>
        <w:t xml:space="preserve"> </w:t>
      </w:r>
      <w:r w:rsidR="00C66D8C">
        <w:rPr>
          <w:sz w:val="24"/>
          <w:szCs w:val="24"/>
        </w:rPr>
        <w:t>Mestre em Ciências Florestais</w:t>
      </w:r>
      <w:r w:rsidR="00145203" w:rsidRPr="004F6258">
        <w:rPr>
          <w:sz w:val="24"/>
          <w:szCs w:val="24"/>
        </w:rPr>
        <w:t xml:space="preserve">. </w:t>
      </w:r>
      <w:r w:rsidR="00145203">
        <w:rPr>
          <w:sz w:val="24"/>
          <w:szCs w:val="24"/>
        </w:rPr>
        <w:t xml:space="preserve">Universidade Federal Rural da Amazônia. </w:t>
      </w:r>
      <w:r w:rsidR="002B1E01" w:rsidRPr="002B1E01">
        <w:rPr>
          <w:sz w:val="24"/>
          <w:szCs w:val="24"/>
        </w:rPr>
        <w:t>paulo.pereira@ufra.edu.br</w:t>
      </w:r>
    </w:p>
    <w:p w14:paraId="1122EA50" w14:textId="24FDBEE0" w:rsidR="00C3161A" w:rsidRDefault="002729E4" w:rsidP="00145203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2B1E01">
        <w:rPr>
          <w:sz w:val="24"/>
          <w:szCs w:val="24"/>
        </w:rPr>
        <w:t xml:space="preserve">Especialista em </w:t>
      </w:r>
      <w:r w:rsidR="002B1E01" w:rsidRPr="002B1E01">
        <w:rPr>
          <w:sz w:val="24"/>
          <w:szCs w:val="24"/>
        </w:rPr>
        <w:t>Gestão Empresarial</w:t>
      </w:r>
      <w:r w:rsidR="00C3161A" w:rsidRPr="004F6258">
        <w:rPr>
          <w:sz w:val="24"/>
          <w:szCs w:val="24"/>
        </w:rPr>
        <w:t xml:space="preserve">. </w:t>
      </w:r>
      <w:r w:rsidR="00CA065D" w:rsidRPr="00CA065D">
        <w:rPr>
          <w:rFonts w:ascii="Tahoma" w:hAnsi="Tahoma" w:cs="Tahoma"/>
          <w:color w:val="666666"/>
          <w:shd w:val="clear" w:color="auto" w:fill="FFFFFF"/>
        </w:rPr>
        <w:t xml:space="preserve"> </w:t>
      </w:r>
      <w:r w:rsidR="002B1E01">
        <w:rPr>
          <w:sz w:val="24"/>
          <w:szCs w:val="24"/>
          <w:shd w:val="clear" w:color="auto" w:fill="FFFFFF"/>
        </w:rPr>
        <w:t xml:space="preserve">Grupo </w:t>
      </w:r>
      <w:proofErr w:type="spellStart"/>
      <w:r w:rsidR="002B1E01">
        <w:rPr>
          <w:sz w:val="24"/>
          <w:szCs w:val="24"/>
          <w:shd w:val="clear" w:color="auto" w:fill="FFFFFF"/>
        </w:rPr>
        <w:t>Arboris</w:t>
      </w:r>
      <w:proofErr w:type="spellEnd"/>
      <w:r w:rsidR="00C3161A">
        <w:rPr>
          <w:sz w:val="24"/>
          <w:szCs w:val="24"/>
        </w:rPr>
        <w:t xml:space="preserve">. </w:t>
      </w:r>
      <w:r w:rsidR="002B1E01">
        <w:rPr>
          <w:sz w:val="24"/>
          <w:szCs w:val="24"/>
        </w:rPr>
        <w:t>m.g</w:t>
      </w:r>
      <w:r w:rsidR="00C3161A" w:rsidRPr="002729E4">
        <w:rPr>
          <w:sz w:val="24"/>
          <w:szCs w:val="24"/>
        </w:rPr>
        <w:t>@</w:t>
      </w:r>
      <w:r w:rsidR="002B1E01">
        <w:rPr>
          <w:sz w:val="24"/>
          <w:szCs w:val="24"/>
        </w:rPr>
        <w:t>masiviero</w:t>
      </w:r>
      <w:r w:rsidR="00C3161A" w:rsidRPr="002729E4">
        <w:rPr>
          <w:sz w:val="24"/>
          <w:szCs w:val="24"/>
        </w:rPr>
        <w:t>.com</w:t>
      </w:r>
    </w:p>
    <w:p w14:paraId="3B2A2B8F" w14:textId="177EF3F3" w:rsidR="00C3161A" w:rsidRDefault="00C3161A" w:rsidP="00145203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Doutor em Biologia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Embrapa Amazônia Oriental. ademir.ruschel@embrapa.com</w:t>
      </w:r>
    </w:p>
    <w:p w14:paraId="55A66730" w14:textId="77777777" w:rsidR="00145203" w:rsidRDefault="00145203" w:rsidP="0012462E">
      <w:pPr>
        <w:jc w:val="center"/>
        <w:rPr>
          <w:color w:val="FF0000"/>
          <w:sz w:val="24"/>
          <w:szCs w:val="24"/>
        </w:rPr>
      </w:pPr>
    </w:p>
    <w:p w14:paraId="6BD176B9" w14:textId="77777777" w:rsidR="0012462E" w:rsidRDefault="0012462E" w:rsidP="00B40E85">
      <w:pPr>
        <w:rPr>
          <w:b/>
          <w:sz w:val="24"/>
          <w:szCs w:val="24"/>
        </w:rPr>
      </w:pPr>
    </w:p>
    <w:p w14:paraId="5DC492B0" w14:textId="77777777" w:rsidR="0012462E" w:rsidRPr="00145203" w:rsidRDefault="0012462E" w:rsidP="00145203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593C50F6" w14:textId="1DA04773" w:rsidR="0012462E" w:rsidRPr="00114111" w:rsidRDefault="00114111" w:rsidP="00FE5968">
      <w:pPr>
        <w:tabs>
          <w:tab w:val="left" w:pos="7845"/>
        </w:tabs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Para a melhor eficácia do manejo e tratamento silviculturais das espécies de</w:t>
      </w:r>
      <w:r w:rsidRPr="00145203">
        <w:rPr>
          <w:rFonts w:eastAsia="Arial"/>
          <w:sz w:val="24"/>
          <w:szCs w:val="24"/>
        </w:rPr>
        <w:t xml:space="preserve"> florestas tropicais </w:t>
      </w:r>
      <w:r>
        <w:rPr>
          <w:rFonts w:eastAsia="Arial"/>
          <w:sz w:val="24"/>
          <w:szCs w:val="24"/>
        </w:rPr>
        <w:t>é importante</w:t>
      </w:r>
      <w:r w:rsidRPr="00145203">
        <w:rPr>
          <w:rFonts w:eastAsia="Arial"/>
          <w:sz w:val="24"/>
          <w:szCs w:val="24"/>
        </w:rPr>
        <w:t xml:space="preserve"> que se tenha informações e conhecimento </w:t>
      </w:r>
      <w:r>
        <w:rPr>
          <w:rFonts w:eastAsia="Arial"/>
          <w:sz w:val="24"/>
          <w:szCs w:val="24"/>
        </w:rPr>
        <w:t>de suas especificidades populacionais</w:t>
      </w:r>
      <w:r w:rsidR="008054DF">
        <w:rPr>
          <w:rFonts w:eastAsia="Arial"/>
          <w:sz w:val="24"/>
          <w:szCs w:val="24"/>
        </w:rPr>
        <w:t xml:space="preserve">. </w:t>
      </w:r>
      <w:r w:rsidRPr="00145203">
        <w:rPr>
          <w:rFonts w:eastAsia="Arial"/>
          <w:sz w:val="24"/>
          <w:szCs w:val="24"/>
        </w:rPr>
        <w:t xml:space="preserve">O objetivo deste trabalho foi avaliar a </w:t>
      </w:r>
      <w:r>
        <w:rPr>
          <w:rFonts w:eastAsia="Arial"/>
          <w:sz w:val="24"/>
          <w:szCs w:val="24"/>
        </w:rPr>
        <w:t xml:space="preserve">distribuição diamétrica e </w:t>
      </w:r>
      <w:r w:rsidRPr="00145203">
        <w:rPr>
          <w:rFonts w:eastAsia="Arial"/>
          <w:sz w:val="24"/>
          <w:szCs w:val="24"/>
        </w:rPr>
        <w:t xml:space="preserve">estrutura horizontal da espécie </w:t>
      </w:r>
      <w:r w:rsidRPr="00CA12FF">
        <w:rPr>
          <w:rFonts w:eastAsia="Arial"/>
          <w:i/>
          <w:sz w:val="24"/>
          <w:szCs w:val="24"/>
        </w:rPr>
        <w:t>Zanthoxylum ekmanii</w:t>
      </w:r>
      <w:r w:rsidRPr="00145203">
        <w:rPr>
          <w:rFonts w:eastAsia="Arial"/>
          <w:sz w:val="24"/>
          <w:szCs w:val="24"/>
        </w:rPr>
        <w:t xml:space="preserve"> (</w:t>
      </w:r>
      <w:r w:rsidR="00AE0ADE" w:rsidRPr="00145203">
        <w:rPr>
          <w:rFonts w:eastAsia="Arial"/>
          <w:sz w:val="24"/>
          <w:szCs w:val="24"/>
        </w:rPr>
        <w:t>U</w:t>
      </w:r>
      <w:r w:rsidR="00AE0ADE">
        <w:rPr>
          <w:rFonts w:eastAsia="Arial"/>
          <w:sz w:val="24"/>
          <w:szCs w:val="24"/>
        </w:rPr>
        <w:t>rb</w:t>
      </w:r>
      <w:r w:rsidRPr="00145203">
        <w:rPr>
          <w:rFonts w:eastAsia="Arial"/>
          <w:sz w:val="24"/>
          <w:szCs w:val="24"/>
        </w:rPr>
        <w:t>.) Alain no município de Dom Eli</w:t>
      </w:r>
      <w:r w:rsidR="00C66D8C">
        <w:rPr>
          <w:rFonts w:eastAsia="Arial"/>
          <w:sz w:val="24"/>
          <w:szCs w:val="24"/>
        </w:rPr>
        <w:t>s</w:t>
      </w:r>
      <w:r w:rsidRPr="00145203">
        <w:rPr>
          <w:rFonts w:eastAsia="Arial"/>
          <w:sz w:val="24"/>
          <w:szCs w:val="24"/>
        </w:rPr>
        <w:t>eu-P</w:t>
      </w:r>
      <w:r w:rsidR="00C66D8C">
        <w:rPr>
          <w:rFonts w:eastAsia="Arial"/>
          <w:sz w:val="24"/>
          <w:szCs w:val="24"/>
        </w:rPr>
        <w:t>A</w:t>
      </w:r>
      <w:r w:rsidRPr="00145203">
        <w:rPr>
          <w:rFonts w:eastAsia="Arial"/>
          <w:sz w:val="24"/>
          <w:szCs w:val="24"/>
        </w:rPr>
        <w:t xml:space="preserve">. </w:t>
      </w:r>
      <w:r>
        <w:rPr>
          <w:sz w:val="24"/>
          <w:szCs w:val="24"/>
        </w:rPr>
        <w:t xml:space="preserve">Para </w:t>
      </w:r>
      <w:proofErr w:type="gramStart"/>
      <w:r>
        <w:rPr>
          <w:sz w:val="24"/>
          <w:szCs w:val="24"/>
        </w:rPr>
        <w:t xml:space="preserve">a análise de dados </w:t>
      </w:r>
      <w:r w:rsidR="00D94CBA">
        <w:rPr>
          <w:sz w:val="24"/>
          <w:szCs w:val="24"/>
        </w:rPr>
        <w:t>fo</w:t>
      </w:r>
      <w:r w:rsidR="003926EB">
        <w:rPr>
          <w:sz w:val="24"/>
          <w:szCs w:val="24"/>
        </w:rPr>
        <w:t>ram</w:t>
      </w:r>
      <w:proofErr w:type="gramEnd"/>
      <w:r w:rsidR="00D94CBA" w:rsidRPr="00145203">
        <w:rPr>
          <w:sz w:val="24"/>
          <w:szCs w:val="24"/>
        </w:rPr>
        <w:t xml:space="preserve"> </w:t>
      </w:r>
      <w:r w:rsidR="00AE0ADE">
        <w:rPr>
          <w:sz w:val="24"/>
          <w:szCs w:val="24"/>
        </w:rPr>
        <w:t xml:space="preserve">obtidas as medições realizadas </w:t>
      </w:r>
      <w:r w:rsidR="003926EB">
        <w:rPr>
          <w:sz w:val="24"/>
          <w:szCs w:val="24"/>
        </w:rPr>
        <w:t xml:space="preserve">nos anos de 2009, 2012 e 2014 </w:t>
      </w:r>
      <w:r>
        <w:rPr>
          <w:sz w:val="24"/>
          <w:szCs w:val="24"/>
        </w:rPr>
        <w:t>de todos</w:t>
      </w:r>
      <w:r w:rsidR="003926EB">
        <w:rPr>
          <w:sz w:val="24"/>
          <w:szCs w:val="24"/>
        </w:rPr>
        <w:t xml:space="preserve"> os</w:t>
      </w:r>
      <w:r>
        <w:rPr>
          <w:sz w:val="24"/>
          <w:szCs w:val="24"/>
        </w:rPr>
        <w:t xml:space="preserve"> indivíduos </w:t>
      </w:r>
      <w:r w:rsidRPr="0081191A">
        <w:rPr>
          <w:sz w:val="24"/>
          <w:szCs w:val="24"/>
        </w:rPr>
        <w:t xml:space="preserve">arbóreos </w:t>
      </w:r>
      <w:r>
        <w:rPr>
          <w:sz w:val="24"/>
          <w:szCs w:val="24"/>
        </w:rPr>
        <w:t xml:space="preserve">com </w:t>
      </w:r>
      <w:r w:rsidR="00AE0ADE">
        <w:rPr>
          <w:sz w:val="24"/>
          <w:szCs w:val="24"/>
        </w:rPr>
        <w:t xml:space="preserve">DAP </w:t>
      </w:r>
      <w:r>
        <w:rPr>
          <w:sz w:val="24"/>
          <w:szCs w:val="24"/>
        </w:rPr>
        <w:t>≥ 5 cm, em 30 parcelas de 50 m x 50 m, que totalizaram 7,5 ha</w:t>
      </w:r>
      <w:r w:rsidR="00AE0ADE" w:rsidRPr="00AE0ADE">
        <w:t xml:space="preserve"> </w:t>
      </w:r>
      <w:r w:rsidR="00AE0ADE" w:rsidRPr="00AE0ADE">
        <w:rPr>
          <w:sz w:val="24"/>
          <w:szCs w:val="24"/>
        </w:rPr>
        <w:t>amostrais</w:t>
      </w:r>
      <w:r>
        <w:rPr>
          <w:sz w:val="24"/>
          <w:szCs w:val="24"/>
        </w:rPr>
        <w:t>. Fo</w:t>
      </w:r>
      <w:r w:rsidR="003926EB">
        <w:rPr>
          <w:sz w:val="24"/>
          <w:szCs w:val="24"/>
        </w:rPr>
        <w:t>ram</w:t>
      </w:r>
      <w:r>
        <w:rPr>
          <w:sz w:val="24"/>
          <w:szCs w:val="24"/>
        </w:rPr>
        <w:t xml:space="preserve"> estabelecida</w:t>
      </w:r>
      <w:r w:rsidR="009E35B1">
        <w:rPr>
          <w:sz w:val="24"/>
          <w:szCs w:val="24"/>
        </w:rPr>
        <w:t>s</w:t>
      </w:r>
      <w:r w:rsidR="004B6A4F">
        <w:rPr>
          <w:sz w:val="24"/>
          <w:szCs w:val="24"/>
        </w:rPr>
        <w:t xml:space="preserve"> para o estudo da distribuição diamétrica uma amplitude de 10</w:t>
      </w:r>
      <w:r w:rsidR="003926EB">
        <w:rPr>
          <w:sz w:val="24"/>
          <w:szCs w:val="24"/>
        </w:rPr>
        <w:t xml:space="preserve"> </w:t>
      </w:r>
      <w:r w:rsidR="004B6A4F">
        <w:rPr>
          <w:sz w:val="24"/>
          <w:szCs w:val="24"/>
        </w:rPr>
        <w:t xml:space="preserve">cm </w:t>
      </w:r>
      <w:r w:rsidR="003926EB">
        <w:rPr>
          <w:sz w:val="24"/>
          <w:szCs w:val="24"/>
        </w:rPr>
        <w:t xml:space="preserve">nas classes </w:t>
      </w:r>
      <w:r w:rsidR="004B6A4F">
        <w:rPr>
          <w:sz w:val="24"/>
          <w:szCs w:val="24"/>
        </w:rPr>
        <w:t xml:space="preserve">de DAP. </w:t>
      </w:r>
      <w:r w:rsidR="00477BB2">
        <w:rPr>
          <w:rFonts w:eastAsia="Arial"/>
          <w:sz w:val="24"/>
          <w:szCs w:val="24"/>
        </w:rPr>
        <w:t xml:space="preserve">Na distribuição diamétrica da espécie ocorreu o acúmulo de indivíduos nas </w:t>
      </w:r>
      <w:r w:rsidR="003926EB">
        <w:rPr>
          <w:rFonts w:eastAsia="Arial"/>
          <w:sz w:val="24"/>
          <w:szCs w:val="24"/>
        </w:rPr>
        <w:t xml:space="preserve">menores </w:t>
      </w:r>
      <w:r w:rsidR="00477BB2">
        <w:rPr>
          <w:rFonts w:eastAsia="Arial"/>
          <w:sz w:val="24"/>
          <w:szCs w:val="24"/>
        </w:rPr>
        <w:t>classes</w:t>
      </w:r>
      <w:r w:rsidR="003926EB">
        <w:rPr>
          <w:rFonts w:eastAsia="Arial"/>
          <w:sz w:val="24"/>
          <w:szCs w:val="24"/>
        </w:rPr>
        <w:t xml:space="preserve"> e poucos indivíduos nas classes superiores</w:t>
      </w:r>
      <w:r w:rsidR="00477BB2">
        <w:rPr>
          <w:rFonts w:eastAsia="Arial"/>
          <w:sz w:val="24"/>
          <w:szCs w:val="24"/>
        </w:rPr>
        <w:t>, seguindo o padrão normal d</w:t>
      </w:r>
      <w:r w:rsidR="00C66D8C">
        <w:rPr>
          <w:rFonts w:eastAsia="Arial"/>
          <w:sz w:val="24"/>
          <w:szCs w:val="24"/>
        </w:rPr>
        <w:t>e</w:t>
      </w:r>
      <w:r w:rsidR="00477BB2">
        <w:rPr>
          <w:rFonts w:eastAsia="Arial"/>
          <w:sz w:val="24"/>
          <w:szCs w:val="24"/>
        </w:rPr>
        <w:t xml:space="preserve"> florestas</w:t>
      </w:r>
      <w:r w:rsidR="00C66D8C">
        <w:rPr>
          <w:rFonts w:eastAsia="Arial"/>
          <w:sz w:val="24"/>
          <w:szCs w:val="24"/>
        </w:rPr>
        <w:t xml:space="preserve"> tropicais</w:t>
      </w:r>
      <w:r w:rsidR="00477BB2">
        <w:rPr>
          <w:rFonts w:eastAsia="Arial"/>
          <w:sz w:val="24"/>
          <w:szCs w:val="24"/>
        </w:rPr>
        <w:t xml:space="preserve"> inequiâneas, </w:t>
      </w:r>
      <w:r w:rsidR="00477BB2" w:rsidRPr="0004678B">
        <w:rPr>
          <w:rFonts w:eastAsia="Arial"/>
          <w:sz w:val="24"/>
          <w:szCs w:val="24"/>
        </w:rPr>
        <w:t>configura</w:t>
      </w:r>
      <w:r w:rsidR="00477BB2">
        <w:rPr>
          <w:rFonts w:eastAsia="Arial"/>
          <w:sz w:val="24"/>
          <w:szCs w:val="24"/>
        </w:rPr>
        <w:t>n</w:t>
      </w:r>
      <w:r w:rsidR="00477BB2" w:rsidRPr="0004678B">
        <w:rPr>
          <w:rFonts w:eastAsia="Arial"/>
          <w:sz w:val="24"/>
          <w:szCs w:val="24"/>
        </w:rPr>
        <w:t>do</w:t>
      </w:r>
      <w:r w:rsidR="00477BB2">
        <w:rPr>
          <w:rFonts w:eastAsia="Arial"/>
          <w:sz w:val="24"/>
          <w:szCs w:val="24"/>
        </w:rPr>
        <w:t xml:space="preserve"> assim</w:t>
      </w:r>
      <w:r w:rsidR="00477BB2" w:rsidRPr="0004678B">
        <w:rPr>
          <w:rFonts w:eastAsia="Arial"/>
          <w:sz w:val="24"/>
          <w:szCs w:val="24"/>
        </w:rPr>
        <w:t xml:space="preserve"> uma curva do tipo decrescente</w:t>
      </w:r>
      <w:r w:rsidR="00C66D8C">
        <w:rPr>
          <w:rFonts w:eastAsia="Arial"/>
          <w:sz w:val="24"/>
          <w:szCs w:val="24"/>
        </w:rPr>
        <w:t xml:space="preserve"> e contínua</w:t>
      </w:r>
      <w:r w:rsidR="00FE5968">
        <w:rPr>
          <w:rFonts w:eastAsia="Arial"/>
          <w:sz w:val="24"/>
          <w:szCs w:val="24"/>
        </w:rPr>
        <w:t xml:space="preserve"> (J-invertido)</w:t>
      </w:r>
      <w:r w:rsidR="00477BB2">
        <w:rPr>
          <w:rFonts w:eastAsia="Arial"/>
          <w:sz w:val="24"/>
          <w:szCs w:val="24"/>
        </w:rPr>
        <w:t xml:space="preserve">. </w:t>
      </w:r>
      <w:r w:rsidR="0010139A" w:rsidRPr="00CB0A91">
        <w:rPr>
          <w:iCs/>
          <w:sz w:val="24"/>
          <w:szCs w:val="24"/>
        </w:rPr>
        <w:t>A estrutura da população foi analisada em relação aos parâmetros fitosso</w:t>
      </w:r>
      <w:r w:rsidR="0010139A">
        <w:rPr>
          <w:iCs/>
          <w:sz w:val="24"/>
          <w:szCs w:val="24"/>
        </w:rPr>
        <w:t>ciológicos, como</w:t>
      </w:r>
      <w:r w:rsidR="003926EB">
        <w:rPr>
          <w:iCs/>
          <w:sz w:val="24"/>
          <w:szCs w:val="24"/>
        </w:rPr>
        <w:t xml:space="preserve"> a</w:t>
      </w:r>
      <w:r w:rsidR="0010139A">
        <w:rPr>
          <w:iCs/>
          <w:sz w:val="24"/>
          <w:szCs w:val="24"/>
        </w:rPr>
        <w:t xml:space="preserve"> densidade absoluta</w:t>
      </w:r>
      <w:r w:rsidR="0010139A" w:rsidRPr="00CB0A91">
        <w:rPr>
          <w:iCs/>
          <w:sz w:val="24"/>
          <w:szCs w:val="24"/>
        </w:rPr>
        <w:t xml:space="preserve"> </w:t>
      </w:r>
      <w:r w:rsidR="0010139A">
        <w:rPr>
          <w:iCs/>
          <w:sz w:val="24"/>
          <w:szCs w:val="24"/>
        </w:rPr>
        <w:t xml:space="preserve">da espécie </w:t>
      </w:r>
      <w:r w:rsidR="003926EB">
        <w:rPr>
          <w:iCs/>
          <w:sz w:val="24"/>
          <w:szCs w:val="24"/>
        </w:rPr>
        <w:t xml:space="preserve">que </w:t>
      </w:r>
      <w:r w:rsidR="0010139A">
        <w:rPr>
          <w:iCs/>
          <w:sz w:val="24"/>
          <w:szCs w:val="24"/>
        </w:rPr>
        <w:t xml:space="preserve">foi </w:t>
      </w:r>
      <w:r w:rsidR="0010139A" w:rsidRPr="0012613B">
        <w:rPr>
          <w:iCs/>
          <w:sz w:val="24"/>
          <w:szCs w:val="24"/>
        </w:rPr>
        <w:t xml:space="preserve">de </w:t>
      </w:r>
      <w:r w:rsidR="003C5A93">
        <w:rPr>
          <w:iCs/>
          <w:sz w:val="24"/>
          <w:szCs w:val="24"/>
        </w:rPr>
        <w:t xml:space="preserve">18,26 </w:t>
      </w:r>
      <w:proofErr w:type="gramStart"/>
      <w:r w:rsidR="003C5A93" w:rsidRPr="0012613B">
        <w:rPr>
          <w:iCs/>
          <w:sz w:val="24"/>
          <w:szCs w:val="24"/>
        </w:rPr>
        <w:t>ind</w:t>
      </w:r>
      <w:r w:rsidR="003C5A93">
        <w:rPr>
          <w:iCs/>
          <w:sz w:val="24"/>
          <w:szCs w:val="24"/>
        </w:rPr>
        <w:t>.ha</w:t>
      </w:r>
      <w:proofErr w:type="gramEnd"/>
      <w:r w:rsidR="003C5A93">
        <w:rPr>
          <w:iCs/>
          <w:sz w:val="24"/>
          <w:szCs w:val="24"/>
        </w:rPr>
        <w:t xml:space="preserve">-¹, (2009), 15,86 </w:t>
      </w:r>
      <w:r w:rsidR="003C5A93" w:rsidRPr="0012613B">
        <w:rPr>
          <w:iCs/>
          <w:sz w:val="24"/>
          <w:szCs w:val="24"/>
        </w:rPr>
        <w:t>ind</w:t>
      </w:r>
      <w:r w:rsidR="003C5A93">
        <w:rPr>
          <w:iCs/>
          <w:sz w:val="24"/>
          <w:szCs w:val="24"/>
        </w:rPr>
        <w:t xml:space="preserve">.ha-¹, (2012) e 12,66 </w:t>
      </w:r>
      <w:r w:rsidR="003C5A93" w:rsidRPr="0012613B">
        <w:rPr>
          <w:iCs/>
          <w:sz w:val="24"/>
          <w:szCs w:val="24"/>
        </w:rPr>
        <w:t>ind</w:t>
      </w:r>
      <w:r w:rsidR="003C5A93">
        <w:rPr>
          <w:iCs/>
          <w:sz w:val="24"/>
          <w:szCs w:val="24"/>
        </w:rPr>
        <w:t>.ha-¹, (2014)</w:t>
      </w:r>
      <w:r w:rsidR="0010139A">
        <w:rPr>
          <w:iCs/>
          <w:sz w:val="24"/>
          <w:szCs w:val="24"/>
        </w:rPr>
        <w:t xml:space="preserve">, </w:t>
      </w:r>
      <w:r w:rsidR="003C5A93">
        <w:rPr>
          <w:iCs/>
          <w:sz w:val="24"/>
          <w:szCs w:val="24"/>
        </w:rPr>
        <w:t xml:space="preserve">a </w:t>
      </w:r>
      <w:r w:rsidR="0010139A">
        <w:rPr>
          <w:iCs/>
          <w:sz w:val="24"/>
          <w:szCs w:val="24"/>
        </w:rPr>
        <w:t>frequência absoluta</w:t>
      </w:r>
      <w:r w:rsidR="003C5A93">
        <w:rPr>
          <w:iCs/>
          <w:sz w:val="24"/>
          <w:szCs w:val="24"/>
        </w:rPr>
        <w:t xml:space="preserve"> </w:t>
      </w:r>
      <w:r w:rsidR="00F93E1A">
        <w:rPr>
          <w:iCs/>
          <w:sz w:val="24"/>
          <w:szCs w:val="24"/>
        </w:rPr>
        <w:t>permaneceu</w:t>
      </w:r>
      <w:r w:rsidR="003C5A93">
        <w:rPr>
          <w:iCs/>
          <w:sz w:val="24"/>
          <w:szCs w:val="24"/>
        </w:rPr>
        <w:t xml:space="preserve"> constante</w:t>
      </w:r>
      <w:r w:rsidR="00F93E1A">
        <w:rPr>
          <w:iCs/>
          <w:sz w:val="24"/>
          <w:szCs w:val="24"/>
        </w:rPr>
        <w:t xml:space="preserve"> </w:t>
      </w:r>
      <w:r w:rsidR="003C5A93">
        <w:rPr>
          <w:iCs/>
          <w:sz w:val="24"/>
          <w:szCs w:val="24"/>
        </w:rPr>
        <w:t>nos anos de 2009 e 2012</w:t>
      </w:r>
      <w:r w:rsidR="00F93E1A">
        <w:rPr>
          <w:iCs/>
          <w:sz w:val="24"/>
          <w:szCs w:val="24"/>
        </w:rPr>
        <w:t xml:space="preserve"> (90%)</w:t>
      </w:r>
      <w:r w:rsidR="003C5A93">
        <w:rPr>
          <w:iCs/>
          <w:sz w:val="24"/>
          <w:szCs w:val="24"/>
        </w:rPr>
        <w:t xml:space="preserve"> e em 2014</w:t>
      </w:r>
      <w:r w:rsidR="00F93E1A">
        <w:rPr>
          <w:iCs/>
          <w:sz w:val="24"/>
          <w:szCs w:val="24"/>
        </w:rPr>
        <w:t xml:space="preserve"> cresceu para 93%, e a</w:t>
      </w:r>
      <w:r w:rsidR="0012613B">
        <w:rPr>
          <w:iCs/>
          <w:sz w:val="24"/>
          <w:szCs w:val="24"/>
        </w:rPr>
        <w:t xml:space="preserve"> </w:t>
      </w:r>
      <w:r w:rsidR="004C408C">
        <w:rPr>
          <w:iCs/>
          <w:sz w:val="24"/>
          <w:szCs w:val="24"/>
        </w:rPr>
        <w:t>área basal</w:t>
      </w:r>
      <w:r w:rsidR="004C408C" w:rsidRPr="00CB0A91">
        <w:rPr>
          <w:iCs/>
          <w:sz w:val="24"/>
          <w:szCs w:val="24"/>
        </w:rPr>
        <w:t xml:space="preserve"> </w:t>
      </w:r>
      <w:r w:rsidR="00F93E1A">
        <w:rPr>
          <w:iCs/>
          <w:sz w:val="24"/>
          <w:szCs w:val="24"/>
        </w:rPr>
        <w:t>da espécie</w:t>
      </w:r>
      <w:r w:rsidR="0012613B">
        <w:rPr>
          <w:iCs/>
          <w:sz w:val="24"/>
          <w:szCs w:val="24"/>
        </w:rPr>
        <w:t xml:space="preserve"> </w:t>
      </w:r>
      <w:r w:rsidR="00F93E1A">
        <w:rPr>
          <w:iCs/>
          <w:sz w:val="24"/>
          <w:szCs w:val="24"/>
        </w:rPr>
        <w:t xml:space="preserve">foi 0,53 </w:t>
      </w:r>
      <w:r w:rsidR="0012613B">
        <w:rPr>
          <w:iCs/>
          <w:sz w:val="24"/>
          <w:szCs w:val="24"/>
        </w:rPr>
        <w:t>m²</w:t>
      </w:r>
      <w:r w:rsidR="00C66D8C">
        <w:rPr>
          <w:iCs/>
          <w:sz w:val="24"/>
          <w:szCs w:val="24"/>
        </w:rPr>
        <w:t>.h</w:t>
      </w:r>
      <w:r w:rsidR="009C2599">
        <w:rPr>
          <w:iCs/>
          <w:sz w:val="24"/>
          <w:szCs w:val="24"/>
        </w:rPr>
        <w:t>a</w:t>
      </w:r>
      <w:r w:rsidR="00C66D8C" w:rsidRPr="009C2599">
        <w:rPr>
          <w:iCs/>
          <w:sz w:val="24"/>
          <w:szCs w:val="24"/>
          <w:vertAlign w:val="superscript"/>
        </w:rPr>
        <w:t>-1</w:t>
      </w:r>
      <w:r w:rsidR="00F93E1A">
        <w:rPr>
          <w:iCs/>
          <w:sz w:val="24"/>
          <w:szCs w:val="24"/>
        </w:rPr>
        <w:t>(2009), aumentou para 0,58</w:t>
      </w:r>
      <w:r w:rsidR="00D7690F">
        <w:rPr>
          <w:iCs/>
          <w:sz w:val="24"/>
          <w:szCs w:val="24"/>
          <w:vertAlign w:val="superscript"/>
        </w:rPr>
        <w:t xml:space="preserve"> </w:t>
      </w:r>
      <w:r w:rsidR="00F93E1A">
        <w:rPr>
          <w:iCs/>
          <w:sz w:val="24"/>
          <w:szCs w:val="24"/>
        </w:rPr>
        <w:t>m².ha</w:t>
      </w:r>
      <w:r w:rsidR="00F93E1A" w:rsidRPr="009C2599">
        <w:rPr>
          <w:iCs/>
          <w:sz w:val="24"/>
          <w:szCs w:val="24"/>
          <w:vertAlign w:val="superscript"/>
        </w:rPr>
        <w:t>-1</w:t>
      </w:r>
      <w:r w:rsidR="00F93E1A">
        <w:rPr>
          <w:iCs/>
          <w:sz w:val="24"/>
          <w:szCs w:val="24"/>
          <w:vertAlign w:val="superscript"/>
        </w:rPr>
        <w:t xml:space="preserve"> </w:t>
      </w:r>
      <w:r w:rsidR="00F93E1A">
        <w:rPr>
          <w:iCs/>
          <w:sz w:val="24"/>
          <w:szCs w:val="24"/>
        </w:rPr>
        <w:t>(2012) e decresceu para 0,52 m².ha</w:t>
      </w:r>
      <w:r w:rsidR="00F93E1A" w:rsidRPr="009C2599">
        <w:rPr>
          <w:iCs/>
          <w:sz w:val="24"/>
          <w:szCs w:val="24"/>
          <w:vertAlign w:val="superscript"/>
        </w:rPr>
        <w:t>-</w:t>
      </w:r>
      <w:r w:rsidR="00F93E1A" w:rsidRPr="00F93E1A">
        <w:rPr>
          <w:iCs/>
          <w:sz w:val="24"/>
          <w:szCs w:val="24"/>
        </w:rPr>
        <w:t>1</w:t>
      </w:r>
      <w:r w:rsidR="00F93E1A">
        <w:rPr>
          <w:iCs/>
          <w:sz w:val="24"/>
          <w:szCs w:val="24"/>
        </w:rPr>
        <w:t xml:space="preserve"> (2014)</w:t>
      </w:r>
      <w:r w:rsidR="0010139A" w:rsidRPr="00CB0A91">
        <w:rPr>
          <w:iCs/>
          <w:sz w:val="24"/>
          <w:szCs w:val="24"/>
        </w:rPr>
        <w:t xml:space="preserve">. </w:t>
      </w:r>
      <w:r w:rsidR="0010139A" w:rsidRPr="00CB0A91">
        <w:rPr>
          <w:rFonts w:eastAsia="Arial"/>
          <w:sz w:val="24"/>
          <w:szCs w:val="24"/>
        </w:rPr>
        <w:t>Os resultados</w:t>
      </w:r>
      <w:r w:rsidR="00FE5968">
        <w:rPr>
          <w:rFonts w:eastAsia="Arial"/>
          <w:sz w:val="24"/>
          <w:szCs w:val="24"/>
        </w:rPr>
        <w:t xml:space="preserve"> deste estudo apontam que a população de </w:t>
      </w:r>
      <w:r w:rsidR="00FE5968">
        <w:rPr>
          <w:i/>
          <w:sz w:val="24"/>
          <w:szCs w:val="24"/>
        </w:rPr>
        <w:t>Z. ekmanni</w:t>
      </w:r>
      <w:r w:rsidR="00FE5968">
        <w:rPr>
          <w:sz w:val="24"/>
          <w:szCs w:val="24"/>
        </w:rPr>
        <w:t xml:space="preserve"> </w:t>
      </w:r>
      <w:r w:rsidR="008302B7" w:rsidRPr="00145203">
        <w:rPr>
          <w:rFonts w:eastAsia="Arial"/>
          <w:sz w:val="24"/>
          <w:szCs w:val="24"/>
        </w:rPr>
        <w:t>(U</w:t>
      </w:r>
      <w:r w:rsidR="008302B7">
        <w:rPr>
          <w:rFonts w:eastAsia="Arial"/>
          <w:sz w:val="24"/>
          <w:szCs w:val="24"/>
        </w:rPr>
        <w:t>rb</w:t>
      </w:r>
      <w:r w:rsidR="008302B7" w:rsidRPr="00145203">
        <w:rPr>
          <w:rFonts w:eastAsia="Arial"/>
          <w:sz w:val="24"/>
          <w:szCs w:val="24"/>
        </w:rPr>
        <w:t xml:space="preserve">.) Alain </w:t>
      </w:r>
      <w:r w:rsidR="00FE5968">
        <w:rPr>
          <w:rFonts w:eastAsia="Arial"/>
          <w:sz w:val="24"/>
          <w:szCs w:val="24"/>
        </w:rPr>
        <w:t xml:space="preserve">mostrou-se </w:t>
      </w:r>
      <w:r w:rsidR="004C408C">
        <w:rPr>
          <w:rFonts w:eastAsia="Arial"/>
          <w:sz w:val="24"/>
          <w:szCs w:val="24"/>
        </w:rPr>
        <w:t>decrescente</w:t>
      </w:r>
      <w:r w:rsidR="00FE5968">
        <w:rPr>
          <w:rFonts w:eastAsia="Arial"/>
          <w:sz w:val="24"/>
          <w:szCs w:val="24"/>
        </w:rPr>
        <w:t xml:space="preserve"> em densidade, </w:t>
      </w:r>
      <w:r w:rsidR="00F93E1A">
        <w:rPr>
          <w:rFonts w:eastAsia="Arial"/>
          <w:sz w:val="24"/>
          <w:szCs w:val="24"/>
        </w:rPr>
        <w:t xml:space="preserve">e </w:t>
      </w:r>
      <w:r w:rsidR="00FE5968">
        <w:rPr>
          <w:rFonts w:eastAsia="Arial"/>
          <w:sz w:val="24"/>
          <w:szCs w:val="24"/>
        </w:rPr>
        <w:t xml:space="preserve">dominância </w:t>
      </w:r>
      <w:r w:rsidR="004C408C">
        <w:rPr>
          <w:rFonts w:eastAsia="Arial"/>
          <w:sz w:val="24"/>
          <w:szCs w:val="24"/>
        </w:rPr>
        <w:t>em área basal nos cinco anos de monitoramento,</w:t>
      </w:r>
      <w:r w:rsidR="00FE5968">
        <w:rPr>
          <w:rFonts w:eastAsia="Arial"/>
          <w:sz w:val="24"/>
          <w:szCs w:val="24"/>
        </w:rPr>
        <w:t xml:space="preserve"> </w:t>
      </w:r>
      <w:r w:rsidR="00FE5968" w:rsidRPr="0004678B">
        <w:rPr>
          <w:color w:val="000000"/>
          <w:sz w:val="24"/>
          <w:szCs w:val="24"/>
        </w:rPr>
        <w:t xml:space="preserve">indicando </w:t>
      </w:r>
      <w:r w:rsidR="004C408C">
        <w:rPr>
          <w:color w:val="000000"/>
          <w:sz w:val="24"/>
          <w:szCs w:val="24"/>
        </w:rPr>
        <w:t xml:space="preserve">a característica de espécie pioneira e da </w:t>
      </w:r>
      <w:r w:rsidR="00FE5968" w:rsidRPr="0004678B">
        <w:rPr>
          <w:color w:val="000000"/>
          <w:sz w:val="24"/>
          <w:szCs w:val="24"/>
        </w:rPr>
        <w:t>necessi</w:t>
      </w:r>
      <w:r w:rsidR="004C408C">
        <w:rPr>
          <w:color w:val="000000"/>
          <w:sz w:val="24"/>
          <w:szCs w:val="24"/>
        </w:rPr>
        <w:t>dade</w:t>
      </w:r>
      <w:r w:rsidR="00FE5968" w:rsidRPr="0004678B">
        <w:rPr>
          <w:color w:val="000000"/>
          <w:sz w:val="24"/>
          <w:szCs w:val="24"/>
        </w:rPr>
        <w:t xml:space="preserve"> de manejo específico e de aplicação de tratamen</w:t>
      </w:r>
      <w:r w:rsidR="00FE5968">
        <w:rPr>
          <w:color w:val="000000"/>
          <w:sz w:val="24"/>
          <w:szCs w:val="24"/>
        </w:rPr>
        <w:t xml:space="preserve">tos silviculturais que venham </w:t>
      </w:r>
      <w:r w:rsidR="00FE5968" w:rsidRPr="0004678B">
        <w:rPr>
          <w:color w:val="000000"/>
          <w:sz w:val="24"/>
          <w:szCs w:val="24"/>
        </w:rPr>
        <w:t xml:space="preserve">promover o aumento da sua regeneração natural </w:t>
      </w:r>
      <w:r w:rsidR="004C408C">
        <w:rPr>
          <w:color w:val="000000"/>
          <w:sz w:val="24"/>
          <w:szCs w:val="24"/>
        </w:rPr>
        <w:t>e posterior recrutamento das mesmas com o avanço sucessional da floresta.</w:t>
      </w:r>
      <w:r w:rsidR="007A411C">
        <w:rPr>
          <w:color w:val="000000"/>
          <w:sz w:val="24"/>
          <w:szCs w:val="24"/>
        </w:rPr>
        <w:t xml:space="preserve"> Apontando a </w:t>
      </w:r>
      <w:r w:rsidR="004C408C">
        <w:rPr>
          <w:color w:val="000000"/>
          <w:sz w:val="24"/>
          <w:szCs w:val="24"/>
        </w:rPr>
        <w:t xml:space="preserve"> </w:t>
      </w:r>
      <w:r w:rsidR="00FE5968">
        <w:rPr>
          <w:color w:val="000000"/>
          <w:sz w:val="24"/>
          <w:szCs w:val="24"/>
        </w:rPr>
        <w:t xml:space="preserve"> </w:t>
      </w:r>
      <w:r w:rsidR="006F1586">
        <w:rPr>
          <w:color w:val="000000"/>
          <w:sz w:val="24"/>
          <w:szCs w:val="24"/>
        </w:rPr>
        <w:t>silvicultura</w:t>
      </w:r>
      <w:r w:rsidR="00FE5968">
        <w:rPr>
          <w:color w:val="000000"/>
          <w:sz w:val="24"/>
          <w:szCs w:val="24"/>
        </w:rPr>
        <w:t xml:space="preserve"> em clareiras</w:t>
      </w:r>
      <w:r w:rsidR="007A411C">
        <w:rPr>
          <w:color w:val="000000"/>
          <w:sz w:val="24"/>
          <w:szCs w:val="24"/>
        </w:rPr>
        <w:t xml:space="preserve"> uma opção de manejo</w:t>
      </w:r>
      <w:r w:rsidR="00FE5968">
        <w:rPr>
          <w:color w:val="000000"/>
          <w:sz w:val="24"/>
          <w:szCs w:val="24"/>
        </w:rPr>
        <w:t>.</w:t>
      </w:r>
    </w:p>
    <w:p w14:paraId="79FAE433" w14:textId="77777777" w:rsidR="0012462E" w:rsidRPr="004F6258" w:rsidRDefault="0012462E" w:rsidP="0012462E">
      <w:pPr>
        <w:rPr>
          <w:b/>
          <w:bCs/>
          <w:sz w:val="24"/>
          <w:szCs w:val="24"/>
        </w:rPr>
      </w:pPr>
    </w:p>
    <w:p w14:paraId="29117BE1" w14:textId="53FD88ED" w:rsidR="0012462E" w:rsidRPr="00686D87" w:rsidRDefault="0012462E" w:rsidP="00686D87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A908C6">
        <w:rPr>
          <w:iCs/>
          <w:spacing w:val="-1"/>
          <w:sz w:val="24"/>
          <w:szCs w:val="24"/>
        </w:rPr>
        <w:t>E</w:t>
      </w:r>
      <w:r w:rsidR="00145203" w:rsidRPr="00686D87">
        <w:rPr>
          <w:iCs/>
          <w:spacing w:val="-1"/>
          <w:sz w:val="24"/>
          <w:szCs w:val="24"/>
        </w:rPr>
        <w:t>strutura de população</w:t>
      </w:r>
      <w:r w:rsidR="00686D87" w:rsidRPr="00686D87">
        <w:rPr>
          <w:iCs/>
          <w:spacing w:val="-1"/>
          <w:sz w:val="24"/>
          <w:szCs w:val="24"/>
        </w:rPr>
        <w:t>.</w:t>
      </w:r>
      <w:r w:rsidR="00686D87">
        <w:rPr>
          <w:iCs/>
          <w:spacing w:val="-1"/>
          <w:sz w:val="24"/>
          <w:szCs w:val="24"/>
        </w:rPr>
        <w:t xml:space="preserve"> </w:t>
      </w:r>
      <w:r w:rsidR="00A908C6">
        <w:rPr>
          <w:iCs/>
          <w:spacing w:val="-1"/>
          <w:sz w:val="24"/>
          <w:szCs w:val="24"/>
        </w:rPr>
        <w:t>F</w:t>
      </w:r>
      <w:r w:rsidR="007A411C" w:rsidRPr="00686D87">
        <w:rPr>
          <w:iCs/>
          <w:spacing w:val="-1"/>
          <w:sz w:val="24"/>
          <w:szCs w:val="24"/>
        </w:rPr>
        <w:t>loresta tropical</w:t>
      </w:r>
      <w:r w:rsidR="007A411C">
        <w:rPr>
          <w:iCs/>
          <w:spacing w:val="-1"/>
          <w:sz w:val="24"/>
          <w:szCs w:val="24"/>
        </w:rPr>
        <w:t xml:space="preserve">. </w:t>
      </w:r>
      <w:r w:rsidR="00A908C6">
        <w:rPr>
          <w:iCs/>
          <w:spacing w:val="-1"/>
          <w:sz w:val="24"/>
          <w:szCs w:val="24"/>
        </w:rPr>
        <w:t>L</w:t>
      </w:r>
      <w:r w:rsidR="00686D87" w:rsidRPr="00686D87">
        <w:rPr>
          <w:iCs/>
          <w:spacing w:val="-1"/>
          <w:sz w:val="24"/>
          <w:szCs w:val="24"/>
        </w:rPr>
        <w:t>imãozinho</w:t>
      </w:r>
      <w:r w:rsidR="00145203" w:rsidRPr="00686D87">
        <w:rPr>
          <w:iCs/>
          <w:spacing w:val="-1"/>
          <w:sz w:val="24"/>
          <w:szCs w:val="24"/>
        </w:rPr>
        <w:t>.</w:t>
      </w:r>
      <w:r w:rsidR="007A411C" w:rsidRPr="007A411C">
        <w:rPr>
          <w:bCs/>
          <w:sz w:val="24"/>
          <w:szCs w:val="24"/>
        </w:rPr>
        <w:t xml:space="preserve"> </w:t>
      </w:r>
      <w:r w:rsidR="00A908C6">
        <w:rPr>
          <w:bCs/>
          <w:sz w:val="24"/>
          <w:szCs w:val="24"/>
        </w:rPr>
        <w:t>M</w:t>
      </w:r>
      <w:r w:rsidR="007A411C" w:rsidRPr="009E35B1">
        <w:rPr>
          <w:bCs/>
          <w:sz w:val="24"/>
          <w:szCs w:val="24"/>
        </w:rPr>
        <w:t>anejo florestal</w:t>
      </w:r>
      <w:r w:rsidR="007A411C">
        <w:rPr>
          <w:bCs/>
          <w:sz w:val="24"/>
          <w:szCs w:val="24"/>
        </w:rPr>
        <w:t>.</w:t>
      </w:r>
    </w:p>
    <w:p w14:paraId="1ECA2A40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4CC3A5FA" w14:textId="77777777" w:rsidR="0012462E" w:rsidRDefault="0012462E" w:rsidP="00686D87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686D87">
        <w:rPr>
          <w:sz w:val="24"/>
          <w:szCs w:val="24"/>
        </w:rPr>
        <w:t>Recursos Florestais e Engenharia Florestal.</w:t>
      </w:r>
    </w:p>
    <w:p w14:paraId="08C341AA" w14:textId="77777777" w:rsidR="00C02E59" w:rsidRPr="00686D87" w:rsidRDefault="00C02E59" w:rsidP="00686D87">
      <w:pPr>
        <w:jc w:val="both"/>
        <w:rPr>
          <w:sz w:val="24"/>
          <w:szCs w:val="24"/>
        </w:rPr>
      </w:pPr>
    </w:p>
    <w:p w14:paraId="45BAC211" w14:textId="77777777" w:rsidR="0012462E" w:rsidRDefault="0012462E" w:rsidP="00CD6E2B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02E59">
        <w:rPr>
          <w:b/>
          <w:sz w:val="24"/>
          <w:szCs w:val="24"/>
        </w:rPr>
        <w:t>INTRODUÇÃO</w:t>
      </w:r>
    </w:p>
    <w:p w14:paraId="28B3DF91" w14:textId="77777777" w:rsidR="00CD6E2B" w:rsidRPr="00001E41" w:rsidRDefault="00CD6E2B" w:rsidP="00CD6E2B">
      <w:pPr>
        <w:tabs>
          <w:tab w:val="left" w:pos="1290"/>
        </w:tabs>
        <w:jc w:val="both"/>
        <w:rPr>
          <w:color w:val="FF0000"/>
          <w:sz w:val="24"/>
          <w:szCs w:val="28"/>
        </w:rPr>
      </w:pPr>
    </w:p>
    <w:p w14:paraId="17948BE7" w14:textId="42582DFB" w:rsidR="00686D87" w:rsidRPr="009B173E" w:rsidRDefault="00A52542" w:rsidP="00A52542">
      <w:pPr>
        <w:spacing w:line="360" w:lineRule="auto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 crescente busca</w:t>
      </w:r>
      <w:r w:rsidR="00396EAA">
        <w:rPr>
          <w:rFonts w:eastAsia="Arial"/>
          <w:sz w:val="24"/>
          <w:szCs w:val="24"/>
        </w:rPr>
        <w:t xml:space="preserve"> por recursos </w:t>
      </w:r>
      <w:r w:rsidR="00842723">
        <w:rPr>
          <w:rFonts w:eastAsia="Arial"/>
          <w:sz w:val="24"/>
          <w:szCs w:val="24"/>
        </w:rPr>
        <w:t xml:space="preserve">florestais </w:t>
      </w:r>
      <w:r w:rsidR="00396EAA">
        <w:rPr>
          <w:rFonts w:eastAsia="Arial"/>
          <w:sz w:val="24"/>
          <w:szCs w:val="24"/>
        </w:rPr>
        <w:t>madeireiros</w:t>
      </w:r>
      <w:r w:rsidR="00842723">
        <w:rPr>
          <w:rFonts w:eastAsia="Arial"/>
          <w:sz w:val="24"/>
          <w:szCs w:val="24"/>
        </w:rPr>
        <w:t xml:space="preserve"> tem crescido consideravelmente na região amazônica</w:t>
      </w:r>
      <w:r w:rsidR="009B173E">
        <w:rPr>
          <w:rFonts w:eastAsia="Arial"/>
          <w:sz w:val="24"/>
          <w:szCs w:val="24"/>
        </w:rPr>
        <w:t>, e para que a retirada desses recurs</w:t>
      </w:r>
      <w:r>
        <w:rPr>
          <w:rFonts w:eastAsia="Arial"/>
          <w:sz w:val="24"/>
          <w:szCs w:val="24"/>
        </w:rPr>
        <w:t>os, ocorra de forma sustentável</w:t>
      </w:r>
      <w:r w:rsidR="009B173E">
        <w:rPr>
          <w:rFonts w:eastAsia="Arial"/>
          <w:sz w:val="24"/>
          <w:szCs w:val="24"/>
        </w:rPr>
        <w:t xml:space="preserve"> estudos</w:t>
      </w:r>
      <w:r>
        <w:rPr>
          <w:rFonts w:eastAsia="Arial"/>
          <w:sz w:val="24"/>
          <w:szCs w:val="24"/>
        </w:rPr>
        <w:t xml:space="preserve"> fitossociológicos </w:t>
      </w:r>
      <w:r w:rsidR="009B173E">
        <w:rPr>
          <w:rFonts w:eastAsia="Arial"/>
          <w:sz w:val="24"/>
          <w:szCs w:val="24"/>
        </w:rPr>
        <w:t xml:space="preserve">e técnicas de </w:t>
      </w:r>
      <w:r>
        <w:rPr>
          <w:rFonts w:eastAsia="Arial"/>
          <w:sz w:val="24"/>
          <w:szCs w:val="24"/>
        </w:rPr>
        <w:t xml:space="preserve">bom </w:t>
      </w:r>
      <w:r w:rsidR="009B173E">
        <w:rPr>
          <w:rFonts w:eastAsia="Arial"/>
          <w:sz w:val="24"/>
          <w:szCs w:val="24"/>
        </w:rPr>
        <w:t xml:space="preserve">manejo devem ser utilizados. </w:t>
      </w:r>
      <w:r w:rsidR="00686D87" w:rsidRPr="0081191A">
        <w:rPr>
          <w:rFonts w:eastAsia="Arial"/>
          <w:sz w:val="24"/>
          <w:szCs w:val="24"/>
        </w:rPr>
        <w:t>As florestas tropicais são caracterizadas pela alta densidade de plantas e pela grande diversidade de espécies, cujos ritmos de crescimento são, em geral, diferentes (</w:t>
      </w:r>
      <w:r w:rsidR="00440E4F" w:rsidRPr="0081191A">
        <w:rPr>
          <w:rFonts w:eastAsia="Arial"/>
          <w:sz w:val="24"/>
          <w:szCs w:val="24"/>
        </w:rPr>
        <w:t>PUIG,</w:t>
      </w:r>
      <w:r w:rsidR="00686D87" w:rsidRPr="0081191A">
        <w:rPr>
          <w:rFonts w:eastAsia="Arial"/>
          <w:sz w:val="24"/>
          <w:szCs w:val="24"/>
        </w:rPr>
        <w:t xml:space="preserve"> 2008). No entanto, </w:t>
      </w:r>
      <w:r w:rsidR="00686D87" w:rsidRPr="0081191A">
        <w:rPr>
          <w:sz w:val="24"/>
          <w:szCs w:val="24"/>
        </w:rPr>
        <w:t xml:space="preserve">estas espécies ainda estão sujeitas às formas de exploração tradicionais, </w:t>
      </w:r>
      <w:r w:rsidR="00920C2F">
        <w:rPr>
          <w:sz w:val="24"/>
          <w:szCs w:val="24"/>
        </w:rPr>
        <w:t xml:space="preserve">o que torna </w:t>
      </w:r>
      <w:r w:rsidR="00686D87" w:rsidRPr="0081191A">
        <w:rPr>
          <w:sz w:val="24"/>
          <w:szCs w:val="24"/>
        </w:rPr>
        <w:t xml:space="preserve">necessário conhecer a estrutura </w:t>
      </w:r>
      <w:r w:rsidR="00114111">
        <w:rPr>
          <w:sz w:val="24"/>
          <w:szCs w:val="24"/>
        </w:rPr>
        <w:t>e dinâmica d</w:t>
      </w:r>
      <w:r w:rsidR="00114111" w:rsidRPr="0081191A">
        <w:rPr>
          <w:sz w:val="24"/>
          <w:szCs w:val="24"/>
        </w:rPr>
        <w:t>e</w:t>
      </w:r>
      <w:r w:rsidR="00114111">
        <w:rPr>
          <w:sz w:val="24"/>
          <w:szCs w:val="24"/>
        </w:rPr>
        <w:t>ssas</w:t>
      </w:r>
      <w:r w:rsidR="00114111" w:rsidRPr="0081191A">
        <w:rPr>
          <w:sz w:val="24"/>
          <w:szCs w:val="24"/>
        </w:rPr>
        <w:t xml:space="preserve"> </w:t>
      </w:r>
      <w:r w:rsidR="00114111">
        <w:rPr>
          <w:sz w:val="24"/>
          <w:szCs w:val="24"/>
        </w:rPr>
        <w:t>populações para melhor predizer técnicas específicas</w:t>
      </w:r>
      <w:r w:rsidR="00920C2F" w:rsidRPr="00920C2F">
        <w:rPr>
          <w:sz w:val="24"/>
          <w:szCs w:val="24"/>
        </w:rPr>
        <w:t xml:space="preserve"> </w:t>
      </w:r>
      <w:r w:rsidR="00920C2F">
        <w:rPr>
          <w:sz w:val="24"/>
          <w:szCs w:val="24"/>
        </w:rPr>
        <w:t xml:space="preserve">de silvicultura </w:t>
      </w:r>
      <w:r w:rsidR="00920C2F" w:rsidRPr="0081191A">
        <w:rPr>
          <w:sz w:val="24"/>
          <w:szCs w:val="24"/>
        </w:rPr>
        <w:t>e manejo</w:t>
      </w:r>
      <w:r w:rsidR="00114111">
        <w:rPr>
          <w:sz w:val="24"/>
          <w:szCs w:val="24"/>
        </w:rPr>
        <w:t xml:space="preserve">, </w:t>
      </w:r>
      <w:r w:rsidR="00114111" w:rsidRPr="0081191A">
        <w:rPr>
          <w:sz w:val="24"/>
          <w:szCs w:val="24"/>
        </w:rPr>
        <w:t xml:space="preserve">dentre </w:t>
      </w:r>
      <w:r w:rsidR="00114111">
        <w:rPr>
          <w:sz w:val="24"/>
          <w:szCs w:val="24"/>
        </w:rPr>
        <w:t>tais</w:t>
      </w:r>
      <w:r w:rsidR="00114111" w:rsidRPr="0081191A">
        <w:rPr>
          <w:sz w:val="24"/>
          <w:szCs w:val="24"/>
        </w:rPr>
        <w:t xml:space="preserve"> </w:t>
      </w:r>
      <w:r w:rsidR="00114111">
        <w:rPr>
          <w:sz w:val="24"/>
          <w:szCs w:val="24"/>
        </w:rPr>
        <w:t>populações destaca-se</w:t>
      </w:r>
      <w:r w:rsidR="00114111" w:rsidRPr="0081191A">
        <w:rPr>
          <w:sz w:val="24"/>
          <w:szCs w:val="24"/>
        </w:rPr>
        <w:t xml:space="preserve"> a </w:t>
      </w:r>
      <w:r w:rsidR="00114111">
        <w:rPr>
          <w:sz w:val="24"/>
          <w:szCs w:val="24"/>
        </w:rPr>
        <w:t xml:space="preserve">da </w:t>
      </w:r>
      <w:r w:rsidR="00114111" w:rsidRPr="0081191A">
        <w:rPr>
          <w:sz w:val="24"/>
          <w:szCs w:val="24"/>
        </w:rPr>
        <w:t>espécie</w:t>
      </w:r>
      <w:r w:rsidR="00114111" w:rsidRPr="00741114">
        <w:rPr>
          <w:i/>
          <w:sz w:val="24"/>
          <w:szCs w:val="24"/>
        </w:rPr>
        <w:t xml:space="preserve"> </w:t>
      </w:r>
      <w:r w:rsidR="007A411C" w:rsidRPr="0081191A">
        <w:rPr>
          <w:i/>
          <w:sz w:val="24"/>
          <w:szCs w:val="24"/>
        </w:rPr>
        <w:t>Zanthox</w:t>
      </w:r>
      <w:r w:rsidR="007A411C">
        <w:rPr>
          <w:i/>
          <w:sz w:val="24"/>
          <w:szCs w:val="24"/>
        </w:rPr>
        <w:t>y</w:t>
      </w:r>
      <w:r w:rsidR="007A411C" w:rsidRPr="0081191A">
        <w:rPr>
          <w:i/>
          <w:sz w:val="24"/>
          <w:szCs w:val="24"/>
        </w:rPr>
        <w:t xml:space="preserve">lum </w:t>
      </w:r>
      <w:r w:rsidR="00114111" w:rsidRPr="0081191A">
        <w:rPr>
          <w:i/>
          <w:sz w:val="24"/>
          <w:szCs w:val="24"/>
        </w:rPr>
        <w:t>ekmanii</w:t>
      </w:r>
      <w:r w:rsidR="007A411C">
        <w:rPr>
          <w:i/>
          <w:sz w:val="24"/>
          <w:szCs w:val="24"/>
        </w:rPr>
        <w:t xml:space="preserve"> </w:t>
      </w:r>
      <w:r w:rsidR="007A411C" w:rsidRPr="0081191A">
        <w:rPr>
          <w:sz w:val="24"/>
          <w:szCs w:val="24"/>
        </w:rPr>
        <w:t>(U</w:t>
      </w:r>
      <w:r w:rsidR="007A411C">
        <w:rPr>
          <w:sz w:val="24"/>
          <w:szCs w:val="24"/>
        </w:rPr>
        <w:t>rb</w:t>
      </w:r>
      <w:r w:rsidR="007A411C" w:rsidRPr="0081191A">
        <w:rPr>
          <w:sz w:val="24"/>
          <w:szCs w:val="24"/>
        </w:rPr>
        <w:t>.) Alain</w:t>
      </w:r>
      <w:r w:rsidR="00114111" w:rsidRPr="0081191A">
        <w:rPr>
          <w:sz w:val="24"/>
          <w:szCs w:val="24"/>
        </w:rPr>
        <w:t xml:space="preserve">, que </w:t>
      </w:r>
      <w:r w:rsidR="00114111">
        <w:rPr>
          <w:sz w:val="24"/>
          <w:szCs w:val="24"/>
        </w:rPr>
        <w:t>ainda</w:t>
      </w:r>
      <w:r w:rsidR="00114111" w:rsidRPr="0081191A">
        <w:rPr>
          <w:sz w:val="24"/>
          <w:szCs w:val="24"/>
        </w:rPr>
        <w:t xml:space="preserve"> possui</w:t>
      </w:r>
      <w:r w:rsidR="00114111">
        <w:rPr>
          <w:sz w:val="24"/>
          <w:szCs w:val="24"/>
        </w:rPr>
        <w:t xml:space="preserve"> poucos estudos científicos</w:t>
      </w:r>
      <w:r w:rsidR="00114111" w:rsidRPr="0081191A">
        <w:rPr>
          <w:sz w:val="24"/>
          <w:szCs w:val="24"/>
        </w:rPr>
        <w:t>.</w:t>
      </w:r>
    </w:p>
    <w:p w14:paraId="38C7E8AC" w14:textId="40B7DD7B" w:rsidR="00686D87" w:rsidRPr="0081191A" w:rsidRDefault="00686D87" w:rsidP="00686D87">
      <w:pPr>
        <w:tabs>
          <w:tab w:val="left" w:pos="3645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1191A">
        <w:rPr>
          <w:i/>
          <w:sz w:val="24"/>
          <w:szCs w:val="24"/>
        </w:rPr>
        <w:t>Zanthoxylum ekmanii</w:t>
      </w:r>
      <w:r w:rsidR="00440E4F">
        <w:rPr>
          <w:i/>
          <w:sz w:val="24"/>
          <w:szCs w:val="24"/>
        </w:rPr>
        <w:t xml:space="preserve"> </w:t>
      </w:r>
      <w:r w:rsidR="008F5346">
        <w:rPr>
          <w:sz w:val="24"/>
          <w:szCs w:val="24"/>
        </w:rPr>
        <w:t>(Urb</w:t>
      </w:r>
      <w:r w:rsidR="00440E4F">
        <w:rPr>
          <w:sz w:val="24"/>
          <w:szCs w:val="24"/>
        </w:rPr>
        <w:t>.) Alain</w:t>
      </w:r>
      <w:r w:rsidR="007A411C">
        <w:rPr>
          <w:i/>
          <w:sz w:val="24"/>
          <w:szCs w:val="24"/>
        </w:rPr>
        <w:t xml:space="preserve"> </w:t>
      </w:r>
      <w:r w:rsidR="007A411C" w:rsidRPr="00B47301">
        <w:rPr>
          <w:sz w:val="24"/>
          <w:szCs w:val="24"/>
        </w:rPr>
        <w:t>é</w:t>
      </w:r>
      <w:r w:rsidR="00B47301">
        <w:rPr>
          <w:sz w:val="24"/>
          <w:szCs w:val="24"/>
        </w:rPr>
        <w:t xml:space="preserve"> </w:t>
      </w:r>
      <w:r w:rsidRPr="0081191A">
        <w:rPr>
          <w:sz w:val="24"/>
          <w:szCs w:val="24"/>
        </w:rPr>
        <w:t>conhecido como limãozinho</w:t>
      </w:r>
      <w:r w:rsidR="007A411C">
        <w:rPr>
          <w:sz w:val="24"/>
          <w:szCs w:val="24"/>
        </w:rPr>
        <w:t>,</w:t>
      </w:r>
      <w:r w:rsidR="004B6A4F">
        <w:rPr>
          <w:sz w:val="24"/>
          <w:szCs w:val="24"/>
        </w:rPr>
        <w:t xml:space="preserve"> </w:t>
      </w:r>
      <w:proofErr w:type="spellStart"/>
      <w:r w:rsidR="004B6A4F">
        <w:rPr>
          <w:sz w:val="24"/>
          <w:szCs w:val="24"/>
        </w:rPr>
        <w:t>mamica</w:t>
      </w:r>
      <w:proofErr w:type="spellEnd"/>
      <w:r w:rsidR="007A411C">
        <w:rPr>
          <w:sz w:val="24"/>
          <w:szCs w:val="24"/>
        </w:rPr>
        <w:t>-</w:t>
      </w:r>
      <w:proofErr w:type="spellStart"/>
      <w:r w:rsidR="004B6A4F">
        <w:rPr>
          <w:sz w:val="24"/>
          <w:szCs w:val="24"/>
        </w:rPr>
        <w:t>de</w:t>
      </w:r>
      <w:r w:rsidR="007A411C">
        <w:rPr>
          <w:sz w:val="24"/>
          <w:szCs w:val="24"/>
        </w:rPr>
        <w:t>-</w:t>
      </w:r>
      <w:r w:rsidR="004B6A4F">
        <w:rPr>
          <w:sz w:val="24"/>
          <w:szCs w:val="24"/>
        </w:rPr>
        <w:t>porca</w:t>
      </w:r>
      <w:proofErr w:type="spellEnd"/>
      <w:r w:rsidR="007A411C">
        <w:rPr>
          <w:sz w:val="24"/>
          <w:szCs w:val="24"/>
        </w:rPr>
        <w:t xml:space="preserve"> e tamanque</w:t>
      </w:r>
      <w:r w:rsidR="00B47301">
        <w:rPr>
          <w:sz w:val="24"/>
          <w:szCs w:val="24"/>
        </w:rPr>
        <w:t>i</w:t>
      </w:r>
      <w:r w:rsidR="007A411C">
        <w:rPr>
          <w:sz w:val="24"/>
          <w:szCs w:val="24"/>
        </w:rPr>
        <w:t>ra</w:t>
      </w:r>
      <w:r w:rsidR="00B47301">
        <w:rPr>
          <w:sz w:val="24"/>
          <w:szCs w:val="24"/>
        </w:rPr>
        <w:t>,</w:t>
      </w:r>
      <w:r w:rsidRPr="0081191A">
        <w:rPr>
          <w:sz w:val="24"/>
          <w:szCs w:val="24"/>
        </w:rPr>
        <w:t xml:space="preserve"> pertence à família Rutaceae, e pode ser encontrado na Amazônia </w:t>
      </w:r>
      <w:r w:rsidR="0056660E">
        <w:rPr>
          <w:sz w:val="24"/>
          <w:szCs w:val="24"/>
        </w:rPr>
        <w:t>O</w:t>
      </w:r>
      <w:r w:rsidRPr="0081191A">
        <w:rPr>
          <w:sz w:val="24"/>
          <w:szCs w:val="24"/>
        </w:rPr>
        <w:t>cidental e partes do sul do México em altitudes de 0-1</w:t>
      </w:r>
      <w:r w:rsidR="00044ABE">
        <w:rPr>
          <w:sz w:val="24"/>
          <w:szCs w:val="24"/>
        </w:rPr>
        <w:t>.</w:t>
      </w:r>
      <w:r w:rsidRPr="0081191A">
        <w:rPr>
          <w:sz w:val="24"/>
          <w:szCs w:val="24"/>
        </w:rPr>
        <w:t xml:space="preserve">700 m. É uma árvore dióica, </w:t>
      </w:r>
      <w:r w:rsidR="001C4454">
        <w:rPr>
          <w:sz w:val="24"/>
          <w:szCs w:val="24"/>
        </w:rPr>
        <w:t>caduci</w:t>
      </w:r>
      <w:r w:rsidR="001C4454" w:rsidRPr="0081191A">
        <w:rPr>
          <w:sz w:val="24"/>
          <w:szCs w:val="24"/>
        </w:rPr>
        <w:t>fólia</w:t>
      </w:r>
      <w:r w:rsidR="001C4454">
        <w:rPr>
          <w:sz w:val="24"/>
          <w:szCs w:val="24"/>
        </w:rPr>
        <w:t xml:space="preserve"> a </w:t>
      </w:r>
      <w:proofErr w:type="spellStart"/>
      <w:r w:rsidR="001C4454">
        <w:rPr>
          <w:sz w:val="24"/>
          <w:szCs w:val="24"/>
        </w:rPr>
        <w:t>semi-caducifólia</w:t>
      </w:r>
      <w:proofErr w:type="spellEnd"/>
      <w:r w:rsidRPr="0081191A">
        <w:rPr>
          <w:sz w:val="24"/>
          <w:szCs w:val="24"/>
        </w:rPr>
        <w:t xml:space="preserve">, heliófita, assim considerada tipicamente secundária que necessita de aberturas no dossel para a entrada de radiação solar, possui rápido crescimento em clareiras e curta longevidade, </w:t>
      </w:r>
      <w:r>
        <w:rPr>
          <w:sz w:val="24"/>
          <w:szCs w:val="24"/>
        </w:rPr>
        <w:t>e pode</w:t>
      </w:r>
      <w:r w:rsidRPr="0081191A">
        <w:rPr>
          <w:sz w:val="24"/>
          <w:szCs w:val="24"/>
        </w:rPr>
        <w:t xml:space="preserve"> atingir cerca de 7 a 13 m de altura, apresenta casca com coloração cinza-escura, folhas compostas e presença de acúleos em forma de cones finos, com bases alagadas no tronco </w:t>
      </w:r>
      <w:r w:rsidR="006E0CC0" w:rsidRPr="0081191A">
        <w:rPr>
          <w:sz w:val="24"/>
          <w:szCs w:val="24"/>
        </w:rPr>
        <w:t>(</w:t>
      </w:r>
      <w:r w:rsidR="006E0CC0" w:rsidRPr="00735E43">
        <w:rPr>
          <w:sz w:val="24"/>
          <w:szCs w:val="24"/>
        </w:rPr>
        <w:t>FACUNDO</w:t>
      </w:r>
      <w:r w:rsidR="004E1ECD" w:rsidRPr="00735E43">
        <w:rPr>
          <w:sz w:val="24"/>
          <w:szCs w:val="24"/>
        </w:rPr>
        <w:t xml:space="preserve">; SILVEIRA, </w:t>
      </w:r>
      <w:r w:rsidRPr="00735E43">
        <w:rPr>
          <w:sz w:val="24"/>
          <w:szCs w:val="24"/>
        </w:rPr>
        <w:t xml:space="preserve">2005; </w:t>
      </w:r>
      <w:r w:rsidR="006E0CC0" w:rsidRPr="00735E43">
        <w:rPr>
          <w:sz w:val="24"/>
          <w:szCs w:val="24"/>
        </w:rPr>
        <w:t xml:space="preserve">RUSCHEL </w:t>
      </w:r>
      <w:r w:rsidRPr="00735E43">
        <w:rPr>
          <w:sz w:val="24"/>
          <w:szCs w:val="24"/>
        </w:rPr>
        <w:t>et al., 2015).</w:t>
      </w:r>
    </w:p>
    <w:p w14:paraId="750AC1BF" w14:textId="465222D0" w:rsidR="00686D87" w:rsidRDefault="00686D87" w:rsidP="00502C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1191A">
        <w:rPr>
          <w:sz w:val="24"/>
          <w:szCs w:val="24"/>
        </w:rPr>
        <w:t xml:space="preserve">De acordo com </w:t>
      </w:r>
      <w:proofErr w:type="spellStart"/>
      <w:r w:rsidRPr="0081191A">
        <w:rPr>
          <w:sz w:val="24"/>
          <w:szCs w:val="24"/>
        </w:rPr>
        <w:t>Bailey</w:t>
      </w:r>
      <w:proofErr w:type="spellEnd"/>
      <w:r w:rsidRPr="0081191A">
        <w:rPr>
          <w:sz w:val="24"/>
          <w:szCs w:val="24"/>
        </w:rPr>
        <w:t xml:space="preserve"> </w:t>
      </w:r>
      <w:r w:rsidR="005C4180">
        <w:rPr>
          <w:sz w:val="24"/>
          <w:szCs w:val="24"/>
        </w:rPr>
        <w:t>e</w:t>
      </w:r>
      <w:r w:rsidRPr="0081191A">
        <w:rPr>
          <w:sz w:val="24"/>
          <w:szCs w:val="24"/>
        </w:rPr>
        <w:t xml:space="preserve"> Dell (1973); Abreu et al.</w:t>
      </w:r>
      <w:r>
        <w:rPr>
          <w:sz w:val="24"/>
          <w:szCs w:val="24"/>
        </w:rPr>
        <w:t>,</w:t>
      </w:r>
      <w:r w:rsidRPr="0081191A">
        <w:rPr>
          <w:sz w:val="24"/>
          <w:szCs w:val="24"/>
        </w:rPr>
        <w:t xml:space="preserve"> (2014) a distribuição diamétrica, idade e densidade de uma população são alguns dos parâmetros da estrutura populacional da espécie, importantes para avaliar a viabilidade de seu manejo e definir propósitos biológicos, econômicos e financeiros, permitindo assim, inferir sobre o passado e o futuro das comunidades vegetais.</w:t>
      </w:r>
      <w:r w:rsidR="00502C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Além disso, </w:t>
      </w:r>
      <w:r w:rsidRPr="0081191A">
        <w:rPr>
          <w:sz w:val="24"/>
          <w:szCs w:val="24"/>
        </w:rPr>
        <w:t xml:space="preserve">os resultados da </w:t>
      </w:r>
      <w:r w:rsidR="00EC434D">
        <w:rPr>
          <w:sz w:val="24"/>
          <w:szCs w:val="24"/>
        </w:rPr>
        <w:t>análise da estrutura horizontal são</w:t>
      </w:r>
      <w:r w:rsidRPr="0081191A">
        <w:rPr>
          <w:sz w:val="24"/>
          <w:szCs w:val="24"/>
        </w:rPr>
        <w:t xml:space="preserve"> importante</w:t>
      </w:r>
      <w:r w:rsidR="00EC434D">
        <w:rPr>
          <w:sz w:val="24"/>
          <w:szCs w:val="24"/>
        </w:rPr>
        <w:t>s</w:t>
      </w:r>
      <w:r w:rsidRPr="0081191A">
        <w:rPr>
          <w:sz w:val="24"/>
          <w:szCs w:val="24"/>
        </w:rPr>
        <w:t xml:space="preserve"> no entendimento do estágio de desenvolvimento da floresta e as espécies e associações que a compõem, permitindo, assim, definir futuras intervenções na sua estrutura, com intensidade que não comprometa sua sobrevivência</w:t>
      </w:r>
      <w:r w:rsidR="00044ABE" w:rsidRPr="00044ABE">
        <w:rPr>
          <w:sz w:val="24"/>
          <w:szCs w:val="24"/>
        </w:rPr>
        <w:t xml:space="preserve"> </w:t>
      </w:r>
      <w:r w:rsidR="001809DA">
        <w:rPr>
          <w:sz w:val="24"/>
          <w:szCs w:val="24"/>
        </w:rPr>
        <w:t>(COR</w:t>
      </w:r>
      <w:r w:rsidR="008F5346">
        <w:rPr>
          <w:sz w:val="24"/>
          <w:szCs w:val="24"/>
        </w:rPr>
        <w:t>A</w:t>
      </w:r>
      <w:r w:rsidR="001809DA">
        <w:rPr>
          <w:sz w:val="24"/>
          <w:szCs w:val="24"/>
        </w:rPr>
        <w:t>IOLA</w:t>
      </w:r>
      <w:r w:rsidR="00440E4F">
        <w:rPr>
          <w:sz w:val="24"/>
          <w:szCs w:val="24"/>
        </w:rPr>
        <w:t xml:space="preserve">; </w:t>
      </w:r>
      <w:r w:rsidR="001809DA">
        <w:rPr>
          <w:sz w:val="24"/>
          <w:szCs w:val="24"/>
        </w:rPr>
        <w:t>NETTO</w:t>
      </w:r>
      <w:r w:rsidR="00044ABE">
        <w:rPr>
          <w:sz w:val="24"/>
          <w:szCs w:val="24"/>
        </w:rPr>
        <w:t xml:space="preserve">, </w:t>
      </w:r>
      <w:r w:rsidR="001809DA">
        <w:rPr>
          <w:sz w:val="24"/>
          <w:szCs w:val="24"/>
        </w:rPr>
        <w:t>2003</w:t>
      </w:r>
      <w:r w:rsidR="00044ABE" w:rsidRPr="0081191A">
        <w:rPr>
          <w:sz w:val="24"/>
          <w:szCs w:val="24"/>
        </w:rPr>
        <w:t xml:space="preserve">; </w:t>
      </w:r>
      <w:r w:rsidR="00FE59AC">
        <w:rPr>
          <w:sz w:val="24"/>
          <w:szCs w:val="24"/>
        </w:rPr>
        <w:t xml:space="preserve">RODE </w:t>
      </w:r>
      <w:r w:rsidR="00044ABE" w:rsidRPr="0081191A">
        <w:rPr>
          <w:sz w:val="24"/>
          <w:szCs w:val="24"/>
        </w:rPr>
        <w:t>et al.</w:t>
      </w:r>
      <w:r w:rsidR="00044ABE">
        <w:rPr>
          <w:sz w:val="24"/>
          <w:szCs w:val="24"/>
        </w:rPr>
        <w:t xml:space="preserve">, </w:t>
      </w:r>
      <w:r w:rsidR="00044ABE" w:rsidRPr="0081191A">
        <w:rPr>
          <w:sz w:val="24"/>
          <w:szCs w:val="24"/>
        </w:rPr>
        <w:t>2010)</w:t>
      </w:r>
      <w:r w:rsidRPr="0081191A">
        <w:rPr>
          <w:sz w:val="24"/>
          <w:szCs w:val="24"/>
        </w:rPr>
        <w:t xml:space="preserve">. </w:t>
      </w:r>
    </w:p>
    <w:p w14:paraId="38B7B745" w14:textId="62ADBB1C" w:rsidR="00686D87" w:rsidRPr="0081191A" w:rsidRDefault="00686D87" w:rsidP="00686D87">
      <w:pPr>
        <w:spacing w:line="360" w:lineRule="auto"/>
        <w:ind w:firstLine="709"/>
        <w:jc w:val="both"/>
        <w:rPr>
          <w:sz w:val="24"/>
          <w:szCs w:val="24"/>
        </w:rPr>
      </w:pPr>
      <w:r w:rsidRPr="0081191A">
        <w:rPr>
          <w:sz w:val="24"/>
          <w:szCs w:val="24"/>
        </w:rPr>
        <w:t>A partir dessa concepção, tem-se o entendimento de que em distribuições diamétricas e estrutura horizontal de florestas naturais, a abordagem dos dados no nível de espécie pode revelar aspectos interessantes para o manejo florestal (</w:t>
      </w:r>
      <w:r w:rsidR="006E0CC0" w:rsidRPr="0081191A">
        <w:rPr>
          <w:sz w:val="24"/>
          <w:szCs w:val="24"/>
        </w:rPr>
        <w:t>TUYOSHI</w:t>
      </w:r>
      <w:r w:rsidRPr="0081191A">
        <w:rPr>
          <w:sz w:val="24"/>
          <w:szCs w:val="24"/>
        </w:rPr>
        <w:t xml:space="preserve"> et al., 2009). </w:t>
      </w:r>
    </w:p>
    <w:p w14:paraId="7AFEA7B5" w14:textId="7892F9B6" w:rsidR="00C02E59" w:rsidRPr="00C02E59" w:rsidRDefault="00686D87" w:rsidP="00C02E59">
      <w:pPr>
        <w:tabs>
          <w:tab w:val="left" w:pos="709"/>
        </w:tabs>
        <w:spacing w:after="240" w:line="360" w:lineRule="auto"/>
        <w:ind w:firstLine="709"/>
        <w:jc w:val="both"/>
        <w:rPr>
          <w:rFonts w:eastAsia="Arial"/>
          <w:sz w:val="24"/>
          <w:szCs w:val="24"/>
        </w:rPr>
      </w:pPr>
      <w:r w:rsidRPr="0081191A">
        <w:rPr>
          <w:rFonts w:eastAsia="Arial"/>
          <w:sz w:val="24"/>
          <w:szCs w:val="24"/>
        </w:rPr>
        <w:lastRenderedPageBreak/>
        <w:t>O objetivo deste trabalho foi avaliar a distribuição diamétrica</w:t>
      </w:r>
      <w:r w:rsidR="00376338">
        <w:rPr>
          <w:rFonts w:eastAsia="Arial"/>
          <w:sz w:val="24"/>
          <w:szCs w:val="24"/>
        </w:rPr>
        <w:t xml:space="preserve"> e</w:t>
      </w:r>
      <w:r w:rsidRPr="0081191A">
        <w:rPr>
          <w:rFonts w:eastAsia="Arial"/>
          <w:sz w:val="24"/>
          <w:szCs w:val="24"/>
        </w:rPr>
        <w:t xml:space="preserve"> estrutura horizontal da espécie </w:t>
      </w:r>
      <w:r w:rsidRPr="0081191A">
        <w:rPr>
          <w:rFonts w:eastAsia="Arial"/>
          <w:i/>
          <w:sz w:val="24"/>
          <w:szCs w:val="24"/>
        </w:rPr>
        <w:t xml:space="preserve">Zanthoxylum ekmanii </w:t>
      </w:r>
      <w:r w:rsidRPr="0081191A">
        <w:rPr>
          <w:rFonts w:eastAsia="Arial"/>
          <w:sz w:val="24"/>
          <w:szCs w:val="24"/>
        </w:rPr>
        <w:t>(</w:t>
      </w:r>
      <w:r w:rsidR="001C4454" w:rsidRPr="0081191A">
        <w:rPr>
          <w:rFonts w:eastAsia="Arial"/>
          <w:sz w:val="24"/>
          <w:szCs w:val="24"/>
        </w:rPr>
        <w:t>U</w:t>
      </w:r>
      <w:r w:rsidR="001C4454">
        <w:rPr>
          <w:rFonts w:eastAsia="Arial"/>
          <w:sz w:val="24"/>
          <w:szCs w:val="24"/>
        </w:rPr>
        <w:t>rb</w:t>
      </w:r>
      <w:r w:rsidRPr="0081191A">
        <w:rPr>
          <w:rFonts w:eastAsia="Arial"/>
          <w:sz w:val="24"/>
          <w:szCs w:val="24"/>
        </w:rPr>
        <w:t>.) Alain no município de Dom Eli</w:t>
      </w:r>
      <w:r w:rsidR="0056660E">
        <w:rPr>
          <w:rFonts w:eastAsia="Arial"/>
          <w:sz w:val="24"/>
          <w:szCs w:val="24"/>
        </w:rPr>
        <w:t>s</w:t>
      </w:r>
      <w:r w:rsidRPr="0081191A">
        <w:rPr>
          <w:rFonts w:eastAsia="Arial"/>
          <w:sz w:val="24"/>
          <w:szCs w:val="24"/>
        </w:rPr>
        <w:t>eu-</w:t>
      </w:r>
      <w:r w:rsidR="00FE59AC" w:rsidRPr="0081191A">
        <w:rPr>
          <w:rFonts w:eastAsia="Arial"/>
          <w:sz w:val="24"/>
          <w:szCs w:val="24"/>
        </w:rPr>
        <w:t>PA</w:t>
      </w:r>
      <w:r w:rsidR="00FE59AC">
        <w:rPr>
          <w:rFonts w:eastAsia="Arial"/>
          <w:sz w:val="24"/>
          <w:szCs w:val="24"/>
        </w:rPr>
        <w:t xml:space="preserve">, </w:t>
      </w:r>
      <w:r w:rsidR="00376338">
        <w:rPr>
          <w:rFonts w:eastAsia="Arial"/>
          <w:sz w:val="24"/>
          <w:szCs w:val="24"/>
        </w:rPr>
        <w:t>como contribuição para o manejo específico dessa população</w:t>
      </w:r>
      <w:r w:rsidRPr="0081191A">
        <w:rPr>
          <w:rFonts w:eastAsia="Arial"/>
          <w:sz w:val="24"/>
          <w:szCs w:val="24"/>
        </w:rPr>
        <w:t>.</w:t>
      </w:r>
    </w:p>
    <w:p w14:paraId="1674BC33" w14:textId="77777777" w:rsidR="0012462E" w:rsidRDefault="0012462E" w:rsidP="00C02E59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86D87">
        <w:rPr>
          <w:b/>
          <w:sz w:val="24"/>
          <w:szCs w:val="24"/>
        </w:rPr>
        <w:t>MATERIAL E MÉTODOS</w:t>
      </w:r>
    </w:p>
    <w:p w14:paraId="1764A44E" w14:textId="77777777" w:rsidR="00686D87" w:rsidRPr="00AC1E5C" w:rsidRDefault="00686D87" w:rsidP="00AC1E5C">
      <w:pPr>
        <w:tabs>
          <w:tab w:val="left" w:pos="1290"/>
        </w:tabs>
        <w:spacing w:after="240" w:line="360" w:lineRule="auto"/>
        <w:jc w:val="both"/>
        <w:rPr>
          <w:sz w:val="24"/>
          <w:szCs w:val="24"/>
        </w:rPr>
      </w:pPr>
      <w:r w:rsidRPr="00686D87">
        <w:rPr>
          <w:sz w:val="24"/>
          <w:szCs w:val="24"/>
        </w:rPr>
        <w:t xml:space="preserve">2.1 </w:t>
      </w:r>
      <w:r w:rsidRPr="00AC1E5C">
        <w:rPr>
          <w:sz w:val="24"/>
          <w:szCs w:val="24"/>
        </w:rPr>
        <w:t>Área de estudo</w:t>
      </w:r>
    </w:p>
    <w:p w14:paraId="0FC7AFB6" w14:textId="21464B35" w:rsidR="00795795" w:rsidRPr="00FC6436" w:rsidRDefault="00714938" w:rsidP="006F15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C6436">
        <w:rPr>
          <w:rFonts w:eastAsia="Arial"/>
          <w:sz w:val="24"/>
          <w:szCs w:val="24"/>
        </w:rPr>
        <w:t xml:space="preserve">Este </w:t>
      </w:r>
      <w:r w:rsidRPr="00FC6436">
        <w:rPr>
          <w:sz w:val="24"/>
          <w:szCs w:val="24"/>
        </w:rPr>
        <w:t>estudo foi desenvolvido em uma Floresta Ombrófila Densa de terra firme</w:t>
      </w:r>
      <w:r w:rsidR="00F27C31" w:rsidRPr="00FC6436">
        <w:rPr>
          <w:sz w:val="24"/>
          <w:szCs w:val="24"/>
        </w:rPr>
        <w:t>, fortemente antropizada,</w:t>
      </w:r>
      <w:r w:rsidRPr="00FC6436">
        <w:rPr>
          <w:sz w:val="24"/>
          <w:szCs w:val="24"/>
        </w:rPr>
        <w:t xml:space="preserve"> com 535</w:t>
      </w:r>
      <w:r w:rsidR="003926EB">
        <w:rPr>
          <w:sz w:val="24"/>
          <w:szCs w:val="24"/>
        </w:rPr>
        <w:t>,6</w:t>
      </w:r>
      <w:r w:rsidRPr="00FC6436">
        <w:rPr>
          <w:sz w:val="24"/>
          <w:szCs w:val="24"/>
        </w:rPr>
        <w:t xml:space="preserve"> ha, localizada na Fazenda Shet, que está situada no município de Dom Eli</w:t>
      </w:r>
      <w:r w:rsidR="0056660E" w:rsidRPr="00FC6436">
        <w:rPr>
          <w:sz w:val="24"/>
          <w:szCs w:val="24"/>
        </w:rPr>
        <w:t>s</w:t>
      </w:r>
      <w:r w:rsidRPr="00FC6436">
        <w:rPr>
          <w:sz w:val="24"/>
          <w:szCs w:val="24"/>
        </w:rPr>
        <w:t xml:space="preserve">eu na região sudeste do Estado do Pará (04° </w:t>
      </w:r>
      <w:r w:rsidR="00C5530B" w:rsidRPr="00FC6436">
        <w:rPr>
          <w:sz w:val="24"/>
          <w:szCs w:val="24"/>
        </w:rPr>
        <w:t>30</w:t>
      </w:r>
      <w:r w:rsidRPr="00FC6436">
        <w:rPr>
          <w:sz w:val="24"/>
          <w:szCs w:val="24"/>
        </w:rPr>
        <w:t xml:space="preserve">’ </w:t>
      </w:r>
      <w:r w:rsidR="00C5530B" w:rsidRPr="00FC6436">
        <w:rPr>
          <w:sz w:val="24"/>
          <w:szCs w:val="24"/>
        </w:rPr>
        <w:t>48</w:t>
      </w:r>
      <w:r w:rsidRPr="00FC6436">
        <w:rPr>
          <w:sz w:val="24"/>
          <w:szCs w:val="24"/>
        </w:rPr>
        <w:t>’’ S e 47° 3</w:t>
      </w:r>
      <w:r w:rsidR="00795795" w:rsidRPr="00FC6436">
        <w:rPr>
          <w:sz w:val="24"/>
          <w:szCs w:val="24"/>
        </w:rPr>
        <w:t>9</w:t>
      </w:r>
      <w:r w:rsidRPr="00FC6436">
        <w:rPr>
          <w:sz w:val="24"/>
          <w:szCs w:val="24"/>
        </w:rPr>
        <w:t xml:space="preserve">’ </w:t>
      </w:r>
      <w:r w:rsidR="00795795" w:rsidRPr="00FC6436">
        <w:rPr>
          <w:sz w:val="24"/>
          <w:szCs w:val="24"/>
        </w:rPr>
        <w:t>36</w:t>
      </w:r>
      <w:r w:rsidRPr="00FC6436">
        <w:rPr>
          <w:sz w:val="24"/>
          <w:szCs w:val="24"/>
        </w:rPr>
        <w:t>’’ O), próximo à Rodovia BR 010.</w:t>
      </w:r>
      <w:r w:rsidR="00C06158" w:rsidRPr="00FC6436">
        <w:rPr>
          <w:sz w:val="24"/>
          <w:szCs w:val="24"/>
        </w:rPr>
        <w:t xml:space="preserve"> </w:t>
      </w:r>
      <w:r w:rsidR="008F5346" w:rsidRPr="00735E43">
        <w:rPr>
          <w:sz w:val="24"/>
          <w:szCs w:val="24"/>
        </w:rPr>
        <w:t>E</w:t>
      </w:r>
      <w:r w:rsidR="00C06158" w:rsidRPr="00735E43">
        <w:rPr>
          <w:sz w:val="24"/>
          <w:szCs w:val="24"/>
        </w:rPr>
        <w:t>ss</w:t>
      </w:r>
      <w:r w:rsidR="00C06158" w:rsidRPr="00BA44E5">
        <w:rPr>
          <w:sz w:val="24"/>
          <w:szCs w:val="24"/>
        </w:rPr>
        <w:t xml:space="preserve">a floresta </w:t>
      </w:r>
      <w:r w:rsidR="003926EB">
        <w:rPr>
          <w:sz w:val="24"/>
          <w:szCs w:val="24"/>
        </w:rPr>
        <w:t>sofreu degradação</w:t>
      </w:r>
      <w:r w:rsidR="00C06158" w:rsidRPr="00BA44E5">
        <w:rPr>
          <w:sz w:val="24"/>
          <w:szCs w:val="24"/>
        </w:rPr>
        <w:t xml:space="preserve"> devido </w:t>
      </w:r>
      <w:r w:rsidR="00FC6436" w:rsidRPr="00BA44E5">
        <w:rPr>
          <w:sz w:val="24"/>
          <w:szCs w:val="24"/>
        </w:rPr>
        <w:t>à exploração</w:t>
      </w:r>
      <w:r w:rsidR="00C06158" w:rsidRPr="00BA44E5">
        <w:rPr>
          <w:sz w:val="24"/>
          <w:szCs w:val="24"/>
        </w:rPr>
        <w:t xml:space="preserve"> </w:t>
      </w:r>
      <w:r w:rsidR="003926EB">
        <w:rPr>
          <w:sz w:val="24"/>
          <w:szCs w:val="24"/>
        </w:rPr>
        <w:t>convencional</w:t>
      </w:r>
      <w:r w:rsidR="003926EB" w:rsidRPr="00BA44E5">
        <w:rPr>
          <w:sz w:val="24"/>
          <w:szCs w:val="24"/>
        </w:rPr>
        <w:t xml:space="preserve"> </w:t>
      </w:r>
      <w:r w:rsidR="00C06158" w:rsidRPr="00BA44E5">
        <w:rPr>
          <w:sz w:val="24"/>
          <w:szCs w:val="24"/>
        </w:rPr>
        <w:t xml:space="preserve">de madeira entre os anos 70 e 90, não sendo possível informar o volume de madeira retirado. Nos anos de 1993 e 1996, ocorreu a primeira derrubada </w:t>
      </w:r>
      <w:r w:rsidR="00FC6436" w:rsidRPr="00BA44E5">
        <w:rPr>
          <w:sz w:val="24"/>
          <w:szCs w:val="24"/>
        </w:rPr>
        <w:t>permitida pelas autoridades florestais brasileiras, com um volume médio de colheita de 64,2 m</w:t>
      </w:r>
      <w:proofErr w:type="gramStart"/>
      <w:r w:rsidR="00FC6436" w:rsidRPr="00BA44E5">
        <w:rPr>
          <w:sz w:val="24"/>
          <w:szCs w:val="24"/>
          <w:vertAlign w:val="superscript"/>
        </w:rPr>
        <w:t>3</w:t>
      </w:r>
      <w:r w:rsidR="00FC6436" w:rsidRPr="00BA44E5">
        <w:rPr>
          <w:sz w:val="24"/>
          <w:szCs w:val="24"/>
        </w:rPr>
        <w:t>.ha</w:t>
      </w:r>
      <w:proofErr w:type="gramEnd"/>
      <w:r w:rsidR="00FC6436" w:rsidRPr="00BA44E5">
        <w:rPr>
          <w:sz w:val="24"/>
          <w:szCs w:val="24"/>
          <w:vertAlign w:val="superscript"/>
        </w:rPr>
        <w:t>-1</w:t>
      </w:r>
      <w:r w:rsidR="00FC6436" w:rsidRPr="00BA44E5">
        <w:rPr>
          <w:sz w:val="24"/>
          <w:szCs w:val="24"/>
        </w:rPr>
        <w:t xml:space="preserve"> </w:t>
      </w:r>
      <w:r w:rsidR="00FC6436" w:rsidRPr="00FC6436">
        <w:rPr>
          <w:color w:val="000000"/>
          <w:sz w:val="24"/>
          <w:szCs w:val="24"/>
        </w:rPr>
        <w:t>(</w:t>
      </w:r>
      <w:r w:rsidR="00FC6436" w:rsidRPr="006F1586">
        <w:rPr>
          <w:color w:val="000000"/>
          <w:sz w:val="24"/>
          <w:szCs w:val="24"/>
        </w:rPr>
        <w:t>SCHWARTZ et al., 2017).</w:t>
      </w:r>
      <w:r w:rsidR="00FC6436" w:rsidRPr="006F1586">
        <w:rPr>
          <w:sz w:val="24"/>
          <w:szCs w:val="24"/>
        </w:rPr>
        <w:t xml:space="preserve"> No ano de 2013 uma nova colheita em car</w:t>
      </w:r>
      <w:r w:rsidR="00FC6436" w:rsidRPr="00F17A3F">
        <w:rPr>
          <w:sz w:val="24"/>
          <w:szCs w:val="24"/>
        </w:rPr>
        <w:t>áter de pesquisa foi realizada com intensidade de corte de</w:t>
      </w:r>
      <w:r w:rsidR="00FC6436" w:rsidRPr="00AA1ED2">
        <w:rPr>
          <w:sz w:val="24"/>
          <w:szCs w:val="24"/>
        </w:rPr>
        <w:t xml:space="preserve"> 30 m</w:t>
      </w:r>
      <w:proofErr w:type="gramStart"/>
      <w:r w:rsidR="00FC6436" w:rsidRPr="00AA1ED2">
        <w:rPr>
          <w:sz w:val="24"/>
          <w:szCs w:val="24"/>
          <w:vertAlign w:val="superscript"/>
        </w:rPr>
        <w:t>3</w:t>
      </w:r>
      <w:r w:rsidR="00FC6436" w:rsidRPr="00AA1ED2">
        <w:rPr>
          <w:sz w:val="24"/>
          <w:szCs w:val="24"/>
        </w:rPr>
        <w:t>.ha</w:t>
      </w:r>
      <w:proofErr w:type="gramEnd"/>
      <w:r w:rsidR="00FC6436" w:rsidRPr="00AA1ED2">
        <w:rPr>
          <w:sz w:val="24"/>
          <w:szCs w:val="24"/>
          <w:vertAlign w:val="superscript"/>
        </w:rPr>
        <w:t>-1</w:t>
      </w:r>
      <w:r w:rsidR="00461CEF" w:rsidRPr="006F1586">
        <w:rPr>
          <w:sz w:val="24"/>
          <w:szCs w:val="24"/>
        </w:rPr>
        <w:t>`</w:t>
      </w:r>
      <w:r w:rsidR="000309C2">
        <w:rPr>
          <w:sz w:val="24"/>
          <w:szCs w:val="24"/>
        </w:rPr>
        <w:t xml:space="preserve"> e diâmetro mínimo de corte (DMC) ≥ 25 cm</w:t>
      </w:r>
      <w:r w:rsidR="00461CEF" w:rsidRPr="006F1586">
        <w:rPr>
          <w:sz w:val="24"/>
          <w:szCs w:val="24"/>
        </w:rPr>
        <w:t xml:space="preserve">. Para </w:t>
      </w:r>
      <w:r w:rsidR="00C72C70" w:rsidRPr="006F1586">
        <w:rPr>
          <w:sz w:val="24"/>
          <w:szCs w:val="24"/>
        </w:rPr>
        <w:t>a</w:t>
      </w:r>
      <w:r w:rsidR="00461CEF" w:rsidRPr="006F1586">
        <w:rPr>
          <w:sz w:val="24"/>
          <w:szCs w:val="24"/>
        </w:rPr>
        <w:t xml:space="preserve"> espécie </w:t>
      </w:r>
      <w:r w:rsidR="00461CEF" w:rsidRPr="006F1586">
        <w:rPr>
          <w:i/>
          <w:sz w:val="24"/>
          <w:szCs w:val="24"/>
        </w:rPr>
        <w:t>Z. ekmanni</w:t>
      </w:r>
      <w:r w:rsidR="00461CEF" w:rsidRPr="006F1586">
        <w:rPr>
          <w:sz w:val="24"/>
          <w:szCs w:val="24"/>
        </w:rPr>
        <w:t xml:space="preserve"> no ano de 2013 foi autorizada a retirada de um volume de 0,55 m</w:t>
      </w:r>
      <w:r w:rsidR="00461CEF" w:rsidRPr="006F1586">
        <w:rPr>
          <w:sz w:val="24"/>
          <w:szCs w:val="24"/>
          <w:vertAlign w:val="superscript"/>
        </w:rPr>
        <w:t>3</w:t>
      </w:r>
      <w:r w:rsidR="00461CEF" w:rsidRPr="006F1586">
        <w:rPr>
          <w:sz w:val="24"/>
          <w:szCs w:val="24"/>
        </w:rPr>
        <w:t>.ha</w:t>
      </w:r>
      <w:r w:rsidR="00461CEF" w:rsidRPr="006F1586">
        <w:rPr>
          <w:sz w:val="24"/>
          <w:szCs w:val="24"/>
          <w:vertAlign w:val="superscript"/>
        </w:rPr>
        <w:t>-1</w:t>
      </w:r>
      <w:r w:rsidR="00C72C70" w:rsidRPr="006F1586">
        <w:rPr>
          <w:sz w:val="24"/>
          <w:szCs w:val="24"/>
        </w:rPr>
        <w:t xml:space="preserve"> (SEMA</w:t>
      </w:r>
      <w:r w:rsidR="003926EB">
        <w:rPr>
          <w:sz w:val="24"/>
          <w:szCs w:val="24"/>
        </w:rPr>
        <w:t>S</w:t>
      </w:r>
      <w:r w:rsidR="00C72C70" w:rsidRPr="006F1586">
        <w:rPr>
          <w:sz w:val="24"/>
          <w:szCs w:val="24"/>
        </w:rPr>
        <w:t>, 201</w:t>
      </w:r>
      <w:r w:rsidR="001907A5">
        <w:rPr>
          <w:sz w:val="24"/>
          <w:szCs w:val="24"/>
        </w:rPr>
        <w:t>5</w:t>
      </w:r>
      <w:r w:rsidR="00C72C70" w:rsidRPr="006F1586">
        <w:rPr>
          <w:sz w:val="24"/>
          <w:szCs w:val="24"/>
        </w:rPr>
        <w:t>).</w:t>
      </w:r>
    </w:p>
    <w:p w14:paraId="1BC6B639" w14:textId="77777777" w:rsidR="00714938" w:rsidRPr="0081191A" w:rsidRDefault="00714938" w:rsidP="001023B4">
      <w:pPr>
        <w:spacing w:before="240" w:after="240" w:line="360" w:lineRule="auto"/>
        <w:jc w:val="both"/>
        <w:rPr>
          <w:rFonts w:eastAsia="Arial"/>
          <w:b/>
          <w:sz w:val="24"/>
          <w:szCs w:val="24"/>
        </w:rPr>
      </w:pPr>
      <w:r>
        <w:rPr>
          <w:sz w:val="24"/>
          <w:szCs w:val="24"/>
        </w:rPr>
        <w:t>2.2 Coleta de dados</w:t>
      </w:r>
    </w:p>
    <w:p w14:paraId="3149786F" w14:textId="6A728DCD" w:rsidR="001603DD" w:rsidRDefault="001603DD" w:rsidP="001603DD">
      <w:pPr>
        <w:pStyle w:val="PargrafodaLista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1191A">
        <w:rPr>
          <w:rFonts w:ascii="Times New Roman" w:hAnsi="Times New Roman"/>
          <w:sz w:val="24"/>
          <w:szCs w:val="24"/>
        </w:rPr>
        <w:t>Os dados são provenientes de 30 parcelas permanentes de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91A">
        <w:rPr>
          <w:rFonts w:ascii="Times New Roman" w:hAnsi="Times New Roman"/>
          <w:sz w:val="24"/>
          <w:szCs w:val="24"/>
        </w:rPr>
        <w:t xml:space="preserve">m </w:t>
      </w:r>
      <w:proofErr w:type="gramStart"/>
      <w:r w:rsidRPr="0081191A">
        <w:rPr>
          <w:rFonts w:ascii="Times New Roman" w:hAnsi="Times New Roman"/>
          <w:sz w:val="24"/>
          <w:szCs w:val="24"/>
        </w:rPr>
        <w:t>x</w:t>
      </w:r>
      <w:proofErr w:type="gramEnd"/>
      <w:r w:rsidRPr="0081191A">
        <w:rPr>
          <w:rFonts w:ascii="Times New Roman" w:hAnsi="Times New Roman"/>
          <w:sz w:val="24"/>
          <w:szCs w:val="24"/>
        </w:rPr>
        <w:t xml:space="preserve"> 50</w:t>
      </w:r>
      <w:r>
        <w:rPr>
          <w:rFonts w:ascii="Times New Roman" w:hAnsi="Times New Roman"/>
          <w:sz w:val="24"/>
          <w:szCs w:val="24"/>
        </w:rPr>
        <w:t xml:space="preserve"> m (0,25 </w:t>
      </w:r>
      <w:r w:rsidR="00631E5E">
        <w:rPr>
          <w:rFonts w:ascii="Times New Roman" w:hAnsi="Times New Roman"/>
          <w:sz w:val="24"/>
          <w:szCs w:val="24"/>
        </w:rPr>
        <w:t xml:space="preserve">ha </w:t>
      </w:r>
      <w:r>
        <w:rPr>
          <w:rFonts w:ascii="Times New Roman" w:hAnsi="Times New Roman"/>
          <w:sz w:val="24"/>
          <w:szCs w:val="24"/>
        </w:rPr>
        <w:t>cada uma,</w:t>
      </w:r>
      <w:r w:rsidRPr="0012346F">
        <w:rPr>
          <w:rFonts w:ascii="Times New Roman" w:hAnsi="Times New Roman"/>
          <w:sz w:val="24"/>
          <w:szCs w:val="24"/>
        </w:rPr>
        <w:t xml:space="preserve"> </w:t>
      </w:r>
      <w:r w:rsidRPr="0081191A">
        <w:rPr>
          <w:rFonts w:ascii="Times New Roman" w:hAnsi="Times New Roman"/>
          <w:sz w:val="24"/>
          <w:szCs w:val="24"/>
        </w:rPr>
        <w:t>totalizando 7,5 ha de área amostral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81191A">
        <w:rPr>
          <w:rFonts w:ascii="Times New Roman" w:hAnsi="Times New Roman"/>
          <w:sz w:val="24"/>
          <w:szCs w:val="24"/>
        </w:rPr>
        <w:t>instaladas</w:t>
      </w:r>
      <w:r>
        <w:rPr>
          <w:rFonts w:ascii="Times New Roman" w:hAnsi="Times New Roman"/>
          <w:sz w:val="24"/>
          <w:szCs w:val="24"/>
        </w:rPr>
        <w:t xml:space="preserve"> aleatoriamente</w:t>
      </w:r>
      <w:r w:rsidRPr="008119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diâmetro foi medido para </w:t>
      </w:r>
      <w:r w:rsidRPr="0081191A">
        <w:rPr>
          <w:rFonts w:ascii="Times New Roman" w:hAnsi="Times New Roman"/>
          <w:sz w:val="24"/>
          <w:szCs w:val="24"/>
        </w:rPr>
        <w:t>todos os indivíduos arbóreos</w:t>
      </w:r>
      <w:r w:rsidR="00B52D13">
        <w:rPr>
          <w:rFonts w:ascii="Times New Roman" w:hAnsi="Times New Roman"/>
          <w:sz w:val="24"/>
          <w:szCs w:val="24"/>
        </w:rPr>
        <w:t xml:space="preserve"> da </w:t>
      </w:r>
      <w:r w:rsidR="00B52D13" w:rsidRPr="00735E43">
        <w:rPr>
          <w:rFonts w:ascii="Times New Roman" w:hAnsi="Times New Roman"/>
          <w:sz w:val="24"/>
          <w:szCs w:val="24"/>
        </w:rPr>
        <w:t xml:space="preserve">espécie </w:t>
      </w:r>
      <w:r w:rsidR="00B52D13" w:rsidRPr="00735E43">
        <w:rPr>
          <w:rFonts w:ascii="Times New Roman" w:eastAsia="Arial" w:hAnsi="Times New Roman"/>
          <w:i/>
          <w:sz w:val="24"/>
          <w:szCs w:val="24"/>
        </w:rPr>
        <w:t xml:space="preserve">Zanthoxylum ekmanii </w:t>
      </w:r>
      <w:r w:rsidR="00B52D13" w:rsidRPr="00735E43">
        <w:rPr>
          <w:rFonts w:ascii="Times New Roman" w:eastAsia="Arial" w:hAnsi="Times New Roman"/>
          <w:sz w:val="24"/>
          <w:szCs w:val="24"/>
        </w:rPr>
        <w:t>(Urb.) Alain</w:t>
      </w:r>
      <w:r w:rsidRPr="00811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 </w:t>
      </w:r>
      <w:r w:rsidR="00631E5E">
        <w:rPr>
          <w:rFonts w:ascii="Times New Roman" w:hAnsi="Times New Roman"/>
          <w:sz w:val="24"/>
          <w:szCs w:val="24"/>
        </w:rPr>
        <w:t>DAP</w:t>
      </w:r>
      <w:r>
        <w:rPr>
          <w:rFonts w:ascii="Times New Roman" w:hAnsi="Times New Roman"/>
          <w:sz w:val="24"/>
          <w:szCs w:val="24"/>
        </w:rPr>
        <w:t>≥ 5 cm, nos anos de 2009, 2012 e 2014</w:t>
      </w:r>
      <w:r w:rsidRPr="0081191A">
        <w:rPr>
          <w:rFonts w:ascii="Times New Roman" w:hAnsi="Times New Roman"/>
          <w:sz w:val="24"/>
          <w:szCs w:val="24"/>
        </w:rPr>
        <w:t>.</w:t>
      </w:r>
    </w:p>
    <w:p w14:paraId="6A9DF7FD" w14:textId="77777777" w:rsidR="00714938" w:rsidRPr="00714938" w:rsidRDefault="00714938" w:rsidP="00714938">
      <w:pPr>
        <w:spacing w:after="200" w:line="360" w:lineRule="auto"/>
        <w:jc w:val="both"/>
        <w:rPr>
          <w:sz w:val="24"/>
          <w:szCs w:val="24"/>
        </w:rPr>
      </w:pPr>
      <w:r w:rsidRPr="00714938">
        <w:rPr>
          <w:sz w:val="24"/>
          <w:szCs w:val="24"/>
        </w:rPr>
        <w:t>2.3 Análise de dados</w:t>
      </w:r>
    </w:p>
    <w:p w14:paraId="493F918E" w14:textId="2AEF766A" w:rsidR="001603DD" w:rsidRPr="00714938" w:rsidRDefault="001603DD" w:rsidP="001603DD">
      <w:pPr>
        <w:tabs>
          <w:tab w:val="left" w:pos="1290"/>
        </w:tabs>
        <w:spacing w:after="200" w:line="360" w:lineRule="auto"/>
        <w:ind w:firstLine="709"/>
        <w:jc w:val="both"/>
        <w:rPr>
          <w:color w:val="FF0000"/>
          <w:sz w:val="24"/>
          <w:szCs w:val="28"/>
        </w:rPr>
      </w:pPr>
      <w:r w:rsidRPr="0081191A">
        <w:rPr>
          <w:sz w:val="24"/>
          <w:szCs w:val="24"/>
        </w:rPr>
        <w:t>Para a análise</w:t>
      </w:r>
      <w:r w:rsidR="00BA44E5">
        <w:rPr>
          <w:sz w:val="24"/>
          <w:szCs w:val="24"/>
        </w:rPr>
        <w:t xml:space="preserve"> d</w:t>
      </w:r>
      <w:r w:rsidR="00631E5E">
        <w:rPr>
          <w:sz w:val="24"/>
          <w:szCs w:val="24"/>
        </w:rPr>
        <w:t>a</w:t>
      </w:r>
      <w:r w:rsidR="00BA44E5">
        <w:rPr>
          <w:sz w:val="24"/>
          <w:szCs w:val="24"/>
        </w:rPr>
        <w:t xml:space="preserve"> distribuição diamétrica</w:t>
      </w:r>
      <w:r>
        <w:rPr>
          <w:sz w:val="24"/>
          <w:szCs w:val="24"/>
        </w:rPr>
        <w:t xml:space="preserve"> </w:t>
      </w:r>
      <w:r w:rsidR="00BA44E5">
        <w:rPr>
          <w:sz w:val="24"/>
          <w:szCs w:val="24"/>
        </w:rPr>
        <w:t xml:space="preserve">foi estabelecido </w:t>
      </w:r>
      <w:r>
        <w:rPr>
          <w:sz w:val="24"/>
          <w:szCs w:val="24"/>
        </w:rPr>
        <w:t xml:space="preserve">uma amplitude de 10 cm </w:t>
      </w:r>
      <w:r w:rsidR="00631E5E">
        <w:rPr>
          <w:sz w:val="24"/>
          <w:szCs w:val="24"/>
        </w:rPr>
        <w:t xml:space="preserve">para as classes </w:t>
      </w:r>
      <w:r>
        <w:rPr>
          <w:sz w:val="24"/>
          <w:szCs w:val="24"/>
        </w:rPr>
        <w:t>de DAP</w:t>
      </w:r>
      <w:r w:rsidR="00BA44E5">
        <w:rPr>
          <w:sz w:val="24"/>
          <w:szCs w:val="24"/>
        </w:rPr>
        <w:t>.</w:t>
      </w:r>
      <w:r w:rsidRPr="0081191A">
        <w:rPr>
          <w:b/>
          <w:sz w:val="24"/>
          <w:szCs w:val="24"/>
        </w:rPr>
        <w:t xml:space="preserve"> </w:t>
      </w:r>
      <w:r w:rsidRPr="0081191A">
        <w:rPr>
          <w:sz w:val="24"/>
          <w:szCs w:val="24"/>
        </w:rPr>
        <w:t>Já</w:t>
      </w:r>
      <w:r w:rsidRPr="0081191A">
        <w:rPr>
          <w:b/>
          <w:sz w:val="24"/>
          <w:szCs w:val="24"/>
        </w:rPr>
        <w:t xml:space="preserve"> </w:t>
      </w:r>
      <w:r w:rsidRPr="0081191A">
        <w:rPr>
          <w:sz w:val="24"/>
          <w:szCs w:val="24"/>
        </w:rPr>
        <w:t>a estrutura horizontal da espécie foi determinada por meio dos cálculos de densidade, dominância</w:t>
      </w:r>
      <w:r w:rsidR="0056660E">
        <w:rPr>
          <w:sz w:val="24"/>
          <w:szCs w:val="24"/>
        </w:rPr>
        <w:t>,</w:t>
      </w:r>
      <w:r w:rsidRPr="0081191A">
        <w:rPr>
          <w:sz w:val="24"/>
          <w:szCs w:val="24"/>
        </w:rPr>
        <w:t xml:space="preserve"> </w:t>
      </w:r>
      <w:r w:rsidR="00EB1219" w:rsidRPr="0081191A">
        <w:rPr>
          <w:sz w:val="24"/>
          <w:szCs w:val="24"/>
        </w:rPr>
        <w:t>frequência,</w:t>
      </w:r>
      <w:r w:rsidR="00487872">
        <w:rPr>
          <w:sz w:val="24"/>
          <w:szCs w:val="24"/>
        </w:rPr>
        <w:t xml:space="preserve"> d</w:t>
      </w:r>
      <w:r w:rsidRPr="0081191A">
        <w:rPr>
          <w:sz w:val="24"/>
          <w:szCs w:val="24"/>
        </w:rPr>
        <w:t>e acordo com a metodo</w:t>
      </w:r>
      <w:r>
        <w:rPr>
          <w:sz w:val="24"/>
          <w:szCs w:val="24"/>
        </w:rPr>
        <w:t xml:space="preserve">logia proposta por </w:t>
      </w:r>
      <w:proofErr w:type="spellStart"/>
      <w:r>
        <w:rPr>
          <w:sz w:val="24"/>
          <w:szCs w:val="24"/>
        </w:rPr>
        <w:t>Finol</w:t>
      </w:r>
      <w:proofErr w:type="spellEnd"/>
      <w:r>
        <w:rPr>
          <w:sz w:val="24"/>
          <w:szCs w:val="24"/>
        </w:rPr>
        <w:t xml:space="preserve"> (</w:t>
      </w:r>
      <w:r w:rsidRPr="0081191A">
        <w:rPr>
          <w:sz w:val="24"/>
          <w:szCs w:val="24"/>
        </w:rPr>
        <w:t>1975) e largamente utilizada na Amazônia (</w:t>
      </w:r>
      <w:r w:rsidR="004E1ECD" w:rsidRPr="0081191A">
        <w:rPr>
          <w:sz w:val="24"/>
          <w:szCs w:val="24"/>
        </w:rPr>
        <w:t>ALVES</w:t>
      </w:r>
      <w:r w:rsidR="004E1ECD">
        <w:rPr>
          <w:sz w:val="24"/>
          <w:szCs w:val="24"/>
        </w:rPr>
        <w:t xml:space="preserve">; </w:t>
      </w:r>
      <w:r w:rsidR="004E1ECD" w:rsidRPr="0081191A">
        <w:rPr>
          <w:sz w:val="24"/>
          <w:szCs w:val="24"/>
        </w:rPr>
        <w:t>MIRANDA</w:t>
      </w:r>
      <w:r w:rsidRPr="0081191A">
        <w:rPr>
          <w:sz w:val="24"/>
          <w:szCs w:val="24"/>
        </w:rPr>
        <w:t xml:space="preserve">, 2008; </w:t>
      </w:r>
      <w:r w:rsidR="004E1ECD" w:rsidRPr="0081191A">
        <w:rPr>
          <w:sz w:val="24"/>
          <w:szCs w:val="24"/>
        </w:rPr>
        <w:t xml:space="preserve">FRANCEZ </w:t>
      </w:r>
      <w:r w:rsidRPr="0081191A">
        <w:rPr>
          <w:sz w:val="24"/>
          <w:szCs w:val="24"/>
        </w:rPr>
        <w:t>et al., 2009).</w:t>
      </w:r>
    </w:p>
    <w:p w14:paraId="26BFDCF7" w14:textId="77777777" w:rsidR="00E03CEC" w:rsidRPr="00E03CEC" w:rsidRDefault="0012462E" w:rsidP="00E03CEC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14:paraId="1383583F" w14:textId="4D3D0E49" w:rsidR="00714938" w:rsidRPr="00780112" w:rsidRDefault="00E03CEC" w:rsidP="00B47301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lastRenderedPageBreak/>
        <w:t xml:space="preserve">Na área amostral, foram totalizados 351 indivíduos de </w:t>
      </w:r>
      <w:r w:rsidR="00B52D13" w:rsidRPr="0081191A">
        <w:rPr>
          <w:rFonts w:eastAsia="Arial"/>
          <w:i/>
          <w:sz w:val="24"/>
          <w:szCs w:val="24"/>
        </w:rPr>
        <w:t xml:space="preserve">Zanthoxylum ekmanii </w:t>
      </w:r>
      <w:r w:rsidR="00B52D13" w:rsidRPr="0081191A">
        <w:rPr>
          <w:rFonts w:eastAsia="Arial"/>
          <w:sz w:val="24"/>
          <w:szCs w:val="24"/>
        </w:rPr>
        <w:t>(U</w:t>
      </w:r>
      <w:r w:rsidR="00B52D13">
        <w:rPr>
          <w:rFonts w:eastAsia="Arial"/>
          <w:sz w:val="24"/>
          <w:szCs w:val="24"/>
        </w:rPr>
        <w:t>rb.) Alain</w:t>
      </w:r>
      <w:r>
        <w:rPr>
          <w:sz w:val="24"/>
          <w:szCs w:val="24"/>
        </w:rPr>
        <w:t>, distribuídos nas seis classes de diâmetro</w:t>
      </w:r>
      <w:r w:rsidR="00714938" w:rsidRPr="003B5FAA">
        <w:rPr>
          <w:rFonts w:eastAsia="Arial"/>
          <w:sz w:val="24"/>
          <w:szCs w:val="24"/>
        </w:rPr>
        <w:t xml:space="preserve">, </w:t>
      </w:r>
      <w:r w:rsidR="001C4454" w:rsidRPr="003B5FAA">
        <w:rPr>
          <w:rFonts w:eastAsia="Arial"/>
          <w:sz w:val="24"/>
          <w:szCs w:val="24"/>
        </w:rPr>
        <w:t>observ</w:t>
      </w:r>
      <w:r w:rsidR="001C4454">
        <w:rPr>
          <w:rFonts w:eastAsia="Arial"/>
          <w:sz w:val="24"/>
          <w:szCs w:val="24"/>
        </w:rPr>
        <w:t>ou</w:t>
      </w:r>
      <w:r w:rsidR="00714938" w:rsidRPr="003B5FAA">
        <w:rPr>
          <w:rFonts w:eastAsia="Arial"/>
          <w:sz w:val="24"/>
          <w:szCs w:val="24"/>
        </w:rPr>
        <w:t xml:space="preserve">-se </w:t>
      </w:r>
      <w:r w:rsidR="004E1ECD">
        <w:rPr>
          <w:rFonts w:eastAsia="Arial"/>
          <w:sz w:val="24"/>
          <w:szCs w:val="24"/>
        </w:rPr>
        <w:t xml:space="preserve">na figura 1 </w:t>
      </w:r>
      <w:r w:rsidR="00714938" w:rsidRPr="003B5FAA">
        <w:rPr>
          <w:rFonts w:eastAsia="Arial"/>
          <w:sz w:val="24"/>
          <w:szCs w:val="24"/>
        </w:rPr>
        <w:t xml:space="preserve">que a curva de distribuição de diâmetros seguiu o padrão de distribuição exponencial na forma de “j” invertido, </w:t>
      </w:r>
      <w:r w:rsidR="002608CC">
        <w:rPr>
          <w:rFonts w:eastAsia="Arial"/>
          <w:sz w:val="24"/>
          <w:szCs w:val="24"/>
        </w:rPr>
        <w:t>com</w:t>
      </w:r>
      <w:r w:rsidR="00714938" w:rsidRPr="003B5FAA">
        <w:rPr>
          <w:rFonts w:eastAsia="Arial"/>
          <w:sz w:val="24"/>
          <w:szCs w:val="24"/>
        </w:rPr>
        <w:t xml:space="preserve"> a maior frequência de indivíduos nas menores classes de diâmetro (</w:t>
      </w:r>
      <w:r w:rsidR="004E1ECD" w:rsidRPr="003B5FAA">
        <w:rPr>
          <w:rFonts w:eastAsia="Arial"/>
          <w:sz w:val="24"/>
          <w:szCs w:val="24"/>
        </w:rPr>
        <w:t>SCOLFORO</w:t>
      </w:r>
      <w:r w:rsidR="00714938" w:rsidRPr="003B5FAA">
        <w:rPr>
          <w:rFonts w:eastAsia="Arial"/>
          <w:sz w:val="24"/>
          <w:szCs w:val="24"/>
        </w:rPr>
        <w:t xml:space="preserve">, 1997; </w:t>
      </w:r>
      <w:r w:rsidR="004E1ECD" w:rsidRPr="003B5FAA">
        <w:rPr>
          <w:rFonts w:eastAsia="Arial"/>
          <w:sz w:val="24"/>
          <w:szCs w:val="24"/>
        </w:rPr>
        <w:t>MATIAS</w:t>
      </w:r>
      <w:r w:rsidR="00714938" w:rsidRPr="003B5FAA">
        <w:rPr>
          <w:rFonts w:eastAsia="Arial"/>
          <w:sz w:val="24"/>
          <w:szCs w:val="24"/>
        </w:rPr>
        <w:t xml:space="preserve"> et al., 2014)</w:t>
      </w:r>
      <w:r w:rsidR="0022513C">
        <w:rPr>
          <w:rFonts w:eastAsia="Arial"/>
          <w:sz w:val="24"/>
          <w:szCs w:val="24"/>
        </w:rPr>
        <w:t xml:space="preserve">. </w:t>
      </w:r>
      <w:r w:rsidR="001C4454">
        <w:rPr>
          <w:rFonts w:eastAsia="Arial"/>
          <w:sz w:val="24"/>
          <w:szCs w:val="24"/>
        </w:rPr>
        <w:t xml:space="preserve">Na primeira classe </w:t>
      </w:r>
      <w:r w:rsidR="00B60BDB">
        <w:rPr>
          <w:rFonts w:eastAsia="Arial"/>
          <w:sz w:val="24"/>
          <w:szCs w:val="24"/>
        </w:rPr>
        <w:t>(</w:t>
      </w:r>
      <w:r w:rsidR="001C4454">
        <w:rPr>
          <w:rFonts w:eastAsia="Arial"/>
          <w:sz w:val="24"/>
          <w:szCs w:val="24"/>
        </w:rPr>
        <w:t>DAP 5 a 15</w:t>
      </w:r>
      <w:r w:rsidR="00B60BDB">
        <w:rPr>
          <w:rFonts w:eastAsia="Arial"/>
          <w:sz w:val="24"/>
          <w:szCs w:val="24"/>
        </w:rPr>
        <w:t>cm)</w:t>
      </w:r>
      <w:r w:rsidR="001C4454">
        <w:rPr>
          <w:rFonts w:eastAsia="Arial"/>
          <w:sz w:val="24"/>
          <w:szCs w:val="24"/>
        </w:rPr>
        <w:t xml:space="preserve"> </w:t>
      </w:r>
      <w:r w:rsidR="00B60BDB">
        <w:rPr>
          <w:rFonts w:eastAsia="Arial"/>
          <w:sz w:val="24"/>
          <w:szCs w:val="24"/>
        </w:rPr>
        <w:t xml:space="preserve">acumularam </w:t>
      </w:r>
      <w:r w:rsidR="0022513C">
        <w:rPr>
          <w:rFonts w:eastAsia="Arial"/>
          <w:sz w:val="24"/>
          <w:szCs w:val="24"/>
        </w:rPr>
        <w:t xml:space="preserve">cerca </w:t>
      </w:r>
      <w:r w:rsidR="00BF5572">
        <w:rPr>
          <w:rFonts w:eastAsia="Arial"/>
          <w:sz w:val="24"/>
          <w:szCs w:val="24"/>
        </w:rPr>
        <w:t>de</w:t>
      </w:r>
      <w:r w:rsidR="0022513C">
        <w:rPr>
          <w:rFonts w:eastAsia="Arial"/>
          <w:sz w:val="24"/>
          <w:szCs w:val="24"/>
        </w:rPr>
        <w:t xml:space="preserve"> </w:t>
      </w:r>
      <w:r w:rsidR="002729E4">
        <w:rPr>
          <w:rFonts w:eastAsia="Arial"/>
          <w:sz w:val="24"/>
          <w:szCs w:val="24"/>
        </w:rPr>
        <w:t>50,58</w:t>
      </w:r>
      <w:r w:rsidR="00BF5572">
        <w:rPr>
          <w:rFonts w:eastAsia="Arial"/>
          <w:sz w:val="24"/>
          <w:szCs w:val="24"/>
        </w:rPr>
        <w:t>%.</w:t>
      </w:r>
      <w:r w:rsidR="00780112">
        <w:rPr>
          <w:rFonts w:eastAsia="Arial"/>
          <w:sz w:val="24"/>
          <w:szCs w:val="24"/>
        </w:rPr>
        <w:t xml:space="preserve"> </w:t>
      </w:r>
      <w:r w:rsidR="00780112" w:rsidRPr="00780112">
        <w:rPr>
          <w:rFonts w:eastAsia="Arial"/>
          <w:sz w:val="24"/>
          <w:szCs w:val="24"/>
        </w:rPr>
        <w:t>Ruschel et al., (2015) em estudos na mesma área experimental,</w:t>
      </w:r>
      <w:r w:rsidR="00780112">
        <w:rPr>
          <w:rFonts w:eastAsia="Arial"/>
          <w:sz w:val="24"/>
          <w:szCs w:val="24"/>
        </w:rPr>
        <w:t xml:space="preserve"> também</w:t>
      </w:r>
      <w:r w:rsidR="00780112" w:rsidRPr="00780112">
        <w:rPr>
          <w:rFonts w:eastAsia="Arial"/>
          <w:sz w:val="24"/>
          <w:szCs w:val="24"/>
        </w:rPr>
        <w:t xml:space="preserve"> constatou que a espécie </w:t>
      </w:r>
      <w:r w:rsidR="00A7425E" w:rsidRPr="00780112">
        <w:rPr>
          <w:i/>
          <w:sz w:val="24"/>
          <w:szCs w:val="24"/>
        </w:rPr>
        <w:t>Z. ekmanii</w:t>
      </w:r>
      <w:r w:rsidR="00EA230D">
        <w:rPr>
          <w:i/>
          <w:sz w:val="24"/>
          <w:szCs w:val="24"/>
        </w:rPr>
        <w:t xml:space="preserve"> </w:t>
      </w:r>
      <w:r w:rsidR="00EA230D" w:rsidRPr="00145203">
        <w:rPr>
          <w:rFonts w:eastAsia="Arial"/>
          <w:sz w:val="24"/>
          <w:szCs w:val="24"/>
        </w:rPr>
        <w:t>(U</w:t>
      </w:r>
      <w:r w:rsidR="00EA230D">
        <w:rPr>
          <w:rFonts w:eastAsia="Arial"/>
          <w:sz w:val="24"/>
          <w:szCs w:val="24"/>
        </w:rPr>
        <w:t>rb</w:t>
      </w:r>
      <w:r w:rsidR="00EA230D" w:rsidRPr="00145203">
        <w:rPr>
          <w:rFonts w:eastAsia="Arial"/>
          <w:sz w:val="24"/>
          <w:szCs w:val="24"/>
        </w:rPr>
        <w:t>.) Alain</w:t>
      </w:r>
      <w:r w:rsidR="00A7425E" w:rsidRPr="00780112">
        <w:rPr>
          <w:sz w:val="24"/>
          <w:szCs w:val="24"/>
        </w:rPr>
        <w:t xml:space="preserve"> tem sua população ativa nas classes com diâmetro inferior a 40 cm de DAP, sugerindo que o potencial de produtividade da espécie tem limite recomendável inferior aos 40 cm.</w:t>
      </w:r>
    </w:p>
    <w:p w14:paraId="30DD3311" w14:textId="2CDC6408" w:rsidR="00714938" w:rsidRDefault="00714938" w:rsidP="00714938">
      <w:pPr>
        <w:spacing w:before="2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Figura 1 - </w:t>
      </w:r>
      <w:r w:rsidRPr="00714938">
        <w:rPr>
          <w:rFonts w:eastAsia="Arial"/>
          <w:sz w:val="22"/>
          <w:szCs w:val="22"/>
        </w:rPr>
        <w:t xml:space="preserve">Distribuição diamétrica dos indivíduos da espécie </w:t>
      </w:r>
      <w:r w:rsidRPr="00714938">
        <w:rPr>
          <w:rFonts w:eastAsia="Arial"/>
          <w:i/>
          <w:sz w:val="22"/>
          <w:szCs w:val="22"/>
        </w:rPr>
        <w:t xml:space="preserve">Z. </w:t>
      </w:r>
      <w:r w:rsidRPr="008302B7">
        <w:rPr>
          <w:rFonts w:eastAsia="Arial"/>
          <w:i/>
          <w:sz w:val="22"/>
          <w:szCs w:val="22"/>
        </w:rPr>
        <w:t>ekmanii</w:t>
      </w:r>
      <w:r w:rsidR="008302B7" w:rsidRPr="008302B7">
        <w:rPr>
          <w:rFonts w:eastAsia="Arial"/>
          <w:i/>
          <w:sz w:val="22"/>
          <w:szCs w:val="22"/>
        </w:rPr>
        <w:t xml:space="preserve"> </w:t>
      </w:r>
      <w:r w:rsidR="008302B7" w:rsidRPr="008302B7">
        <w:rPr>
          <w:rFonts w:eastAsia="Arial"/>
          <w:sz w:val="22"/>
          <w:szCs w:val="22"/>
        </w:rPr>
        <w:t>(Urb.) Alain</w:t>
      </w:r>
      <w:r w:rsidRPr="008302B7">
        <w:rPr>
          <w:rFonts w:eastAsia="Arial"/>
          <w:sz w:val="22"/>
          <w:szCs w:val="22"/>
        </w:rPr>
        <w:t>, nos</w:t>
      </w:r>
      <w:r w:rsidRPr="00714938">
        <w:rPr>
          <w:rFonts w:eastAsia="Arial"/>
          <w:sz w:val="22"/>
          <w:szCs w:val="22"/>
        </w:rPr>
        <w:t xml:space="preserve"> anos de 2009, 2012 e 2014, em uma floresta Ombrófila densa de terra firme </w:t>
      </w:r>
      <w:r w:rsidR="002841D6">
        <w:rPr>
          <w:rFonts w:eastAsia="Arial"/>
          <w:sz w:val="22"/>
          <w:szCs w:val="22"/>
        </w:rPr>
        <w:t xml:space="preserve">antropizada </w:t>
      </w:r>
      <w:r w:rsidRPr="00714938">
        <w:rPr>
          <w:rFonts w:eastAsia="Arial"/>
          <w:sz w:val="22"/>
          <w:szCs w:val="22"/>
        </w:rPr>
        <w:t>no município de Dom Elizeu-Pa.</w:t>
      </w:r>
    </w:p>
    <w:p w14:paraId="30FCE646" w14:textId="77777777" w:rsidR="00714938" w:rsidRPr="00714938" w:rsidRDefault="00714938" w:rsidP="00714938">
      <w:pPr>
        <w:spacing w:before="240"/>
        <w:jc w:val="both"/>
        <w:rPr>
          <w:rFonts w:eastAsia="Arial"/>
          <w:sz w:val="22"/>
          <w:szCs w:val="22"/>
        </w:rPr>
      </w:pPr>
    </w:p>
    <w:p w14:paraId="711ACFC3" w14:textId="77777777" w:rsidR="0012462E" w:rsidRPr="00D13969" w:rsidRDefault="00714938" w:rsidP="00714938">
      <w:pPr>
        <w:spacing w:after="120"/>
        <w:jc w:val="center"/>
        <w:rPr>
          <w:color w:val="FF0000"/>
          <w:sz w:val="22"/>
          <w:szCs w:val="22"/>
          <w:lang w:val="en-US"/>
        </w:rPr>
      </w:pPr>
      <w:r w:rsidRPr="00646263">
        <w:rPr>
          <w:noProof/>
        </w:rPr>
        <w:drawing>
          <wp:inline distT="0" distB="0" distL="0" distR="0" wp14:anchorId="7FB40A9F" wp14:editId="39087D9C">
            <wp:extent cx="3818890" cy="2009775"/>
            <wp:effectExtent l="0" t="0" r="10160" b="95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A15EDB" w14:textId="77777777" w:rsidR="008869F8" w:rsidRPr="00570B3C" w:rsidRDefault="0075682B" w:rsidP="00570B3C">
      <w:pPr>
        <w:spacing w:before="120" w:line="360" w:lineRule="auto"/>
        <w:jc w:val="center"/>
        <w:rPr>
          <w:sz w:val="22"/>
          <w:szCs w:val="22"/>
        </w:rPr>
      </w:pPr>
      <w:r w:rsidRPr="00D13969">
        <w:rPr>
          <w:sz w:val="22"/>
          <w:szCs w:val="22"/>
        </w:rPr>
        <w:t xml:space="preserve">Fonte: </w:t>
      </w:r>
      <w:r w:rsidR="00685532">
        <w:rPr>
          <w:sz w:val="22"/>
          <w:szCs w:val="22"/>
        </w:rPr>
        <w:t>Autores</w:t>
      </w:r>
      <w:r w:rsidRPr="00D13969">
        <w:rPr>
          <w:sz w:val="22"/>
          <w:szCs w:val="22"/>
        </w:rPr>
        <w:t>, 201</w:t>
      </w:r>
      <w:r>
        <w:rPr>
          <w:sz w:val="22"/>
          <w:szCs w:val="22"/>
        </w:rPr>
        <w:t>4</w:t>
      </w:r>
      <w:r w:rsidRPr="00D13969">
        <w:rPr>
          <w:sz w:val="22"/>
          <w:szCs w:val="22"/>
        </w:rPr>
        <w:t>.</w:t>
      </w:r>
    </w:p>
    <w:p w14:paraId="45C0CA81" w14:textId="73708002" w:rsidR="0075682B" w:rsidRDefault="00570B3C" w:rsidP="00EF5A62">
      <w:pPr>
        <w:spacing w:line="360" w:lineRule="auto"/>
        <w:ind w:firstLine="708"/>
        <w:jc w:val="both"/>
      </w:pPr>
      <w:r>
        <w:rPr>
          <w:rFonts w:eastAsia="Arial"/>
          <w:sz w:val="24"/>
          <w:szCs w:val="24"/>
        </w:rPr>
        <w:t>Pode-se verificar que n</w:t>
      </w:r>
      <w:r w:rsidR="00B60BDB">
        <w:rPr>
          <w:rFonts w:eastAsia="Arial"/>
          <w:sz w:val="24"/>
          <w:szCs w:val="24"/>
        </w:rPr>
        <w:t xml:space="preserve">a primeira </w:t>
      </w:r>
      <w:r w:rsidR="0075682B" w:rsidRPr="0075682B">
        <w:rPr>
          <w:rFonts w:eastAsia="Arial"/>
          <w:sz w:val="24"/>
          <w:szCs w:val="24"/>
        </w:rPr>
        <w:t xml:space="preserve">classe </w:t>
      </w:r>
      <w:r w:rsidR="00B60BDB">
        <w:rPr>
          <w:rFonts w:eastAsia="Arial"/>
          <w:sz w:val="24"/>
          <w:szCs w:val="24"/>
        </w:rPr>
        <w:t>diamétrica</w:t>
      </w:r>
      <w:r w:rsidR="0075682B" w:rsidRPr="0075682B">
        <w:rPr>
          <w:rFonts w:eastAsia="Arial"/>
          <w:sz w:val="24"/>
          <w:szCs w:val="24"/>
        </w:rPr>
        <w:t xml:space="preserve">, houve uma queda </w:t>
      </w:r>
      <w:r w:rsidR="002608CC">
        <w:rPr>
          <w:rFonts w:eastAsia="Arial"/>
          <w:sz w:val="24"/>
          <w:szCs w:val="24"/>
        </w:rPr>
        <w:t>acentuada</w:t>
      </w:r>
      <w:r w:rsidR="0075682B" w:rsidRPr="0075682B">
        <w:rPr>
          <w:rFonts w:eastAsia="Arial"/>
          <w:sz w:val="24"/>
          <w:szCs w:val="24"/>
        </w:rPr>
        <w:t xml:space="preserve"> no número de indivíduos nos </w:t>
      </w:r>
      <w:r w:rsidR="00B60BDB">
        <w:rPr>
          <w:rFonts w:eastAsia="Arial"/>
          <w:sz w:val="24"/>
          <w:szCs w:val="24"/>
        </w:rPr>
        <w:t>cinco anos</w:t>
      </w:r>
      <w:r w:rsidR="0075682B" w:rsidRPr="0075682B">
        <w:rPr>
          <w:rFonts w:eastAsia="Arial"/>
          <w:sz w:val="24"/>
          <w:szCs w:val="24"/>
        </w:rPr>
        <w:t xml:space="preserve">. </w:t>
      </w:r>
      <w:r w:rsidR="00B67515" w:rsidRPr="00D51A8E">
        <w:rPr>
          <w:sz w:val="24"/>
          <w:szCs w:val="24"/>
        </w:rPr>
        <w:t>Lana et al. (2015)</w:t>
      </w:r>
      <w:r w:rsidR="00B67515" w:rsidRPr="00D51A8E">
        <w:rPr>
          <w:rFonts w:eastAsia="Arial"/>
          <w:sz w:val="24"/>
          <w:szCs w:val="24"/>
        </w:rPr>
        <w:t xml:space="preserve"> </w:t>
      </w:r>
      <w:r w:rsidR="00CE5DB9">
        <w:rPr>
          <w:rFonts w:eastAsia="Arial"/>
          <w:sz w:val="24"/>
          <w:szCs w:val="24"/>
        </w:rPr>
        <w:t>afirmam</w:t>
      </w:r>
      <w:r w:rsidR="00B67515">
        <w:rPr>
          <w:rFonts w:eastAsia="Arial"/>
          <w:sz w:val="24"/>
          <w:szCs w:val="24"/>
        </w:rPr>
        <w:t xml:space="preserve"> que essa diminuição é maior nas classes de menor diâmetro, devido ao avanço </w:t>
      </w:r>
      <w:r w:rsidR="00B60BDB">
        <w:rPr>
          <w:rFonts w:eastAsia="Arial"/>
          <w:sz w:val="24"/>
          <w:szCs w:val="24"/>
        </w:rPr>
        <w:t>sucess</w:t>
      </w:r>
      <w:r w:rsidR="00B47301">
        <w:rPr>
          <w:rFonts w:eastAsia="Arial"/>
          <w:sz w:val="24"/>
          <w:szCs w:val="24"/>
        </w:rPr>
        <w:t>i</w:t>
      </w:r>
      <w:r w:rsidR="00B60BDB">
        <w:rPr>
          <w:rFonts w:eastAsia="Arial"/>
          <w:sz w:val="24"/>
          <w:szCs w:val="24"/>
        </w:rPr>
        <w:t>onal da cobertura floresta</w:t>
      </w:r>
      <w:r w:rsidR="00A816F0">
        <w:rPr>
          <w:rFonts w:eastAsia="Arial"/>
          <w:sz w:val="24"/>
          <w:szCs w:val="24"/>
        </w:rPr>
        <w:t>l, incidindo para a maior mortalidade aos indivíduos juvenis.</w:t>
      </w:r>
      <w:r w:rsidR="00EF5A62">
        <w:rPr>
          <w:rFonts w:eastAsia="Arial"/>
          <w:sz w:val="24"/>
          <w:szCs w:val="24"/>
        </w:rPr>
        <w:t xml:space="preserve"> Já p</w:t>
      </w:r>
      <w:r w:rsidR="0075682B" w:rsidRPr="0075682B">
        <w:rPr>
          <w:rFonts w:eastAsia="Arial"/>
          <w:sz w:val="24"/>
          <w:szCs w:val="24"/>
        </w:rPr>
        <w:t>ar</w:t>
      </w:r>
      <w:r w:rsidR="00326FB2">
        <w:rPr>
          <w:rFonts w:eastAsia="Arial"/>
          <w:sz w:val="24"/>
          <w:szCs w:val="24"/>
        </w:rPr>
        <w:t xml:space="preserve">a Carvalho (2003) e </w:t>
      </w:r>
      <w:proofErr w:type="spellStart"/>
      <w:r w:rsidR="00326FB2">
        <w:rPr>
          <w:rFonts w:eastAsia="Arial"/>
          <w:sz w:val="24"/>
          <w:szCs w:val="24"/>
        </w:rPr>
        <w:t>Sanquetta</w:t>
      </w:r>
      <w:proofErr w:type="spellEnd"/>
      <w:r w:rsidR="00FE59AC">
        <w:rPr>
          <w:rFonts w:eastAsia="Arial"/>
          <w:sz w:val="24"/>
          <w:szCs w:val="24"/>
        </w:rPr>
        <w:t xml:space="preserve"> e</w:t>
      </w:r>
      <w:r w:rsidR="00326FB2">
        <w:rPr>
          <w:rFonts w:eastAsia="Arial"/>
          <w:sz w:val="24"/>
          <w:szCs w:val="24"/>
        </w:rPr>
        <w:t xml:space="preserve"> </w:t>
      </w:r>
      <w:r w:rsidR="0075682B" w:rsidRPr="0075682B">
        <w:rPr>
          <w:rFonts w:eastAsia="Arial"/>
          <w:sz w:val="24"/>
          <w:szCs w:val="24"/>
        </w:rPr>
        <w:t xml:space="preserve">Mattei (2006), essa tendência de diminuição do número de indivíduos de menores diâmetros, pode ser explicada pelo fato da espécie estudada, ser pouco tolerante à sombra, especialmente na fase juvenil, apresentando regeneração fraca em ambientes pouco perturbados, esse fato pode justificar o manejo </w:t>
      </w:r>
      <w:r w:rsidR="006D5D6D">
        <w:rPr>
          <w:rFonts w:eastAsia="Arial"/>
          <w:sz w:val="24"/>
          <w:szCs w:val="24"/>
        </w:rPr>
        <w:t xml:space="preserve">específico </w:t>
      </w:r>
      <w:r w:rsidR="0075682B" w:rsidRPr="0075682B">
        <w:rPr>
          <w:rFonts w:eastAsia="Arial"/>
          <w:sz w:val="24"/>
          <w:szCs w:val="24"/>
        </w:rPr>
        <w:t>da floresta como uma tática para perpetuar certas espécies em seu habitat, que precisam de luz para a germinação e desenvolvimento.</w:t>
      </w:r>
      <w:r w:rsidR="00B67515" w:rsidRPr="00B67515">
        <w:t xml:space="preserve"> </w:t>
      </w:r>
    </w:p>
    <w:p w14:paraId="102593A1" w14:textId="1810B002" w:rsidR="008D70E2" w:rsidRDefault="008D70E2" w:rsidP="008D70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D40C2">
        <w:rPr>
          <w:sz w:val="24"/>
          <w:szCs w:val="24"/>
        </w:rPr>
        <w:t>Nesse contexto</w:t>
      </w:r>
      <w:r w:rsidRPr="00BE6DF0">
        <w:rPr>
          <w:sz w:val="24"/>
          <w:szCs w:val="24"/>
        </w:rPr>
        <w:t>,</w:t>
      </w:r>
      <w:r w:rsidR="006C4136" w:rsidRPr="00BE6DF0">
        <w:rPr>
          <w:sz w:val="24"/>
          <w:szCs w:val="24"/>
        </w:rPr>
        <w:t xml:space="preserve"> Gomes et al. (2018) e</w:t>
      </w:r>
      <w:r w:rsidRPr="008D40C2">
        <w:rPr>
          <w:sz w:val="24"/>
          <w:szCs w:val="24"/>
        </w:rPr>
        <w:t xml:space="preserve"> </w:t>
      </w:r>
      <w:r w:rsidR="006C4136" w:rsidRPr="00F066EA">
        <w:rPr>
          <w:sz w:val="24"/>
          <w:szCs w:val="24"/>
        </w:rPr>
        <w:t>Lima</w:t>
      </w:r>
      <w:r w:rsidR="00FE59AC">
        <w:rPr>
          <w:sz w:val="24"/>
          <w:szCs w:val="24"/>
        </w:rPr>
        <w:t xml:space="preserve"> e</w:t>
      </w:r>
      <w:r w:rsidR="006C4136" w:rsidRPr="00F066EA">
        <w:rPr>
          <w:sz w:val="24"/>
          <w:szCs w:val="24"/>
        </w:rPr>
        <w:t xml:space="preserve"> </w:t>
      </w:r>
      <w:r w:rsidRPr="00F066EA">
        <w:rPr>
          <w:sz w:val="24"/>
          <w:szCs w:val="24"/>
        </w:rPr>
        <w:t>Leão (2013)</w:t>
      </w:r>
      <w:r w:rsidRPr="008D40C2">
        <w:rPr>
          <w:sz w:val="24"/>
          <w:szCs w:val="24"/>
        </w:rPr>
        <w:t xml:space="preserve"> afirmam que a análise do </w:t>
      </w:r>
      <w:r w:rsidRPr="008D40C2">
        <w:rPr>
          <w:sz w:val="24"/>
          <w:szCs w:val="24"/>
        </w:rPr>
        <w:lastRenderedPageBreak/>
        <w:t>comportamento de uma espécie em cada classe a ser utilizada subsidia a escolha do sistema e a intensidade de exploração, assim como os métodos silviculturais a serem adotados,</w:t>
      </w:r>
      <w:r w:rsidR="006C4136">
        <w:rPr>
          <w:sz w:val="24"/>
          <w:szCs w:val="24"/>
        </w:rPr>
        <w:t xml:space="preserve"> os quais podem estimular o crescimento e a regeneração por meio da abertura do dossel, fazendo com que </w:t>
      </w:r>
      <w:r w:rsidRPr="008D40C2">
        <w:rPr>
          <w:sz w:val="24"/>
          <w:szCs w:val="24"/>
        </w:rPr>
        <w:t>a floresta seja manejada sem sofre</w:t>
      </w:r>
      <w:r>
        <w:rPr>
          <w:sz w:val="24"/>
          <w:szCs w:val="24"/>
        </w:rPr>
        <w:t>r grandes distúrbios ecológicos.</w:t>
      </w:r>
    </w:p>
    <w:p w14:paraId="72011D4C" w14:textId="60CBAB63" w:rsidR="00AA1ED2" w:rsidRDefault="0075682B" w:rsidP="0003478E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rFonts w:ascii="Verdana" w:hAnsi="Verdana"/>
          <w:color w:val="000000"/>
          <w:shd w:val="clear" w:color="auto" w:fill="FFFFFF"/>
        </w:rPr>
      </w:pPr>
      <w:r w:rsidRPr="008B39B8">
        <w:rPr>
          <w:rFonts w:eastAsia="Arial"/>
          <w:sz w:val="24"/>
          <w:szCs w:val="24"/>
        </w:rPr>
        <w:t>Em relação a estrutura ho</w:t>
      </w:r>
      <w:r w:rsidR="006174A9" w:rsidRPr="008B39B8">
        <w:rPr>
          <w:rFonts w:eastAsia="Arial"/>
          <w:sz w:val="24"/>
          <w:szCs w:val="24"/>
        </w:rPr>
        <w:t>rizontal da espécie, na tabela 1</w:t>
      </w:r>
      <w:r w:rsidRPr="008B39B8">
        <w:rPr>
          <w:rFonts w:eastAsia="Arial"/>
          <w:sz w:val="24"/>
          <w:szCs w:val="24"/>
        </w:rPr>
        <w:t xml:space="preserve"> observa-se que houve uma diminuição da densidade absoluta, passando de 18,2</w:t>
      </w:r>
      <w:r w:rsidR="008B39B8" w:rsidRPr="006F527A">
        <w:rPr>
          <w:rFonts w:eastAsia="Arial"/>
          <w:sz w:val="24"/>
          <w:szCs w:val="24"/>
        </w:rPr>
        <w:t>6</w:t>
      </w:r>
      <w:r w:rsidRPr="008B39B8">
        <w:rPr>
          <w:rFonts w:eastAsia="Arial"/>
          <w:sz w:val="24"/>
          <w:szCs w:val="24"/>
        </w:rPr>
        <w:t xml:space="preserve"> </w:t>
      </w:r>
      <w:proofErr w:type="gramStart"/>
      <w:r w:rsidRPr="008B39B8">
        <w:rPr>
          <w:rFonts w:eastAsia="Arial"/>
          <w:sz w:val="24"/>
          <w:szCs w:val="24"/>
        </w:rPr>
        <w:t>ind.ha</w:t>
      </w:r>
      <w:proofErr w:type="gramEnd"/>
      <w:r w:rsidRPr="008B39B8">
        <w:rPr>
          <w:rFonts w:eastAsia="Arial"/>
          <w:sz w:val="24"/>
          <w:szCs w:val="24"/>
          <w:vertAlign w:val="superscript"/>
        </w:rPr>
        <w:t xml:space="preserve">-1 </w:t>
      </w:r>
      <w:r w:rsidRPr="008B39B8">
        <w:rPr>
          <w:rFonts w:eastAsia="Arial"/>
          <w:sz w:val="24"/>
          <w:szCs w:val="24"/>
        </w:rPr>
        <w:t>(2009) para 15,8</w:t>
      </w:r>
      <w:r w:rsidR="008B39B8" w:rsidRPr="008B39B8">
        <w:rPr>
          <w:rFonts w:eastAsia="Arial"/>
          <w:sz w:val="24"/>
          <w:szCs w:val="24"/>
        </w:rPr>
        <w:t>6</w:t>
      </w:r>
      <w:r w:rsidRPr="008B39B8">
        <w:rPr>
          <w:rFonts w:eastAsia="Arial"/>
          <w:sz w:val="24"/>
          <w:szCs w:val="24"/>
        </w:rPr>
        <w:t xml:space="preserve"> ind.ha</w:t>
      </w:r>
      <w:r w:rsidRPr="008B39B8">
        <w:rPr>
          <w:rFonts w:eastAsia="Arial"/>
          <w:sz w:val="24"/>
          <w:szCs w:val="24"/>
          <w:vertAlign w:val="superscript"/>
        </w:rPr>
        <w:t>-1</w:t>
      </w:r>
      <w:r w:rsidRPr="008B39B8">
        <w:rPr>
          <w:rFonts w:eastAsia="Arial"/>
          <w:sz w:val="24"/>
          <w:szCs w:val="24"/>
        </w:rPr>
        <w:t xml:space="preserve"> (2012)</w:t>
      </w:r>
      <w:r w:rsidR="005747DE" w:rsidRPr="008B39B8">
        <w:rPr>
          <w:rFonts w:eastAsia="Arial"/>
          <w:sz w:val="24"/>
          <w:szCs w:val="24"/>
        </w:rPr>
        <w:t xml:space="preserve"> e 12,</w:t>
      </w:r>
      <w:r w:rsidR="008B39B8" w:rsidRPr="006F527A">
        <w:rPr>
          <w:rFonts w:eastAsia="Arial"/>
          <w:sz w:val="24"/>
          <w:szCs w:val="24"/>
        </w:rPr>
        <w:t>66</w:t>
      </w:r>
      <w:r w:rsidR="000309C2">
        <w:rPr>
          <w:rFonts w:eastAsia="Arial"/>
          <w:sz w:val="24"/>
          <w:szCs w:val="24"/>
        </w:rPr>
        <w:t xml:space="preserve"> </w:t>
      </w:r>
      <w:r w:rsidR="000309C2" w:rsidRPr="008B39B8">
        <w:rPr>
          <w:rFonts w:eastAsia="Arial"/>
          <w:sz w:val="24"/>
          <w:szCs w:val="24"/>
        </w:rPr>
        <w:t>ind.ha</w:t>
      </w:r>
      <w:r w:rsidR="000309C2" w:rsidRPr="008B39B8">
        <w:rPr>
          <w:rFonts w:eastAsia="Arial"/>
          <w:sz w:val="24"/>
          <w:szCs w:val="24"/>
          <w:vertAlign w:val="superscript"/>
        </w:rPr>
        <w:t>-1</w:t>
      </w:r>
      <w:r w:rsidR="005747DE" w:rsidRPr="008B39B8">
        <w:rPr>
          <w:rFonts w:eastAsia="Arial"/>
          <w:sz w:val="24"/>
          <w:szCs w:val="24"/>
        </w:rPr>
        <w:t xml:space="preserve"> (2014)</w:t>
      </w:r>
      <w:r w:rsidRPr="008B39B8">
        <w:rPr>
          <w:rFonts w:eastAsia="Arial"/>
          <w:sz w:val="24"/>
          <w:szCs w:val="24"/>
        </w:rPr>
        <w:t>.</w:t>
      </w:r>
      <w:r w:rsidR="006F527A">
        <w:rPr>
          <w:rFonts w:eastAsia="Arial"/>
          <w:sz w:val="24"/>
          <w:szCs w:val="24"/>
        </w:rPr>
        <w:t xml:space="preserve"> </w:t>
      </w:r>
      <w:r w:rsidR="005F12F1">
        <w:rPr>
          <w:rFonts w:eastAsia="Arial"/>
          <w:sz w:val="24"/>
          <w:szCs w:val="24"/>
        </w:rPr>
        <w:t>Conforme observado, a espécie apresentou um</w:t>
      </w:r>
      <w:r w:rsidR="0003478E">
        <w:rPr>
          <w:rFonts w:eastAsia="Arial"/>
          <w:sz w:val="24"/>
          <w:szCs w:val="24"/>
        </w:rPr>
        <w:t xml:space="preserve"> decréscimo na densidade,</w:t>
      </w:r>
      <w:r w:rsidR="005F12F1">
        <w:rPr>
          <w:rFonts w:eastAsia="Arial"/>
          <w:sz w:val="24"/>
          <w:szCs w:val="24"/>
        </w:rPr>
        <w:t xml:space="preserve"> que pode ser </w:t>
      </w:r>
      <w:r w:rsidR="003C1DBE">
        <w:rPr>
          <w:rFonts w:eastAsia="Arial"/>
          <w:sz w:val="24"/>
          <w:szCs w:val="24"/>
        </w:rPr>
        <w:t xml:space="preserve">oriundo </w:t>
      </w:r>
      <w:r w:rsidR="005F12F1">
        <w:rPr>
          <w:rFonts w:eastAsia="Arial"/>
          <w:sz w:val="24"/>
          <w:szCs w:val="24"/>
        </w:rPr>
        <w:t xml:space="preserve">do histórico de uso da área, características ecológicas </w:t>
      </w:r>
      <w:r w:rsidR="0021794F">
        <w:rPr>
          <w:rFonts w:eastAsia="Arial"/>
          <w:sz w:val="24"/>
          <w:szCs w:val="24"/>
        </w:rPr>
        <w:t xml:space="preserve">e ciclo de vida curto </w:t>
      </w:r>
      <w:r w:rsidR="005F12F1">
        <w:rPr>
          <w:rFonts w:eastAsia="Arial"/>
          <w:sz w:val="24"/>
          <w:szCs w:val="24"/>
        </w:rPr>
        <w:t>da espécie.</w:t>
      </w:r>
    </w:p>
    <w:p w14:paraId="07061BB7" w14:textId="533CEDBB" w:rsidR="00AA1ED2" w:rsidRDefault="005F12F1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rFonts w:eastAsia="Arial"/>
          <w:sz w:val="24"/>
          <w:szCs w:val="24"/>
        </w:rPr>
      </w:pPr>
      <w:r w:rsidRPr="006F527A">
        <w:rPr>
          <w:color w:val="000000"/>
          <w:sz w:val="24"/>
          <w:szCs w:val="24"/>
          <w:shd w:val="clear" w:color="auto" w:fill="FFFFFF"/>
        </w:rPr>
        <w:t>Segundo</w:t>
      </w:r>
      <w:r w:rsidR="00A06F59" w:rsidRPr="006F527A">
        <w:rPr>
          <w:color w:val="000000"/>
          <w:sz w:val="24"/>
          <w:szCs w:val="24"/>
          <w:shd w:val="clear" w:color="auto" w:fill="FFFFFF"/>
        </w:rPr>
        <w:t xml:space="preserve"> </w:t>
      </w:r>
      <w:r w:rsidR="006F527A" w:rsidRPr="006F527A">
        <w:rPr>
          <w:color w:val="000000"/>
          <w:sz w:val="24"/>
          <w:szCs w:val="24"/>
          <w:shd w:val="clear" w:color="auto" w:fill="FFFFFF"/>
        </w:rPr>
        <w:t xml:space="preserve">Machado et al. (2010) a </w:t>
      </w:r>
      <w:r w:rsidR="00A06F59" w:rsidRPr="006F527A">
        <w:rPr>
          <w:color w:val="000000"/>
          <w:sz w:val="24"/>
          <w:szCs w:val="24"/>
          <w:shd w:val="clear" w:color="auto" w:fill="FFFFFF"/>
        </w:rPr>
        <w:t xml:space="preserve">redução na densidade populacional de uma espécie florestal pode estar relacionada a diversos fatores, incluindo aspectos da história natural de cada espécie e do histórico de perturbações da área, sendo que a última pode </w:t>
      </w:r>
      <w:r w:rsidRPr="006F527A">
        <w:rPr>
          <w:color w:val="000000"/>
          <w:sz w:val="24"/>
          <w:szCs w:val="24"/>
          <w:shd w:val="clear" w:color="auto" w:fill="FFFFFF"/>
        </w:rPr>
        <w:t xml:space="preserve">ter ocasionado empobrecimento da fauna dispersora, consequentemente prejudicando </w:t>
      </w:r>
      <w:r w:rsidR="00A06F59" w:rsidRPr="006F527A">
        <w:rPr>
          <w:color w:val="000000"/>
          <w:sz w:val="24"/>
          <w:szCs w:val="24"/>
          <w:shd w:val="clear" w:color="auto" w:fill="FFFFFF"/>
        </w:rPr>
        <w:t>a</w:t>
      </w:r>
      <w:r w:rsidR="006F527A" w:rsidRPr="006F527A">
        <w:rPr>
          <w:color w:val="000000"/>
          <w:sz w:val="24"/>
          <w:szCs w:val="24"/>
          <w:shd w:val="clear" w:color="auto" w:fill="FFFFFF"/>
        </w:rPr>
        <w:t xml:space="preserve"> entrada</w:t>
      </w:r>
      <w:r w:rsidR="00A06F59" w:rsidRPr="006F527A">
        <w:rPr>
          <w:color w:val="000000"/>
          <w:sz w:val="24"/>
          <w:szCs w:val="24"/>
          <w:shd w:val="clear" w:color="auto" w:fill="FFFFFF"/>
        </w:rPr>
        <w:t xml:space="preserve"> </w:t>
      </w:r>
      <w:r w:rsidRPr="006F527A">
        <w:rPr>
          <w:color w:val="000000"/>
          <w:sz w:val="24"/>
          <w:szCs w:val="24"/>
          <w:shd w:val="clear" w:color="auto" w:fill="FFFFFF"/>
        </w:rPr>
        <w:t>de indivíduos nas classes de menor diâmetro.</w:t>
      </w:r>
      <w:r w:rsidR="009D07C8">
        <w:rPr>
          <w:rFonts w:eastAsia="Arial"/>
          <w:sz w:val="24"/>
          <w:szCs w:val="24"/>
        </w:rPr>
        <w:t xml:space="preserve"> </w:t>
      </w:r>
    </w:p>
    <w:p w14:paraId="60EBC512" w14:textId="0DC0305F" w:rsidR="006F527A" w:rsidRPr="00AC1E5C" w:rsidRDefault="006F527A">
      <w:pPr>
        <w:widowControl w:val="0"/>
        <w:autoSpaceDE w:val="0"/>
        <w:autoSpaceDN w:val="0"/>
        <w:adjustRightInd w:val="0"/>
        <w:spacing w:line="360" w:lineRule="auto"/>
        <w:ind w:firstLine="706"/>
        <w:jc w:val="both"/>
        <w:rPr>
          <w:rFonts w:eastAsia="Arial"/>
          <w:sz w:val="24"/>
          <w:szCs w:val="24"/>
        </w:rPr>
      </w:pPr>
      <w:r w:rsidRPr="004E37E1">
        <w:rPr>
          <w:rFonts w:eastAsia="Arial"/>
          <w:sz w:val="24"/>
          <w:szCs w:val="24"/>
        </w:rPr>
        <w:t>Rossi (2007) afirma que os danos originados por interferências humanas também podem contribuir com a morte de indivíduos de uma espécie, devido a retirada de madeira para fins comerciais, além de que a derrubada de árvores pode esmagar árvores menores, as máquinas podem danificar raízes e cascas e criar pontos de entrada para doenças e podridão.</w:t>
      </w:r>
    </w:p>
    <w:p w14:paraId="3F38AD0B" w14:textId="270F036E" w:rsidR="0087290F" w:rsidRPr="0087290F" w:rsidRDefault="00676868" w:rsidP="00AC1E5C">
      <w:pPr>
        <w:spacing w:before="240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Tabela 1 </w:t>
      </w:r>
      <w:r w:rsidR="0000035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00350">
        <w:rPr>
          <w:sz w:val="22"/>
          <w:szCs w:val="22"/>
        </w:rPr>
        <w:t xml:space="preserve">Estrutura horizontal da espécie </w:t>
      </w:r>
      <w:r w:rsidRPr="0075682B">
        <w:rPr>
          <w:rFonts w:eastAsia="Arial"/>
          <w:i/>
          <w:sz w:val="22"/>
          <w:szCs w:val="22"/>
        </w:rPr>
        <w:t xml:space="preserve">Zanthoxylum </w:t>
      </w:r>
      <w:r w:rsidRPr="00EA230D">
        <w:rPr>
          <w:rFonts w:eastAsia="Arial"/>
          <w:i/>
          <w:sz w:val="22"/>
          <w:szCs w:val="22"/>
        </w:rPr>
        <w:t>ekmanii</w:t>
      </w:r>
      <w:r w:rsidR="00EA230D" w:rsidRPr="00EA230D">
        <w:rPr>
          <w:rFonts w:eastAsia="Arial"/>
          <w:i/>
          <w:sz w:val="22"/>
          <w:szCs w:val="22"/>
        </w:rPr>
        <w:t xml:space="preserve"> </w:t>
      </w:r>
      <w:r w:rsidR="00EA230D" w:rsidRPr="00EA230D">
        <w:rPr>
          <w:rFonts w:eastAsia="Arial"/>
          <w:sz w:val="22"/>
          <w:szCs w:val="22"/>
        </w:rPr>
        <w:t>(Urb.) Alain</w:t>
      </w:r>
      <w:r w:rsidRPr="00EA230D">
        <w:rPr>
          <w:rFonts w:eastAsia="Arial"/>
          <w:sz w:val="22"/>
          <w:szCs w:val="22"/>
        </w:rPr>
        <w:t>, considerando árvores com DAP ≥ 5 cm no período de 2009</w:t>
      </w:r>
      <w:r w:rsidR="00EB072C" w:rsidRPr="00EA230D">
        <w:rPr>
          <w:rFonts w:eastAsia="Arial"/>
          <w:sz w:val="22"/>
          <w:szCs w:val="22"/>
        </w:rPr>
        <w:t>, 2</w:t>
      </w:r>
      <w:r w:rsidR="005A5568" w:rsidRPr="00EA230D">
        <w:rPr>
          <w:rFonts w:eastAsia="Arial"/>
          <w:sz w:val="22"/>
          <w:szCs w:val="22"/>
        </w:rPr>
        <w:t>0</w:t>
      </w:r>
      <w:r w:rsidR="00EB072C" w:rsidRPr="00EA230D">
        <w:rPr>
          <w:rFonts w:eastAsia="Arial"/>
          <w:sz w:val="22"/>
          <w:szCs w:val="22"/>
        </w:rPr>
        <w:t xml:space="preserve">12 e </w:t>
      </w:r>
      <w:r w:rsidRPr="00EA230D">
        <w:rPr>
          <w:rFonts w:eastAsia="Arial"/>
          <w:sz w:val="22"/>
          <w:szCs w:val="22"/>
        </w:rPr>
        <w:t>2014, antes e após a exploração florestal</w:t>
      </w:r>
      <w:r w:rsidRPr="0075682B">
        <w:rPr>
          <w:rFonts w:eastAsia="Arial"/>
          <w:sz w:val="22"/>
          <w:szCs w:val="22"/>
        </w:rPr>
        <w:t>, na Fazenda Shet, Dom Elizeu-PA</w:t>
      </w:r>
      <w:r w:rsidR="0087290F">
        <w:rPr>
          <w:rFonts w:eastAsia="Arial"/>
          <w:sz w:val="22"/>
          <w:szCs w:val="22"/>
        </w:rPr>
        <w:t>.</w:t>
      </w:r>
    </w:p>
    <w:tbl>
      <w:tblPr>
        <w:tblStyle w:val="TabeladeLista21"/>
        <w:tblW w:w="0" w:type="auto"/>
        <w:tblLook w:val="04A0" w:firstRow="1" w:lastRow="0" w:firstColumn="1" w:lastColumn="0" w:noHBand="0" w:noVBand="1"/>
      </w:tblPr>
      <w:tblGrid>
        <w:gridCol w:w="1879"/>
        <w:gridCol w:w="2624"/>
        <w:gridCol w:w="2409"/>
        <w:gridCol w:w="2552"/>
      </w:tblGrid>
      <w:tr w:rsidR="006F527A" w14:paraId="34190FE8" w14:textId="77777777" w:rsidTr="005A5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AEAAAA" w:themeFill="background2" w:themeFillShade="BF"/>
          </w:tcPr>
          <w:p w14:paraId="7C534CFE" w14:textId="77777777" w:rsidR="006F527A" w:rsidRPr="00AA1ED2" w:rsidRDefault="006F527A" w:rsidP="0003478E">
            <w:pPr>
              <w:tabs>
                <w:tab w:val="left" w:pos="784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Ano de medição</w:t>
            </w:r>
          </w:p>
        </w:tc>
        <w:tc>
          <w:tcPr>
            <w:tcW w:w="2624" w:type="dxa"/>
            <w:shd w:val="clear" w:color="auto" w:fill="AEAAAA" w:themeFill="background2" w:themeFillShade="BF"/>
          </w:tcPr>
          <w:p w14:paraId="22BDAFDA" w14:textId="77777777" w:rsidR="006F527A" w:rsidRPr="00AA1ED2" w:rsidRDefault="006F527A" w:rsidP="0003478E">
            <w:pPr>
              <w:tabs>
                <w:tab w:val="left" w:pos="78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DA (n/ha)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14:paraId="620FF02C" w14:textId="77777777" w:rsidR="006F527A" w:rsidRPr="00AA1ED2" w:rsidRDefault="006F527A" w:rsidP="0003478E">
            <w:pPr>
              <w:tabs>
                <w:tab w:val="left" w:pos="78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DOA (m²/ha)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14:paraId="187DA7BF" w14:textId="243D3710" w:rsidR="006F527A" w:rsidRPr="00AA1ED2" w:rsidRDefault="005A5568" w:rsidP="0003478E">
            <w:pPr>
              <w:tabs>
                <w:tab w:val="left" w:pos="784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 xml:space="preserve">             </w:t>
            </w:r>
            <w:r w:rsidR="006F527A" w:rsidRPr="00AA1ED2">
              <w:rPr>
                <w:rFonts w:eastAsia="Arial"/>
                <w:sz w:val="24"/>
                <w:szCs w:val="24"/>
              </w:rPr>
              <w:t>FA (%)</w:t>
            </w:r>
          </w:p>
        </w:tc>
      </w:tr>
      <w:tr w:rsidR="006F527A" w14:paraId="299D7C27" w14:textId="77777777" w:rsidTr="00034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2F2F2" w:themeFill="background1" w:themeFillShade="F2"/>
          </w:tcPr>
          <w:p w14:paraId="4083FCBD" w14:textId="77777777" w:rsidR="006F527A" w:rsidRPr="00AA1ED2" w:rsidRDefault="006F527A" w:rsidP="0003478E">
            <w:pPr>
              <w:tabs>
                <w:tab w:val="left" w:pos="784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2009</w:t>
            </w:r>
          </w:p>
        </w:tc>
        <w:tc>
          <w:tcPr>
            <w:tcW w:w="2624" w:type="dxa"/>
            <w:shd w:val="clear" w:color="auto" w:fill="F2F2F2" w:themeFill="background1" w:themeFillShade="F2"/>
          </w:tcPr>
          <w:p w14:paraId="2283C71D" w14:textId="13A35540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18,26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47A5EF4" w14:textId="6466DF32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0,53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599920D" w14:textId="571B85B1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90,0</w:t>
            </w:r>
          </w:p>
        </w:tc>
      </w:tr>
      <w:tr w:rsidR="006F527A" w14:paraId="05B4C95A" w14:textId="77777777" w:rsidTr="005A5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auto"/>
          </w:tcPr>
          <w:p w14:paraId="19B0BA6A" w14:textId="77777777" w:rsidR="006F527A" w:rsidRPr="00AA1ED2" w:rsidRDefault="006F527A" w:rsidP="0003478E">
            <w:pPr>
              <w:tabs>
                <w:tab w:val="left" w:pos="784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2012</w:t>
            </w:r>
          </w:p>
        </w:tc>
        <w:tc>
          <w:tcPr>
            <w:tcW w:w="2624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2BEC2A9C" w14:textId="7C0A31CB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15,86</w:t>
            </w:r>
          </w:p>
        </w:tc>
        <w:tc>
          <w:tcPr>
            <w:tcW w:w="2409" w:type="dxa"/>
            <w:shd w:val="clear" w:color="auto" w:fill="auto"/>
          </w:tcPr>
          <w:p w14:paraId="1E2B5BB2" w14:textId="0554187C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0,58</w:t>
            </w:r>
          </w:p>
        </w:tc>
        <w:tc>
          <w:tcPr>
            <w:tcW w:w="2552" w:type="dxa"/>
            <w:shd w:val="clear" w:color="auto" w:fill="auto"/>
          </w:tcPr>
          <w:p w14:paraId="006977E9" w14:textId="166DEA71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90,0</w:t>
            </w:r>
          </w:p>
        </w:tc>
      </w:tr>
      <w:tr w:rsidR="006F527A" w14:paraId="14CB3E73" w14:textId="77777777" w:rsidTr="00034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2F2F2" w:themeFill="background1" w:themeFillShade="F2"/>
          </w:tcPr>
          <w:p w14:paraId="039D3D6B" w14:textId="77777777" w:rsidR="006F527A" w:rsidRPr="00AA1ED2" w:rsidRDefault="006F527A" w:rsidP="0003478E">
            <w:pPr>
              <w:tabs>
                <w:tab w:val="left" w:pos="784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2014</w:t>
            </w:r>
          </w:p>
        </w:tc>
        <w:tc>
          <w:tcPr>
            <w:tcW w:w="2624" w:type="dxa"/>
            <w:shd w:val="clear" w:color="auto" w:fill="F2F2F2" w:themeFill="background1" w:themeFillShade="F2"/>
          </w:tcPr>
          <w:p w14:paraId="4249DC6E" w14:textId="2E2525C5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12,66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69A4865" w14:textId="12A155F6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0,52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7D81BC4" w14:textId="706292C2" w:rsidR="006F527A" w:rsidRPr="00AA1ED2" w:rsidRDefault="006F527A" w:rsidP="0003478E">
            <w:pPr>
              <w:tabs>
                <w:tab w:val="left" w:pos="78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AA1ED2">
              <w:rPr>
                <w:rFonts w:eastAsia="Arial"/>
                <w:sz w:val="24"/>
                <w:szCs w:val="24"/>
              </w:rPr>
              <w:t>93</w:t>
            </w:r>
            <w:r w:rsidR="00570474" w:rsidRPr="00AA1ED2">
              <w:rPr>
                <w:rFonts w:eastAsia="Arial"/>
                <w:sz w:val="24"/>
                <w:szCs w:val="24"/>
              </w:rPr>
              <w:t>,0</w:t>
            </w:r>
          </w:p>
        </w:tc>
      </w:tr>
    </w:tbl>
    <w:p w14:paraId="54278A88" w14:textId="77777777" w:rsidR="008869F8" w:rsidRDefault="00000350" w:rsidP="00000350">
      <w:pPr>
        <w:tabs>
          <w:tab w:val="left" w:pos="7845"/>
        </w:tabs>
        <w:jc w:val="both"/>
        <w:rPr>
          <w:rFonts w:eastAsia="Arial"/>
        </w:rPr>
      </w:pPr>
      <w:r w:rsidRPr="00000350">
        <w:rPr>
          <w:b/>
        </w:rPr>
        <w:t>DA:</w:t>
      </w:r>
      <w:r w:rsidRPr="00000350">
        <w:t xml:space="preserve"> </w:t>
      </w:r>
      <w:r w:rsidRPr="00000350">
        <w:rPr>
          <w:rFonts w:eastAsia="Arial"/>
        </w:rPr>
        <w:t>Densidade absoluta (</w:t>
      </w:r>
      <w:r w:rsidR="007B2B34">
        <w:rPr>
          <w:rFonts w:eastAsia="Arial"/>
        </w:rPr>
        <w:t xml:space="preserve">nº </w:t>
      </w:r>
      <w:r w:rsidRPr="00000350">
        <w:rPr>
          <w:rFonts w:eastAsia="Arial"/>
        </w:rPr>
        <w:t xml:space="preserve">Indivíduos/ha); </w:t>
      </w:r>
      <w:r w:rsidRPr="00000350">
        <w:rPr>
          <w:rFonts w:eastAsia="Arial"/>
          <w:b/>
        </w:rPr>
        <w:t>DOA:</w:t>
      </w:r>
      <w:r w:rsidRPr="00000350">
        <w:rPr>
          <w:rFonts w:eastAsia="Arial"/>
        </w:rPr>
        <w:t xml:space="preserve"> Dominância absoluta (m²/ha); </w:t>
      </w:r>
      <w:r w:rsidRPr="00000350">
        <w:rPr>
          <w:rFonts w:eastAsia="Arial"/>
          <w:b/>
        </w:rPr>
        <w:t>FA:</w:t>
      </w:r>
      <w:r w:rsidRPr="00000350">
        <w:rPr>
          <w:rFonts w:eastAsia="Arial"/>
        </w:rPr>
        <w:t xml:space="preserve"> Frequência (%); </w:t>
      </w:r>
      <w:r w:rsidRPr="00000350">
        <w:rPr>
          <w:rFonts w:eastAsia="Arial"/>
          <w:b/>
        </w:rPr>
        <w:t>IVI:</w:t>
      </w:r>
      <w:r w:rsidRPr="00000350">
        <w:rPr>
          <w:rFonts w:eastAsia="Arial"/>
        </w:rPr>
        <w:t xml:space="preserve"> Índice de Valor de Importância (%).</w:t>
      </w:r>
    </w:p>
    <w:p w14:paraId="0BFA6B8F" w14:textId="77777777" w:rsidR="0087290F" w:rsidRPr="0087290F" w:rsidRDefault="0087290F" w:rsidP="001023B4">
      <w:pPr>
        <w:tabs>
          <w:tab w:val="left" w:pos="7845"/>
        </w:tabs>
        <w:spacing w:after="240"/>
        <w:jc w:val="both"/>
        <w:rPr>
          <w:rFonts w:eastAsia="Arial"/>
          <w:sz w:val="22"/>
          <w:szCs w:val="22"/>
        </w:rPr>
      </w:pPr>
      <w:r w:rsidRPr="0087290F">
        <w:rPr>
          <w:rFonts w:eastAsia="Arial"/>
          <w:sz w:val="22"/>
          <w:szCs w:val="22"/>
        </w:rPr>
        <w:t>Fonte: Autores, 2014.</w:t>
      </w:r>
    </w:p>
    <w:p w14:paraId="20FD12DC" w14:textId="4F55E53B" w:rsidR="00B40E85" w:rsidRPr="00B40E85" w:rsidRDefault="00B40E85" w:rsidP="005A05F7">
      <w:pPr>
        <w:tabs>
          <w:tab w:val="left" w:pos="7845"/>
        </w:tabs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B40E85">
        <w:rPr>
          <w:rFonts w:eastAsia="Arial"/>
          <w:sz w:val="24"/>
          <w:szCs w:val="24"/>
        </w:rPr>
        <w:t>No</w:t>
      </w:r>
      <w:r w:rsidR="000309C2">
        <w:rPr>
          <w:rFonts w:eastAsia="Arial"/>
          <w:sz w:val="24"/>
          <w:szCs w:val="24"/>
        </w:rPr>
        <w:t>s</w:t>
      </w:r>
      <w:r w:rsidRPr="00B40E85">
        <w:rPr>
          <w:rFonts w:eastAsia="Arial"/>
          <w:sz w:val="24"/>
          <w:szCs w:val="24"/>
        </w:rPr>
        <w:t xml:space="preserve"> </w:t>
      </w:r>
      <w:r w:rsidR="000309C2">
        <w:rPr>
          <w:rFonts w:eastAsia="Arial"/>
          <w:sz w:val="24"/>
          <w:szCs w:val="24"/>
        </w:rPr>
        <w:t>anos</w:t>
      </w:r>
      <w:r w:rsidR="000309C2" w:rsidRPr="00B40E85">
        <w:rPr>
          <w:rFonts w:eastAsia="Arial"/>
          <w:sz w:val="24"/>
          <w:szCs w:val="24"/>
        </w:rPr>
        <w:t xml:space="preserve"> </w:t>
      </w:r>
      <w:r w:rsidRPr="00B40E85">
        <w:rPr>
          <w:rFonts w:eastAsia="Arial"/>
          <w:sz w:val="24"/>
          <w:szCs w:val="24"/>
        </w:rPr>
        <w:t>de 2009 e 2012, a frequência permaneceu constante</w:t>
      </w:r>
      <w:r w:rsidR="008A37E5">
        <w:rPr>
          <w:rFonts w:eastAsia="Arial"/>
          <w:sz w:val="24"/>
          <w:szCs w:val="24"/>
        </w:rPr>
        <w:t xml:space="preserve"> em</w:t>
      </w:r>
      <w:r w:rsidRPr="00B40E85">
        <w:rPr>
          <w:rFonts w:eastAsia="Arial"/>
          <w:sz w:val="24"/>
          <w:szCs w:val="24"/>
        </w:rPr>
        <w:t xml:space="preserve"> </w:t>
      </w:r>
      <w:r w:rsidR="00920C2F">
        <w:rPr>
          <w:rFonts w:eastAsia="Arial"/>
          <w:sz w:val="24"/>
          <w:szCs w:val="24"/>
        </w:rPr>
        <w:t>90%</w:t>
      </w:r>
      <w:r w:rsidR="008A37E5">
        <w:rPr>
          <w:rFonts w:eastAsia="Arial"/>
          <w:sz w:val="24"/>
          <w:szCs w:val="24"/>
        </w:rPr>
        <w:t>,</w:t>
      </w:r>
      <w:r w:rsidR="00920C2F">
        <w:rPr>
          <w:rFonts w:eastAsia="Arial"/>
          <w:sz w:val="24"/>
          <w:szCs w:val="24"/>
        </w:rPr>
        <w:t xml:space="preserve"> </w:t>
      </w:r>
      <w:r w:rsidRPr="0087290F">
        <w:rPr>
          <w:rFonts w:eastAsia="Arial"/>
          <w:sz w:val="24"/>
          <w:szCs w:val="24"/>
        </w:rPr>
        <w:t xml:space="preserve">e </w:t>
      </w:r>
      <w:r w:rsidR="0087290F" w:rsidRPr="0087290F">
        <w:rPr>
          <w:rFonts w:eastAsia="Arial"/>
          <w:sz w:val="24"/>
          <w:szCs w:val="24"/>
        </w:rPr>
        <w:t xml:space="preserve">aumentou </w:t>
      </w:r>
      <w:r w:rsidR="008A37E5">
        <w:rPr>
          <w:rFonts w:eastAsia="Arial"/>
          <w:sz w:val="24"/>
          <w:szCs w:val="24"/>
        </w:rPr>
        <w:t xml:space="preserve">para </w:t>
      </w:r>
      <w:r w:rsidRPr="0087290F">
        <w:rPr>
          <w:rFonts w:eastAsia="Arial"/>
          <w:sz w:val="24"/>
          <w:szCs w:val="24"/>
        </w:rPr>
        <w:t xml:space="preserve">93% </w:t>
      </w:r>
      <w:r w:rsidR="00920C2F">
        <w:rPr>
          <w:rFonts w:eastAsia="Arial"/>
          <w:sz w:val="24"/>
          <w:szCs w:val="24"/>
        </w:rPr>
        <w:t xml:space="preserve">no ano de </w:t>
      </w:r>
      <w:r w:rsidRPr="0087290F">
        <w:rPr>
          <w:rFonts w:eastAsia="Arial"/>
          <w:sz w:val="24"/>
          <w:szCs w:val="24"/>
        </w:rPr>
        <w:t xml:space="preserve">2014, </w:t>
      </w:r>
      <w:r w:rsidR="008A37E5">
        <w:rPr>
          <w:rFonts w:eastAsia="Arial"/>
          <w:sz w:val="24"/>
          <w:szCs w:val="24"/>
        </w:rPr>
        <w:t xml:space="preserve">com </w:t>
      </w:r>
      <w:r w:rsidR="008A37E5" w:rsidRPr="0087290F">
        <w:rPr>
          <w:rFonts w:eastAsia="Arial"/>
          <w:sz w:val="24"/>
          <w:szCs w:val="24"/>
        </w:rPr>
        <w:t xml:space="preserve">a presença da espécie </w:t>
      </w:r>
      <w:r w:rsidR="004E1ECD" w:rsidRPr="0081191A">
        <w:rPr>
          <w:rFonts w:eastAsia="Arial"/>
          <w:i/>
          <w:sz w:val="24"/>
          <w:szCs w:val="24"/>
        </w:rPr>
        <w:t xml:space="preserve">Zanthoxylum ekmanii </w:t>
      </w:r>
      <w:r w:rsidR="004E1ECD" w:rsidRPr="0081191A">
        <w:rPr>
          <w:rFonts w:eastAsia="Arial"/>
          <w:sz w:val="24"/>
          <w:szCs w:val="24"/>
        </w:rPr>
        <w:t>(U</w:t>
      </w:r>
      <w:r w:rsidR="004E1ECD">
        <w:rPr>
          <w:rFonts w:eastAsia="Arial"/>
          <w:sz w:val="24"/>
          <w:szCs w:val="24"/>
        </w:rPr>
        <w:t>rb</w:t>
      </w:r>
      <w:r w:rsidR="004E1ECD" w:rsidRPr="0081191A">
        <w:rPr>
          <w:rFonts w:eastAsia="Arial"/>
          <w:sz w:val="24"/>
          <w:szCs w:val="24"/>
        </w:rPr>
        <w:t xml:space="preserve">.) </w:t>
      </w:r>
      <w:r w:rsidR="004E1ECD" w:rsidRPr="00735E43">
        <w:rPr>
          <w:rFonts w:eastAsia="Arial"/>
          <w:sz w:val="24"/>
          <w:szCs w:val="24"/>
        </w:rPr>
        <w:t>Alain</w:t>
      </w:r>
      <w:r w:rsidR="00735E43">
        <w:rPr>
          <w:rFonts w:eastAsia="Arial"/>
          <w:sz w:val="24"/>
          <w:szCs w:val="24"/>
        </w:rPr>
        <w:t xml:space="preserve"> </w:t>
      </w:r>
      <w:r w:rsidR="008A37E5">
        <w:rPr>
          <w:rFonts w:eastAsia="Arial"/>
          <w:sz w:val="24"/>
          <w:szCs w:val="24"/>
        </w:rPr>
        <w:t xml:space="preserve">em </w:t>
      </w:r>
      <w:r w:rsidR="009D07C8">
        <w:rPr>
          <w:rFonts w:eastAsia="Arial"/>
          <w:sz w:val="24"/>
          <w:szCs w:val="24"/>
        </w:rPr>
        <w:t xml:space="preserve">27 parcelas (2009 e 2012) e </w:t>
      </w:r>
      <w:r w:rsidR="008A37E5">
        <w:rPr>
          <w:rFonts w:eastAsia="Arial"/>
          <w:sz w:val="24"/>
          <w:szCs w:val="24"/>
        </w:rPr>
        <w:t>28</w:t>
      </w:r>
      <w:r w:rsidRPr="0087290F">
        <w:rPr>
          <w:rFonts w:eastAsia="Arial"/>
          <w:sz w:val="24"/>
          <w:szCs w:val="24"/>
        </w:rPr>
        <w:t xml:space="preserve"> parcelas</w:t>
      </w:r>
      <w:r w:rsidR="009D07C8">
        <w:rPr>
          <w:rFonts w:eastAsia="Arial"/>
          <w:sz w:val="24"/>
          <w:szCs w:val="24"/>
        </w:rPr>
        <w:t xml:space="preserve"> (2014),</w:t>
      </w:r>
      <w:r w:rsidRPr="0087290F">
        <w:rPr>
          <w:rFonts w:eastAsia="Arial"/>
          <w:sz w:val="24"/>
          <w:szCs w:val="24"/>
        </w:rPr>
        <w:t xml:space="preserve"> o que mostra que</w:t>
      </w:r>
      <w:r w:rsidR="00570474">
        <w:rPr>
          <w:rFonts w:eastAsia="Arial"/>
          <w:sz w:val="24"/>
          <w:szCs w:val="24"/>
        </w:rPr>
        <w:t xml:space="preserve"> </w:t>
      </w:r>
      <w:r w:rsidRPr="0087290F">
        <w:rPr>
          <w:rFonts w:eastAsia="Arial"/>
          <w:sz w:val="24"/>
          <w:szCs w:val="24"/>
        </w:rPr>
        <w:t>apesar da característica de alta mortali</w:t>
      </w:r>
      <w:r w:rsidRPr="00B40E85">
        <w:rPr>
          <w:rFonts w:eastAsia="Arial"/>
          <w:sz w:val="24"/>
          <w:szCs w:val="24"/>
        </w:rPr>
        <w:t>dade, esta possui um crescimento rápido, o qual é bem mais evidente</w:t>
      </w:r>
      <w:r w:rsidR="006E714F">
        <w:rPr>
          <w:rFonts w:eastAsia="Arial"/>
          <w:sz w:val="24"/>
          <w:szCs w:val="24"/>
        </w:rPr>
        <w:t>, sua ocupação e predominância nesta floresta</w:t>
      </w:r>
      <w:r w:rsidRPr="00B40E85">
        <w:rPr>
          <w:rFonts w:eastAsia="Arial"/>
          <w:sz w:val="24"/>
          <w:szCs w:val="24"/>
        </w:rPr>
        <w:t xml:space="preserve">. </w:t>
      </w:r>
      <w:proofErr w:type="spellStart"/>
      <w:r w:rsidRPr="00B40E85">
        <w:rPr>
          <w:rFonts w:eastAsia="Arial"/>
          <w:sz w:val="24"/>
          <w:szCs w:val="24"/>
        </w:rPr>
        <w:t>Estigarribia</w:t>
      </w:r>
      <w:proofErr w:type="spellEnd"/>
      <w:r w:rsidRPr="00B40E85">
        <w:rPr>
          <w:rFonts w:eastAsia="Arial"/>
          <w:sz w:val="24"/>
          <w:szCs w:val="24"/>
        </w:rPr>
        <w:t xml:space="preserve"> et al. (2017) em estudos fitossociológicos em uma </w:t>
      </w:r>
      <w:r w:rsidRPr="00B40E85">
        <w:rPr>
          <w:rFonts w:eastAsia="Arial"/>
          <w:sz w:val="24"/>
          <w:szCs w:val="24"/>
        </w:rPr>
        <w:lastRenderedPageBreak/>
        <w:t xml:space="preserve">floresta de terra firme para uma espécie do mesmo gênero </w:t>
      </w:r>
      <w:r w:rsidRPr="00B40E85">
        <w:rPr>
          <w:rFonts w:eastAsia="Arial"/>
          <w:i/>
          <w:sz w:val="24"/>
          <w:szCs w:val="24"/>
        </w:rPr>
        <w:t>Zanthoxylum</w:t>
      </w:r>
      <w:r w:rsidRPr="00B40E85">
        <w:rPr>
          <w:rFonts w:eastAsia="Arial"/>
          <w:sz w:val="24"/>
          <w:szCs w:val="24"/>
        </w:rPr>
        <w:t xml:space="preserve">, obteve um valor de frequência bem </w:t>
      </w:r>
      <w:r w:rsidR="00570474">
        <w:rPr>
          <w:rFonts w:eastAsia="Arial"/>
          <w:sz w:val="24"/>
          <w:szCs w:val="24"/>
        </w:rPr>
        <w:t>menor</w:t>
      </w:r>
      <w:r w:rsidRPr="00B40E85">
        <w:rPr>
          <w:rFonts w:eastAsia="Arial"/>
          <w:sz w:val="24"/>
          <w:szCs w:val="24"/>
        </w:rPr>
        <w:t xml:space="preserve"> </w:t>
      </w:r>
      <w:r w:rsidR="006E01AF">
        <w:rPr>
          <w:rFonts w:eastAsia="Arial"/>
          <w:sz w:val="24"/>
          <w:szCs w:val="24"/>
        </w:rPr>
        <w:t>(</w:t>
      </w:r>
      <w:r w:rsidR="006E01AF" w:rsidRPr="00B40E85">
        <w:rPr>
          <w:rFonts w:eastAsia="Arial"/>
          <w:sz w:val="24"/>
          <w:szCs w:val="24"/>
        </w:rPr>
        <w:t>17,02%</w:t>
      </w:r>
      <w:r w:rsidR="006E01AF">
        <w:rPr>
          <w:rFonts w:eastAsia="Arial"/>
          <w:sz w:val="24"/>
          <w:szCs w:val="24"/>
        </w:rPr>
        <w:t>).</w:t>
      </w:r>
      <w:r w:rsidR="0087290F">
        <w:rPr>
          <w:rFonts w:eastAsia="Arial"/>
          <w:sz w:val="24"/>
          <w:szCs w:val="24"/>
        </w:rPr>
        <w:t xml:space="preserve"> Para </w:t>
      </w:r>
      <w:proofErr w:type="spellStart"/>
      <w:r w:rsidR="0087290F">
        <w:rPr>
          <w:rFonts w:eastAsia="Arial"/>
          <w:sz w:val="24"/>
          <w:szCs w:val="24"/>
        </w:rPr>
        <w:t>Coraiola</w:t>
      </w:r>
      <w:proofErr w:type="spellEnd"/>
      <w:r w:rsidR="0087290F">
        <w:rPr>
          <w:rFonts w:eastAsia="Arial"/>
          <w:sz w:val="24"/>
          <w:szCs w:val="24"/>
        </w:rPr>
        <w:t xml:space="preserve"> e</w:t>
      </w:r>
      <w:r w:rsidRPr="00B40E85">
        <w:rPr>
          <w:rFonts w:eastAsia="Arial"/>
          <w:sz w:val="24"/>
          <w:szCs w:val="24"/>
        </w:rPr>
        <w:t xml:space="preserve"> Netto (2003) essa diferença ocorre devido a melhor distribuição da espécie nas parcelas levantadas, pois quanto maior a frequência, mais bem distribuídas será a espécie na floresta.</w:t>
      </w:r>
    </w:p>
    <w:p w14:paraId="61F3EB71" w14:textId="659C4290" w:rsidR="00B4675F" w:rsidRPr="00B801C9" w:rsidRDefault="00B40E85" w:rsidP="005A05F7">
      <w:pPr>
        <w:tabs>
          <w:tab w:val="left" w:pos="7845"/>
        </w:tabs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B40E85">
        <w:rPr>
          <w:rFonts w:eastAsia="Arial"/>
          <w:sz w:val="24"/>
          <w:szCs w:val="24"/>
        </w:rPr>
        <w:t>Consi</w:t>
      </w:r>
      <w:r w:rsidR="00DF4ECA">
        <w:rPr>
          <w:rFonts w:eastAsia="Arial"/>
          <w:sz w:val="24"/>
          <w:szCs w:val="24"/>
        </w:rPr>
        <w:t xml:space="preserve">derando o período de 2009 </w:t>
      </w:r>
      <w:proofErr w:type="gramStart"/>
      <w:r w:rsidR="00570474">
        <w:rPr>
          <w:rFonts w:eastAsia="Arial"/>
          <w:sz w:val="24"/>
          <w:szCs w:val="24"/>
        </w:rPr>
        <w:t>à</w:t>
      </w:r>
      <w:proofErr w:type="gramEnd"/>
      <w:r w:rsidR="00DF4ECA">
        <w:rPr>
          <w:rFonts w:eastAsia="Arial"/>
          <w:sz w:val="24"/>
          <w:szCs w:val="24"/>
        </w:rPr>
        <w:t xml:space="preserve"> 2014</w:t>
      </w:r>
      <w:r w:rsidRPr="00B40E85">
        <w:rPr>
          <w:rFonts w:eastAsia="Arial"/>
          <w:sz w:val="24"/>
          <w:szCs w:val="24"/>
        </w:rPr>
        <w:t>, a dominância absoluta</w:t>
      </w:r>
      <w:r w:rsidR="00606AF1">
        <w:rPr>
          <w:rFonts w:eastAsia="Arial"/>
          <w:sz w:val="24"/>
          <w:szCs w:val="24"/>
        </w:rPr>
        <w:t xml:space="preserve"> ou área basal</w:t>
      </w:r>
      <w:r w:rsidRPr="00B40E85">
        <w:rPr>
          <w:rFonts w:eastAsia="Arial"/>
          <w:sz w:val="24"/>
          <w:szCs w:val="24"/>
        </w:rPr>
        <w:t xml:space="preserve"> da espécie</w:t>
      </w:r>
      <w:r w:rsidR="00DF4ECA">
        <w:rPr>
          <w:rFonts w:eastAsia="Arial"/>
          <w:sz w:val="24"/>
          <w:szCs w:val="24"/>
        </w:rPr>
        <w:t xml:space="preserve"> </w:t>
      </w:r>
      <w:r w:rsidR="003479F7">
        <w:rPr>
          <w:rFonts w:eastAsia="Arial"/>
          <w:sz w:val="24"/>
          <w:szCs w:val="24"/>
        </w:rPr>
        <w:t>foi de</w:t>
      </w:r>
      <w:r w:rsidR="00DF4ECA">
        <w:rPr>
          <w:rFonts w:eastAsia="Arial"/>
          <w:sz w:val="24"/>
          <w:szCs w:val="24"/>
        </w:rPr>
        <w:t xml:space="preserve"> 0,</w:t>
      </w:r>
      <w:r w:rsidR="003479F7">
        <w:rPr>
          <w:rFonts w:eastAsia="Arial"/>
          <w:sz w:val="24"/>
          <w:szCs w:val="24"/>
        </w:rPr>
        <w:t>53</w:t>
      </w:r>
      <w:r w:rsidR="00DF4ECA">
        <w:rPr>
          <w:rFonts w:eastAsia="Arial"/>
          <w:sz w:val="24"/>
          <w:szCs w:val="24"/>
        </w:rPr>
        <w:t xml:space="preserve"> </w:t>
      </w:r>
      <w:r w:rsidR="00DF4ECA" w:rsidRPr="00B40E85">
        <w:rPr>
          <w:rFonts w:eastAsia="Arial"/>
          <w:sz w:val="24"/>
          <w:szCs w:val="24"/>
        </w:rPr>
        <w:t>m² ha</w:t>
      </w:r>
      <w:r w:rsidR="00DF4ECA" w:rsidRPr="00B40E85">
        <w:rPr>
          <w:rFonts w:eastAsia="Arial"/>
          <w:sz w:val="24"/>
          <w:szCs w:val="24"/>
          <w:vertAlign w:val="superscript"/>
        </w:rPr>
        <w:t>-1</w:t>
      </w:r>
      <w:r w:rsidR="00DF4ECA">
        <w:rPr>
          <w:rFonts w:eastAsia="Arial"/>
          <w:sz w:val="24"/>
          <w:szCs w:val="24"/>
          <w:vertAlign w:val="superscript"/>
        </w:rPr>
        <w:t xml:space="preserve"> </w:t>
      </w:r>
      <w:r w:rsidR="003479F7">
        <w:rPr>
          <w:rFonts w:eastAsia="Arial"/>
          <w:sz w:val="24"/>
          <w:szCs w:val="24"/>
        </w:rPr>
        <w:t>no</w:t>
      </w:r>
      <w:r w:rsidR="00570474">
        <w:rPr>
          <w:rFonts w:eastAsia="Arial"/>
          <w:sz w:val="24"/>
          <w:szCs w:val="24"/>
        </w:rPr>
        <w:t xml:space="preserve"> ano</w:t>
      </w:r>
      <w:r w:rsidR="003479F7">
        <w:rPr>
          <w:rFonts w:eastAsia="Arial"/>
          <w:sz w:val="24"/>
          <w:szCs w:val="24"/>
        </w:rPr>
        <w:t xml:space="preserve"> de </w:t>
      </w:r>
      <w:r w:rsidR="00DF4ECA">
        <w:rPr>
          <w:rFonts w:eastAsia="Arial"/>
          <w:sz w:val="24"/>
          <w:szCs w:val="24"/>
        </w:rPr>
        <w:t xml:space="preserve">2009, </w:t>
      </w:r>
      <w:r w:rsidR="008C199F">
        <w:rPr>
          <w:rFonts w:eastAsia="Arial"/>
          <w:sz w:val="24"/>
          <w:szCs w:val="24"/>
        </w:rPr>
        <w:t xml:space="preserve">e teve </w:t>
      </w:r>
      <w:r w:rsidR="00DF4ECA">
        <w:rPr>
          <w:rFonts w:eastAsia="Arial"/>
          <w:sz w:val="24"/>
          <w:szCs w:val="24"/>
        </w:rPr>
        <w:t>um leve crescimento</w:t>
      </w:r>
      <w:r w:rsidR="008C199F">
        <w:rPr>
          <w:rFonts w:eastAsia="Arial"/>
          <w:sz w:val="24"/>
          <w:szCs w:val="24"/>
        </w:rPr>
        <w:t xml:space="preserve"> em 201</w:t>
      </w:r>
      <w:r w:rsidR="005747DE">
        <w:rPr>
          <w:rFonts w:eastAsia="Arial"/>
          <w:sz w:val="24"/>
          <w:szCs w:val="24"/>
        </w:rPr>
        <w:t>2</w:t>
      </w:r>
      <w:r w:rsidR="008C199F">
        <w:rPr>
          <w:rFonts w:eastAsia="Arial"/>
          <w:sz w:val="24"/>
          <w:szCs w:val="24"/>
        </w:rPr>
        <w:t>, com 0,</w:t>
      </w:r>
      <w:r w:rsidR="003479F7">
        <w:rPr>
          <w:rFonts w:eastAsia="Arial"/>
          <w:sz w:val="24"/>
          <w:szCs w:val="24"/>
        </w:rPr>
        <w:t>5</w:t>
      </w:r>
      <w:r w:rsidR="008C199F">
        <w:rPr>
          <w:rFonts w:eastAsia="Arial"/>
          <w:sz w:val="24"/>
          <w:szCs w:val="24"/>
        </w:rPr>
        <w:t xml:space="preserve">8 </w:t>
      </w:r>
      <w:r w:rsidR="008C199F" w:rsidRPr="00B40E85">
        <w:rPr>
          <w:rFonts w:eastAsia="Arial"/>
          <w:sz w:val="24"/>
          <w:szCs w:val="24"/>
        </w:rPr>
        <w:t>m² ha</w:t>
      </w:r>
      <w:r w:rsidR="008C199F" w:rsidRPr="00B40E85">
        <w:rPr>
          <w:rFonts w:eastAsia="Arial"/>
          <w:sz w:val="24"/>
          <w:szCs w:val="24"/>
          <w:vertAlign w:val="superscript"/>
        </w:rPr>
        <w:t>-1</w:t>
      </w:r>
      <w:r w:rsidR="008C199F">
        <w:rPr>
          <w:rFonts w:eastAsia="Arial"/>
          <w:sz w:val="24"/>
          <w:szCs w:val="24"/>
        </w:rPr>
        <w:t xml:space="preserve"> </w:t>
      </w:r>
      <w:r w:rsidR="00DF4ECA">
        <w:rPr>
          <w:rFonts w:eastAsia="Arial"/>
          <w:sz w:val="24"/>
          <w:szCs w:val="24"/>
        </w:rPr>
        <w:t>e em 2014 após a colheita diminuiu novamente para 0,</w:t>
      </w:r>
      <w:r w:rsidR="003479F7">
        <w:rPr>
          <w:rFonts w:eastAsia="Arial"/>
          <w:sz w:val="24"/>
          <w:szCs w:val="24"/>
        </w:rPr>
        <w:t>52</w:t>
      </w:r>
      <w:r w:rsidR="00DF4ECA">
        <w:rPr>
          <w:rFonts w:eastAsia="Arial"/>
          <w:sz w:val="24"/>
          <w:szCs w:val="24"/>
        </w:rPr>
        <w:t xml:space="preserve"> </w:t>
      </w:r>
      <w:r w:rsidR="00DF4ECA" w:rsidRPr="00B40E85">
        <w:rPr>
          <w:rFonts w:eastAsia="Arial"/>
          <w:sz w:val="24"/>
          <w:szCs w:val="24"/>
        </w:rPr>
        <w:t>m² ha</w:t>
      </w:r>
      <w:r w:rsidR="00DF4ECA" w:rsidRPr="00B40E85">
        <w:rPr>
          <w:rFonts w:eastAsia="Arial"/>
          <w:sz w:val="24"/>
          <w:szCs w:val="24"/>
          <w:vertAlign w:val="superscript"/>
        </w:rPr>
        <w:t>-1</w:t>
      </w:r>
      <w:r w:rsidR="00096A53">
        <w:rPr>
          <w:rFonts w:eastAsia="Arial"/>
          <w:sz w:val="24"/>
          <w:szCs w:val="24"/>
        </w:rPr>
        <w:t>.</w:t>
      </w:r>
      <w:r w:rsidR="00B801C9">
        <w:rPr>
          <w:rFonts w:eastAsia="Arial"/>
          <w:sz w:val="24"/>
          <w:szCs w:val="24"/>
        </w:rPr>
        <w:t xml:space="preserve"> Essa diminuição em área basal pode estar relacionada com a redução da densidade absoluta </w:t>
      </w:r>
      <w:r w:rsidR="00FA525B">
        <w:rPr>
          <w:rFonts w:eastAsia="Arial"/>
          <w:sz w:val="24"/>
          <w:szCs w:val="24"/>
        </w:rPr>
        <w:t>e exploração florestal no ano de 2013, devido a retirada de indivíduos de maiores diâmetros.</w:t>
      </w:r>
      <w:bookmarkStart w:id="0" w:name="_GoBack"/>
    </w:p>
    <w:bookmarkEnd w:id="0"/>
    <w:p w14:paraId="3D4570A4" w14:textId="5B0615D3" w:rsidR="00B75FF0" w:rsidRPr="00B4675F" w:rsidRDefault="00B801C9" w:rsidP="00B4675F">
      <w:pPr>
        <w:tabs>
          <w:tab w:val="left" w:pos="7845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No entanto, </w:t>
      </w:r>
      <w:proofErr w:type="spellStart"/>
      <w:r w:rsidR="005B60E5" w:rsidRPr="005B30A0">
        <w:rPr>
          <w:rFonts w:eastAsia="Arial"/>
          <w:sz w:val="24"/>
          <w:szCs w:val="24"/>
        </w:rPr>
        <w:t>Ebling</w:t>
      </w:r>
      <w:proofErr w:type="spellEnd"/>
      <w:r w:rsidR="005B60E5" w:rsidRPr="005B30A0">
        <w:rPr>
          <w:rFonts w:eastAsia="Arial"/>
          <w:sz w:val="24"/>
          <w:szCs w:val="24"/>
        </w:rPr>
        <w:t xml:space="preserve"> et al. (2014)</w:t>
      </w:r>
      <w:r w:rsidR="00503CFB">
        <w:rPr>
          <w:rFonts w:eastAsia="Arial"/>
          <w:sz w:val="24"/>
          <w:szCs w:val="24"/>
        </w:rPr>
        <w:t xml:space="preserve"> e </w:t>
      </w:r>
      <w:r w:rsidR="005B60E5" w:rsidRPr="005B30A0">
        <w:rPr>
          <w:rFonts w:eastAsia="Arial"/>
          <w:sz w:val="24"/>
          <w:szCs w:val="24"/>
        </w:rPr>
        <w:t>C</w:t>
      </w:r>
      <w:r w:rsidR="005B60E5">
        <w:rPr>
          <w:rFonts w:eastAsia="Arial"/>
          <w:sz w:val="24"/>
          <w:szCs w:val="24"/>
        </w:rPr>
        <w:t>astro</w:t>
      </w:r>
      <w:r w:rsidR="00503CFB">
        <w:rPr>
          <w:rFonts w:eastAsia="Arial"/>
          <w:sz w:val="24"/>
          <w:szCs w:val="24"/>
        </w:rPr>
        <w:t xml:space="preserve">; </w:t>
      </w:r>
      <w:r w:rsidR="006249FB">
        <w:rPr>
          <w:rFonts w:eastAsia="Arial"/>
          <w:sz w:val="24"/>
          <w:szCs w:val="24"/>
        </w:rPr>
        <w:t>Carvalho (2014)</w:t>
      </w:r>
      <w:r w:rsidR="002710B1">
        <w:rPr>
          <w:rFonts w:eastAsia="Arial"/>
          <w:sz w:val="24"/>
          <w:szCs w:val="24"/>
        </w:rPr>
        <w:t xml:space="preserve"> </w:t>
      </w:r>
      <w:r w:rsidR="006249FB">
        <w:rPr>
          <w:rFonts w:eastAsia="Arial"/>
          <w:sz w:val="24"/>
          <w:szCs w:val="24"/>
        </w:rPr>
        <w:t xml:space="preserve">relatam que </w:t>
      </w:r>
      <w:r>
        <w:rPr>
          <w:rFonts w:eastAsia="Arial"/>
          <w:sz w:val="24"/>
          <w:szCs w:val="24"/>
        </w:rPr>
        <w:t xml:space="preserve">não </w:t>
      </w:r>
      <w:r w:rsidR="002710B1">
        <w:rPr>
          <w:rFonts w:eastAsia="Arial"/>
          <w:sz w:val="24"/>
          <w:szCs w:val="24"/>
        </w:rPr>
        <w:t xml:space="preserve">é possível </w:t>
      </w:r>
      <w:r w:rsidR="006249FB">
        <w:rPr>
          <w:rFonts w:eastAsia="Arial"/>
          <w:sz w:val="24"/>
          <w:szCs w:val="24"/>
        </w:rPr>
        <w:t xml:space="preserve">afirmar </w:t>
      </w:r>
      <w:r w:rsidR="00B40E85" w:rsidRPr="00B40E85">
        <w:rPr>
          <w:rFonts w:eastAsia="Arial"/>
          <w:sz w:val="24"/>
          <w:szCs w:val="24"/>
        </w:rPr>
        <w:t>que</w:t>
      </w:r>
      <w:r w:rsidR="006249FB">
        <w:rPr>
          <w:rFonts w:eastAsia="Arial"/>
          <w:sz w:val="24"/>
          <w:szCs w:val="24"/>
        </w:rPr>
        <w:t xml:space="preserve"> </w:t>
      </w:r>
      <w:r w:rsidR="00B40E85" w:rsidRPr="00B40E85">
        <w:rPr>
          <w:rFonts w:eastAsia="Arial"/>
          <w:sz w:val="24"/>
          <w:szCs w:val="24"/>
        </w:rPr>
        <w:t xml:space="preserve">há uma relação direta entre a dominância absoluta e a densidade, </w:t>
      </w:r>
      <w:r w:rsidR="006249FB">
        <w:rPr>
          <w:rFonts w:eastAsia="Arial"/>
          <w:sz w:val="24"/>
          <w:szCs w:val="24"/>
        </w:rPr>
        <w:t xml:space="preserve">isso </w:t>
      </w:r>
      <w:r w:rsidR="00B40E85" w:rsidRPr="00B40E85">
        <w:rPr>
          <w:rFonts w:eastAsia="Arial"/>
          <w:sz w:val="24"/>
          <w:szCs w:val="24"/>
        </w:rPr>
        <w:t>porque no período</w:t>
      </w:r>
      <w:r w:rsidR="003346E6">
        <w:rPr>
          <w:rFonts w:eastAsia="Arial"/>
          <w:sz w:val="24"/>
          <w:szCs w:val="24"/>
        </w:rPr>
        <w:t xml:space="preserve"> anterior</w:t>
      </w:r>
      <w:r w:rsidR="00B40E85" w:rsidRPr="00B40E85">
        <w:rPr>
          <w:rFonts w:eastAsia="Arial"/>
          <w:sz w:val="24"/>
          <w:szCs w:val="24"/>
        </w:rPr>
        <w:t xml:space="preserve"> a densidade </w:t>
      </w:r>
      <w:r w:rsidR="003346E6">
        <w:rPr>
          <w:rFonts w:eastAsia="Arial"/>
          <w:sz w:val="24"/>
          <w:szCs w:val="24"/>
        </w:rPr>
        <w:t>sofreu</w:t>
      </w:r>
      <w:r w:rsidR="00B40E85" w:rsidRPr="00B40E85">
        <w:rPr>
          <w:rFonts w:eastAsia="Arial"/>
          <w:sz w:val="24"/>
          <w:szCs w:val="24"/>
        </w:rPr>
        <w:t xml:space="preserve"> redução, porém, a dominância absoluta </w:t>
      </w:r>
      <w:r w:rsidR="003346E6">
        <w:rPr>
          <w:rFonts w:eastAsia="Arial"/>
          <w:sz w:val="24"/>
          <w:szCs w:val="24"/>
        </w:rPr>
        <w:t>apresentou pequeno acréscimo</w:t>
      </w:r>
      <w:r w:rsidR="006249FB">
        <w:rPr>
          <w:rFonts w:eastAsia="Arial"/>
          <w:sz w:val="24"/>
          <w:szCs w:val="24"/>
        </w:rPr>
        <w:t>,</w:t>
      </w:r>
      <w:r w:rsidR="00B40E85" w:rsidRPr="00B40E85">
        <w:rPr>
          <w:rFonts w:eastAsia="Arial"/>
          <w:sz w:val="24"/>
          <w:szCs w:val="24"/>
        </w:rPr>
        <w:t xml:space="preserve"> indicando que houve aumento na taxa de incremento diamétrico das </w:t>
      </w:r>
      <w:r w:rsidR="005B60E5">
        <w:rPr>
          <w:rFonts w:eastAsia="Arial"/>
          <w:sz w:val="24"/>
          <w:szCs w:val="24"/>
        </w:rPr>
        <w:t>árvores.</w:t>
      </w:r>
      <w:r w:rsidR="00B045CD">
        <w:rPr>
          <w:rFonts w:eastAsia="Arial"/>
          <w:sz w:val="24"/>
          <w:szCs w:val="24"/>
        </w:rPr>
        <w:t xml:space="preserve"> </w:t>
      </w:r>
      <w:r w:rsidR="009A3277">
        <w:rPr>
          <w:rFonts w:eastAsia="Arial"/>
          <w:sz w:val="24"/>
          <w:szCs w:val="24"/>
        </w:rPr>
        <w:t>Estudos de dendrocronologia são sugeridos para entender melhor a dinâmica</w:t>
      </w:r>
      <w:r w:rsidR="00E53DE6">
        <w:rPr>
          <w:rFonts w:eastAsia="Arial"/>
          <w:sz w:val="24"/>
          <w:szCs w:val="24"/>
        </w:rPr>
        <w:t xml:space="preserve"> e padrão</w:t>
      </w:r>
      <w:r w:rsidR="009A3277">
        <w:rPr>
          <w:rFonts w:eastAsia="Arial"/>
          <w:sz w:val="24"/>
          <w:szCs w:val="24"/>
        </w:rPr>
        <w:t xml:space="preserve"> de crescimento diamétrico da população de </w:t>
      </w:r>
      <w:r w:rsidR="004E1ECD" w:rsidRPr="0081191A">
        <w:rPr>
          <w:rFonts w:eastAsia="Arial"/>
          <w:i/>
          <w:sz w:val="24"/>
          <w:szCs w:val="24"/>
        </w:rPr>
        <w:t xml:space="preserve">Zanthoxylum ekmanii </w:t>
      </w:r>
      <w:r w:rsidR="004E1ECD" w:rsidRPr="0081191A">
        <w:rPr>
          <w:rFonts w:eastAsia="Arial"/>
          <w:sz w:val="24"/>
          <w:szCs w:val="24"/>
        </w:rPr>
        <w:t>(U</w:t>
      </w:r>
      <w:r w:rsidR="004E1ECD">
        <w:rPr>
          <w:rFonts w:eastAsia="Arial"/>
          <w:sz w:val="24"/>
          <w:szCs w:val="24"/>
        </w:rPr>
        <w:t>rb.) Alain.</w:t>
      </w:r>
    </w:p>
    <w:p w14:paraId="74FBA4D5" w14:textId="7C22CE01" w:rsidR="00D06E3F" w:rsidRPr="00B4675F" w:rsidRDefault="0012462E" w:rsidP="00B4675F">
      <w:pPr>
        <w:tabs>
          <w:tab w:val="left" w:pos="1290"/>
        </w:tabs>
        <w:spacing w:before="240" w:after="240"/>
        <w:jc w:val="both"/>
        <w:rPr>
          <w:rFonts w:eastAsia="Arial"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</w:p>
    <w:p w14:paraId="74EF81FA" w14:textId="7D29B0AA" w:rsidR="0004678B" w:rsidRPr="00DD291C" w:rsidRDefault="005E55CC" w:rsidP="001F2B3F">
      <w:pPr>
        <w:tabs>
          <w:tab w:val="left" w:pos="7845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81191A">
        <w:rPr>
          <w:rFonts w:eastAsia="Arial"/>
          <w:i/>
          <w:sz w:val="24"/>
          <w:szCs w:val="24"/>
        </w:rPr>
        <w:t xml:space="preserve">Zanthoxylum ekmanii </w:t>
      </w:r>
      <w:r w:rsidRPr="0081191A">
        <w:rPr>
          <w:rFonts w:eastAsia="Arial"/>
          <w:sz w:val="24"/>
          <w:szCs w:val="24"/>
        </w:rPr>
        <w:t>(U</w:t>
      </w:r>
      <w:r>
        <w:rPr>
          <w:rFonts w:eastAsia="Arial"/>
          <w:sz w:val="24"/>
          <w:szCs w:val="24"/>
        </w:rPr>
        <w:t>rb.) Alain</w:t>
      </w:r>
      <w:r>
        <w:rPr>
          <w:i/>
          <w:sz w:val="24"/>
          <w:szCs w:val="24"/>
        </w:rPr>
        <w:t xml:space="preserve"> </w:t>
      </w:r>
      <w:r w:rsidR="00CC35C3">
        <w:rPr>
          <w:rFonts w:eastAsia="Arial"/>
          <w:sz w:val="24"/>
          <w:szCs w:val="24"/>
        </w:rPr>
        <w:t>mostrou-se dinâmica em densidade, frequência e dominância absoluta</w:t>
      </w:r>
      <w:r w:rsidR="00376193">
        <w:rPr>
          <w:rFonts w:eastAsia="Arial"/>
          <w:sz w:val="24"/>
          <w:szCs w:val="24"/>
        </w:rPr>
        <w:t xml:space="preserve"> na área manejada no município de Dom Eliseu/PA,</w:t>
      </w:r>
      <w:r w:rsidR="00CC35C3">
        <w:rPr>
          <w:rFonts w:eastAsia="Arial"/>
          <w:sz w:val="24"/>
          <w:szCs w:val="24"/>
        </w:rPr>
        <w:t xml:space="preserve"> </w:t>
      </w:r>
      <w:r w:rsidR="00CC35C3" w:rsidRPr="0004678B">
        <w:rPr>
          <w:color w:val="000000"/>
          <w:sz w:val="24"/>
          <w:szCs w:val="24"/>
        </w:rPr>
        <w:t>indicando que necessita de manejo específico</w:t>
      </w:r>
      <w:r w:rsidR="005C4180">
        <w:rPr>
          <w:color w:val="000000"/>
          <w:sz w:val="24"/>
          <w:szCs w:val="24"/>
        </w:rPr>
        <w:t xml:space="preserve"> </w:t>
      </w:r>
      <w:r w:rsidR="00AD67A3">
        <w:rPr>
          <w:color w:val="000000"/>
          <w:sz w:val="24"/>
          <w:szCs w:val="24"/>
        </w:rPr>
        <w:t xml:space="preserve">e </w:t>
      </w:r>
      <w:r w:rsidR="00CC35C3" w:rsidRPr="0004678B">
        <w:rPr>
          <w:color w:val="000000"/>
          <w:sz w:val="24"/>
          <w:szCs w:val="24"/>
        </w:rPr>
        <w:t>de aplicação de tratamen</w:t>
      </w:r>
      <w:r w:rsidR="00CC35C3">
        <w:rPr>
          <w:color w:val="000000"/>
          <w:sz w:val="24"/>
          <w:szCs w:val="24"/>
        </w:rPr>
        <w:t xml:space="preserve">tos silviculturais que venham </w:t>
      </w:r>
      <w:r w:rsidR="00CC35C3" w:rsidRPr="0004678B">
        <w:rPr>
          <w:color w:val="000000"/>
          <w:sz w:val="24"/>
          <w:szCs w:val="24"/>
        </w:rPr>
        <w:t>promover o aumento da sua regeneração natural na floresta</w:t>
      </w:r>
      <w:r w:rsidR="00376193">
        <w:rPr>
          <w:color w:val="000000"/>
          <w:sz w:val="24"/>
          <w:szCs w:val="24"/>
        </w:rPr>
        <w:t xml:space="preserve"> em questão</w:t>
      </w:r>
      <w:r w:rsidR="00CC35C3" w:rsidRPr="0004678B">
        <w:rPr>
          <w:color w:val="000000"/>
          <w:sz w:val="24"/>
          <w:szCs w:val="24"/>
        </w:rPr>
        <w:t xml:space="preserve"> e o cresc</w:t>
      </w:r>
      <w:r w:rsidR="009929AB">
        <w:rPr>
          <w:color w:val="000000"/>
          <w:sz w:val="24"/>
          <w:szCs w:val="24"/>
        </w:rPr>
        <w:t xml:space="preserve">imento das plantas mais jovens, principalmente por meio </w:t>
      </w:r>
      <w:r w:rsidR="001D17CD">
        <w:rPr>
          <w:color w:val="000000"/>
          <w:sz w:val="24"/>
          <w:szCs w:val="24"/>
        </w:rPr>
        <w:t xml:space="preserve">da </w:t>
      </w:r>
      <w:r w:rsidR="00AD67A3">
        <w:rPr>
          <w:color w:val="000000"/>
          <w:sz w:val="24"/>
          <w:szCs w:val="24"/>
        </w:rPr>
        <w:t>silvicultura</w:t>
      </w:r>
      <w:r w:rsidR="001D17CD">
        <w:rPr>
          <w:color w:val="000000"/>
          <w:sz w:val="24"/>
          <w:szCs w:val="24"/>
        </w:rPr>
        <w:t xml:space="preserve"> em</w:t>
      </w:r>
      <w:r w:rsidR="009929AB">
        <w:rPr>
          <w:color w:val="000000"/>
          <w:sz w:val="24"/>
          <w:szCs w:val="24"/>
        </w:rPr>
        <w:t xml:space="preserve"> clareira</w:t>
      </w:r>
      <w:r w:rsidR="00B4675F">
        <w:rPr>
          <w:color w:val="000000"/>
          <w:sz w:val="24"/>
          <w:szCs w:val="24"/>
        </w:rPr>
        <w:t>s.</w:t>
      </w:r>
    </w:p>
    <w:p w14:paraId="235A44BD" w14:textId="77777777" w:rsidR="00B40E85" w:rsidRPr="00B40E85" w:rsidRDefault="00B40E85" w:rsidP="00DD291C">
      <w:pPr>
        <w:tabs>
          <w:tab w:val="left" w:pos="1290"/>
        </w:tabs>
        <w:spacing w:before="24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590BD64F" w14:textId="77777777" w:rsidR="00DD291C" w:rsidRDefault="00DD291C" w:rsidP="0012462E"/>
    <w:p w14:paraId="362971C3" w14:textId="77777777" w:rsidR="00DD291C" w:rsidRPr="00DD291C" w:rsidRDefault="00DD291C" w:rsidP="00DD291C">
      <w:pPr>
        <w:autoSpaceDE w:val="0"/>
        <w:autoSpaceDN w:val="0"/>
        <w:adjustRightInd w:val="0"/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ABREU, J. C.; GUEDES, M. C.; GUEDES, A. C. L.; BATISTA, E. M. Estrutura e Distribuição espacial de </w:t>
      </w:r>
      <w:proofErr w:type="spellStart"/>
      <w:r w:rsidRPr="00DD291C">
        <w:rPr>
          <w:rFonts w:eastAsia="SimSun"/>
          <w:sz w:val="24"/>
          <w:szCs w:val="24"/>
        </w:rPr>
        <w:t>andirobeiras</w:t>
      </w:r>
      <w:proofErr w:type="spellEnd"/>
      <w:r w:rsidRPr="00DD291C">
        <w:rPr>
          <w:rFonts w:eastAsia="SimSun"/>
          <w:sz w:val="24"/>
          <w:szCs w:val="24"/>
        </w:rPr>
        <w:t xml:space="preserve"> (</w:t>
      </w:r>
      <w:proofErr w:type="spellStart"/>
      <w:r w:rsidRPr="00DD291C">
        <w:rPr>
          <w:rFonts w:eastAsia="SimSun"/>
          <w:i/>
          <w:sz w:val="24"/>
          <w:szCs w:val="24"/>
        </w:rPr>
        <w:t>carapa</w:t>
      </w:r>
      <w:proofErr w:type="spellEnd"/>
      <w:r w:rsidRPr="00DD291C">
        <w:rPr>
          <w:rFonts w:eastAsia="SimSun"/>
          <w:i/>
          <w:sz w:val="24"/>
          <w:szCs w:val="24"/>
        </w:rPr>
        <w:t xml:space="preserve"> </w:t>
      </w:r>
      <w:r w:rsidRPr="00DD291C">
        <w:rPr>
          <w:rFonts w:eastAsia="SimSun"/>
          <w:sz w:val="24"/>
          <w:szCs w:val="24"/>
        </w:rPr>
        <w:t>spp</w:t>
      </w:r>
      <w:r w:rsidRPr="00DD291C">
        <w:rPr>
          <w:rFonts w:eastAsia="SimSun"/>
          <w:i/>
          <w:sz w:val="24"/>
          <w:szCs w:val="24"/>
        </w:rPr>
        <w:t>.</w:t>
      </w:r>
      <w:r w:rsidRPr="00DD291C">
        <w:rPr>
          <w:rFonts w:eastAsia="SimSun"/>
          <w:sz w:val="24"/>
          <w:szCs w:val="24"/>
        </w:rPr>
        <w:t xml:space="preserve">) em floresta de várzea do estuário Amazônico. </w:t>
      </w:r>
      <w:r w:rsidRPr="00DD291C">
        <w:rPr>
          <w:rFonts w:eastAsia="SimSun"/>
          <w:b/>
          <w:sz w:val="24"/>
          <w:szCs w:val="24"/>
        </w:rPr>
        <w:t>Ciência Florestal</w:t>
      </w:r>
      <w:r w:rsidRPr="00DD291C">
        <w:rPr>
          <w:rFonts w:eastAsia="SimSun"/>
          <w:sz w:val="24"/>
          <w:szCs w:val="24"/>
        </w:rPr>
        <w:t>, Santa Maria, v. 24, n. 4, p. 1009-1019, 2014.</w:t>
      </w:r>
    </w:p>
    <w:p w14:paraId="6EFE103E" w14:textId="77777777" w:rsidR="00DD291C" w:rsidRPr="00DD291C" w:rsidRDefault="00DD291C" w:rsidP="00DD291C">
      <w:pPr>
        <w:autoSpaceDE w:val="0"/>
        <w:autoSpaceDN w:val="0"/>
        <w:adjustRightInd w:val="0"/>
        <w:rPr>
          <w:rFonts w:eastAsia="SimSun"/>
          <w:sz w:val="24"/>
          <w:szCs w:val="24"/>
        </w:rPr>
      </w:pPr>
    </w:p>
    <w:p w14:paraId="26E5403B" w14:textId="30235F82" w:rsidR="00DD291C" w:rsidRPr="00AA54EF" w:rsidRDefault="00DD291C" w:rsidP="00F17A3F">
      <w:pPr>
        <w:rPr>
          <w:sz w:val="24"/>
          <w:szCs w:val="24"/>
          <w:lang w:val="en-US"/>
        </w:rPr>
      </w:pPr>
      <w:r w:rsidRPr="00DD291C">
        <w:rPr>
          <w:rFonts w:eastAsia="SimSun"/>
          <w:sz w:val="24"/>
          <w:szCs w:val="24"/>
        </w:rPr>
        <w:t xml:space="preserve">ALVES, J. C. Z. O.; MIRANDA, I. S. Análise da estrutura de comunidades distância geográfica na riqueza e composição de espécies arbóreas de uma floresta amazônica de Terra Firme aplicada ao arbóreas em uma Floresta Ombrófila Densa na Amazônia manejo florestal. </w:t>
      </w:r>
      <w:proofErr w:type="spellStart"/>
      <w:r w:rsidRPr="00AA54EF">
        <w:rPr>
          <w:rFonts w:eastAsia="SimSun"/>
          <w:b/>
          <w:sz w:val="24"/>
          <w:szCs w:val="24"/>
          <w:lang w:val="en-US"/>
        </w:rPr>
        <w:t>Acta</w:t>
      </w:r>
      <w:proofErr w:type="spellEnd"/>
      <w:r w:rsidRPr="00AA54EF">
        <w:rPr>
          <w:rFonts w:eastAsia="SimSun"/>
          <w:b/>
          <w:sz w:val="24"/>
          <w:szCs w:val="24"/>
          <w:lang w:val="en-US"/>
        </w:rPr>
        <w:t xml:space="preserve"> </w:t>
      </w:r>
      <w:proofErr w:type="spellStart"/>
      <w:r w:rsidRPr="00AA54EF">
        <w:rPr>
          <w:rFonts w:eastAsia="SimSun"/>
          <w:b/>
          <w:sz w:val="24"/>
          <w:szCs w:val="24"/>
          <w:lang w:val="en-US"/>
        </w:rPr>
        <w:t>Amazonica</w:t>
      </w:r>
      <w:proofErr w:type="spellEnd"/>
      <w:r w:rsidRPr="00AA54EF">
        <w:rPr>
          <w:rFonts w:eastAsia="SimSun"/>
          <w:sz w:val="24"/>
          <w:szCs w:val="24"/>
          <w:lang w:val="en-US"/>
        </w:rPr>
        <w:t>, v. 38, p. 657-666, 2008.</w:t>
      </w:r>
    </w:p>
    <w:p w14:paraId="43DDDFBD" w14:textId="77777777" w:rsidR="00DD291C" w:rsidRPr="00AA54EF" w:rsidRDefault="00DD291C" w:rsidP="00DD291C">
      <w:pPr>
        <w:shd w:val="clear" w:color="auto" w:fill="FFFFFF"/>
        <w:rPr>
          <w:sz w:val="24"/>
          <w:szCs w:val="24"/>
          <w:lang w:val="en-US"/>
        </w:rPr>
      </w:pPr>
    </w:p>
    <w:p w14:paraId="31DD3A5D" w14:textId="40860D7F" w:rsidR="00DD291C" w:rsidRDefault="00DD291C" w:rsidP="00DD291C">
      <w:pPr>
        <w:autoSpaceDE w:val="0"/>
        <w:autoSpaceDN w:val="0"/>
        <w:adjustRightInd w:val="0"/>
        <w:rPr>
          <w:rFonts w:eastAsia="SimSun"/>
          <w:sz w:val="24"/>
          <w:szCs w:val="24"/>
          <w:lang w:val="en-US"/>
        </w:rPr>
      </w:pPr>
      <w:r w:rsidRPr="00DD291C">
        <w:rPr>
          <w:rFonts w:eastAsia="SimSun"/>
          <w:sz w:val="24"/>
          <w:szCs w:val="24"/>
          <w:lang w:val="en-US"/>
        </w:rPr>
        <w:lastRenderedPageBreak/>
        <w:t xml:space="preserve">BAILEY, R. L.; </w:t>
      </w:r>
      <w:r w:rsidR="002710B1" w:rsidRPr="00DD291C">
        <w:rPr>
          <w:rFonts w:eastAsia="SimSun"/>
          <w:sz w:val="24"/>
          <w:szCs w:val="24"/>
          <w:lang w:val="en-US"/>
        </w:rPr>
        <w:t>DELL</w:t>
      </w:r>
      <w:r w:rsidRPr="00DD291C">
        <w:rPr>
          <w:rFonts w:eastAsia="SimSun"/>
          <w:sz w:val="24"/>
          <w:szCs w:val="24"/>
          <w:lang w:val="en-US"/>
        </w:rPr>
        <w:t xml:space="preserve">, T. R. Quantifying diameter distribution with the Weibull-function. </w:t>
      </w:r>
      <w:r w:rsidRPr="00AA54EF">
        <w:rPr>
          <w:rFonts w:eastAsia="SimSun"/>
          <w:b/>
          <w:bCs/>
          <w:sz w:val="24"/>
          <w:szCs w:val="24"/>
          <w:lang w:val="en-US"/>
        </w:rPr>
        <w:t>Forest Science</w:t>
      </w:r>
      <w:r w:rsidRPr="00AA54EF">
        <w:rPr>
          <w:rFonts w:eastAsia="SimSun"/>
          <w:sz w:val="24"/>
          <w:szCs w:val="24"/>
          <w:lang w:val="en-US"/>
        </w:rPr>
        <w:t>, Bethesda, v. 19, n. 2, p. 97-104, 1973.</w:t>
      </w:r>
    </w:p>
    <w:p w14:paraId="71C095E1" w14:textId="77777777" w:rsidR="00EA230D" w:rsidRPr="00AA54EF" w:rsidRDefault="00EA230D" w:rsidP="00DD291C">
      <w:pPr>
        <w:autoSpaceDE w:val="0"/>
        <w:autoSpaceDN w:val="0"/>
        <w:adjustRightInd w:val="0"/>
        <w:rPr>
          <w:rFonts w:eastAsia="SimSun"/>
          <w:sz w:val="24"/>
          <w:szCs w:val="24"/>
          <w:lang w:val="en-US"/>
        </w:rPr>
      </w:pPr>
    </w:p>
    <w:p w14:paraId="0F14E06C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  <w:r w:rsidRPr="00AA54EF">
        <w:rPr>
          <w:sz w:val="24"/>
          <w:szCs w:val="24"/>
          <w:lang w:val="en-US"/>
        </w:rPr>
        <w:t xml:space="preserve">BELL, T.; FRECKLETON, R. P.; LEWIS, O. T. Plant pathogens drive density-dependent seedling mortality in a tropical tree. </w:t>
      </w:r>
      <w:proofErr w:type="spellStart"/>
      <w:r w:rsidRPr="00DD291C">
        <w:rPr>
          <w:b/>
          <w:sz w:val="24"/>
          <w:szCs w:val="24"/>
        </w:rPr>
        <w:t>Ecology</w:t>
      </w:r>
      <w:proofErr w:type="spellEnd"/>
      <w:r w:rsidRPr="00DD291C">
        <w:rPr>
          <w:b/>
          <w:sz w:val="24"/>
          <w:szCs w:val="24"/>
        </w:rPr>
        <w:t xml:space="preserve"> </w:t>
      </w:r>
      <w:proofErr w:type="spellStart"/>
      <w:r w:rsidRPr="00DD291C">
        <w:rPr>
          <w:b/>
          <w:sz w:val="24"/>
          <w:szCs w:val="24"/>
        </w:rPr>
        <w:t>Letters</w:t>
      </w:r>
      <w:proofErr w:type="spellEnd"/>
      <w:r w:rsidRPr="00DD291C">
        <w:rPr>
          <w:sz w:val="24"/>
          <w:szCs w:val="24"/>
        </w:rPr>
        <w:t>, v. 9, p. 569-574, 2006.</w:t>
      </w:r>
    </w:p>
    <w:p w14:paraId="2EF25285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</w:p>
    <w:p w14:paraId="21549681" w14:textId="77777777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CARVALHO, P. E. R. </w:t>
      </w:r>
      <w:r w:rsidRPr="00DD291C">
        <w:rPr>
          <w:rFonts w:eastAsia="SimSun"/>
          <w:b/>
          <w:sz w:val="24"/>
          <w:szCs w:val="24"/>
        </w:rPr>
        <w:t>Espécies arbóreas brasileiras</w:t>
      </w:r>
      <w:r w:rsidRPr="00DD291C">
        <w:rPr>
          <w:rFonts w:eastAsia="SimSun"/>
          <w:sz w:val="24"/>
          <w:szCs w:val="24"/>
        </w:rPr>
        <w:t>. 1.ed. Brasília: Embrapa Informação Tecnológica, p. 1039, 2003.</w:t>
      </w:r>
    </w:p>
    <w:p w14:paraId="451E92B4" w14:textId="77777777" w:rsidR="00DD291C" w:rsidRPr="00DD291C" w:rsidRDefault="00DD291C" w:rsidP="00DD291C">
      <w:pPr>
        <w:rPr>
          <w:rFonts w:eastAsia="SimSun"/>
          <w:sz w:val="24"/>
          <w:szCs w:val="24"/>
        </w:rPr>
      </w:pPr>
    </w:p>
    <w:p w14:paraId="40EED3F0" w14:textId="77777777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CASTRO, T. C.; CARVALHO, J. O. P. Dinâmica da população de </w:t>
      </w:r>
      <w:proofErr w:type="spellStart"/>
      <w:r w:rsidRPr="00DD291C">
        <w:rPr>
          <w:rFonts w:eastAsia="SimSun"/>
          <w:i/>
          <w:sz w:val="24"/>
          <w:szCs w:val="24"/>
        </w:rPr>
        <w:t>Manilkara</w:t>
      </w:r>
      <w:proofErr w:type="spellEnd"/>
      <w:r w:rsidRPr="00DD291C">
        <w:rPr>
          <w:rFonts w:eastAsia="SimSun"/>
          <w:i/>
          <w:sz w:val="24"/>
          <w:szCs w:val="24"/>
        </w:rPr>
        <w:t xml:space="preserve"> </w:t>
      </w:r>
      <w:proofErr w:type="spellStart"/>
      <w:r w:rsidRPr="00DD291C">
        <w:rPr>
          <w:rFonts w:eastAsia="SimSun"/>
          <w:i/>
          <w:sz w:val="24"/>
          <w:szCs w:val="24"/>
        </w:rPr>
        <w:t>huberi</w:t>
      </w:r>
      <w:proofErr w:type="spellEnd"/>
      <w:r w:rsidRPr="00DD291C">
        <w:rPr>
          <w:rFonts w:eastAsia="SimSun"/>
          <w:sz w:val="24"/>
          <w:szCs w:val="24"/>
        </w:rPr>
        <w:t xml:space="preserve"> (</w:t>
      </w:r>
      <w:proofErr w:type="spellStart"/>
      <w:r w:rsidRPr="00DD291C">
        <w:rPr>
          <w:rFonts w:eastAsia="SimSun"/>
          <w:sz w:val="24"/>
          <w:szCs w:val="24"/>
        </w:rPr>
        <w:t>ducke</w:t>
      </w:r>
      <w:proofErr w:type="spellEnd"/>
      <w:r w:rsidRPr="00DD291C">
        <w:rPr>
          <w:rFonts w:eastAsia="SimSun"/>
          <w:sz w:val="24"/>
          <w:szCs w:val="24"/>
        </w:rPr>
        <w:t xml:space="preserve">) a. </w:t>
      </w:r>
      <w:proofErr w:type="spellStart"/>
      <w:r w:rsidRPr="00DD291C">
        <w:rPr>
          <w:rFonts w:eastAsia="SimSun"/>
          <w:sz w:val="24"/>
          <w:szCs w:val="24"/>
        </w:rPr>
        <w:t>chev</w:t>
      </w:r>
      <w:proofErr w:type="spellEnd"/>
      <w:r w:rsidRPr="00DD291C">
        <w:rPr>
          <w:rFonts w:eastAsia="SimSun"/>
          <w:sz w:val="24"/>
          <w:szCs w:val="24"/>
        </w:rPr>
        <w:t xml:space="preserve">. </w:t>
      </w:r>
      <w:proofErr w:type="gramStart"/>
      <w:r w:rsidRPr="00DD291C">
        <w:rPr>
          <w:rFonts w:eastAsia="SimSun"/>
          <w:sz w:val="24"/>
          <w:szCs w:val="24"/>
        </w:rPr>
        <w:t>durante</w:t>
      </w:r>
      <w:proofErr w:type="gramEnd"/>
      <w:r w:rsidRPr="00DD291C">
        <w:rPr>
          <w:rFonts w:eastAsia="SimSun"/>
          <w:sz w:val="24"/>
          <w:szCs w:val="24"/>
        </w:rPr>
        <w:t xml:space="preserve"> 26 anos após a exploração florestal em uma área de terra firme na Amazônia brasileira. </w:t>
      </w:r>
      <w:r w:rsidRPr="00DD291C">
        <w:rPr>
          <w:rFonts w:eastAsia="SimSun"/>
          <w:b/>
          <w:sz w:val="24"/>
          <w:szCs w:val="24"/>
        </w:rPr>
        <w:t>Ciência Florestal</w:t>
      </w:r>
      <w:r w:rsidRPr="00DD291C">
        <w:rPr>
          <w:rFonts w:eastAsia="SimSun"/>
          <w:sz w:val="24"/>
          <w:szCs w:val="24"/>
        </w:rPr>
        <w:t>, Santa Maria, v. 24, n. 1, p. 161-169, 2014.</w:t>
      </w:r>
    </w:p>
    <w:p w14:paraId="25458225" w14:textId="77777777" w:rsidR="00DD291C" w:rsidRPr="00DD291C" w:rsidRDefault="00DD291C" w:rsidP="00DD291C">
      <w:pPr>
        <w:rPr>
          <w:rFonts w:eastAsia="SimSun"/>
          <w:sz w:val="24"/>
          <w:szCs w:val="24"/>
        </w:rPr>
      </w:pPr>
    </w:p>
    <w:p w14:paraId="3A57CC9C" w14:textId="77E42F5F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CORAIOLA, M.; NETTO, S. P. Análise da estrutura horizontal de uma floresta estacional </w:t>
      </w:r>
      <w:proofErr w:type="spellStart"/>
      <w:r w:rsidRPr="00DD291C">
        <w:rPr>
          <w:rFonts w:eastAsia="SimSun"/>
          <w:sz w:val="24"/>
          <w:szCs w:val="24"/>
        </w:rPr>
        <w:t>semidecidual</w:t>
      </w:r>
      <w:proofErr w:type="spellEnd"/>
      <w:r w:rsidRPr="00DD291C">
        <w:rPr>
          <w:rFonts w:eastAsia="SimSun"/>
          <w:sz w:val="24"/>
          <w:szCs w:val="24"/>
        </w:rPr>
        <w:t xml:space="preserve"> localizada no município de Cássia-MG. </w:t>
      </w:r>
      <w:r w:rsidRPr="00DD291C">
        <w:rPr>
          <w:rFonts w:eastAsia="SimSun"/>
          <w:b/>
          <w:sz w:val="24"/>
          <w:szCs w:val="24"/>
        </w:rPr>
        <w:t>Revista Acadêmica: ciências agrárias e ambientais</w:t>
      </w:r>
      <w:r w:rsidRPr="00DD291C">
        <w:rPr>
          <w:rFonts w:eastAsia="SimSun"/>
          <w:sz w:val="24"/>
          <w:szCs w:val="24"/>
        </w:rPr>
        <w:t>, Curitiba, v.1, n.2, p. 11-19, 2003.</w:t>
      </w:r>
    </w:p>
    <w:p w14:paraId="2C87B03B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</w:p>
    <w:p w14:paraId="10715F9A" w14:textId="332E251E" w:rsidR="00DD291C" w:rsidRPr="00DD291C" w:rsidRDefault="00DD291C" w:rsidP="00DD291C">
      <w:pPr>
        <w:shd w:val="clear" w:color="auto" w:fill="FFFFFF"/>
        <w:rPr>
          <w:sz w:val="24"/>
          <w:szCs w:val="24"/>
        </w:rPr>
      </w:pPr>
      <w:r w:rsidRPr="00DD291C">
        <w:rPr>
          <w:sz w:val="24"/>
          <w:szCs w:val="24"/>
        </w:rPr>
        <w:t>EBLING, Â. A</w:t>
      </w:r>
      <w:r w:rsidR="00AA1ED2">
        <w:rPr>
          <w:sz w:val="24"/>
          <w:szCs w:val="24"/>
        </w:rPr>
        <w:t>.</w:t>
      </w:r>
      <w:r w:rsidRPr="00DD291C">
        <w:rPr>
          <w:sz w:val="24"/>
          <w:szCs w:val="24"/>
        </w:rPr>
        <w:t xml:space="preserve">; GUIMARÃES, P. P.; PELISSARI, A. L.; ABRÃO, S. F.; MIRANDA, R. O. V. M. Alterações florísticas e estruturais em floresta com Araucária no estado do Rio Grande do Sul, Brasil. </w:t>
      </w:r>
      <w:proofErr w:type="spellStart"/>
      <w:r w:rsidRPr="00DD291C">
        <w:rPr>
          <w:b/>
          <w:sz w:val="24"/>
          <w:szCs w:val="24"/>
        </w:rPr>
        <w:t>Agrarian</w:t>
      </w:r>
      <w:proofErr w:type="spellEnd"/>
      <w:r w:rsidRPr="00DD291C">
        <w:rPr>
          <w:b/>
          <w:sz w:val="24"/>
          <w:szCs w:val="24"/>
        </w:rPr>
        <w:t xml:space="preserve"> </w:t>
      </w:r>
      <w:proofErr w:type="spellStart"/>
      <w:r w:rsidRPr="00DD291C">
        <w:rPr>
          <w:b/>
          <w:sz w:val="24"/>
          <w:szCs w:val="24"/>
        </w:rPr>
        <w:t>Academy</w:t>
      </w:r>
      <w:proofErr w:type="spellEnd"/>
      <w:r w:rsidRPr="00DD291C">
        <w:rPr>
          <w:sz w:val="24"/>
          <w:szCs w:val="24"/>
        </w:rPr>
        <w:t>, v. 1, n. 01, p. 1, Goiânia, 2014.</w:t>
      </w:r>
      <w:r w:rsidRPr="00DD291C">
        <w:rPr>
          <w:rStyle w:val="ff3"/>
          <w:sz w:val="24"/>
          <w:szCs w:val="24"/>
        </w:rPr>
        <w:t xml:space="preserve"> </w:t>
      </w:r>
    </w:p>
    <w:p w14:paraId="686D5788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</w:p>
    <w:p w14:paraId="45C3EC46" w14:textId="77777777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ESTIGARRIBIA, F.; APARÍCIO, W. C. S.; GALVÃO, F. G.; PEREIRA, L. C. B. </w:t>
      </w:r>
      <w:r w:rsidRPr="00DD291C">
        <w:rPr>
          <w:rFonts w:eastAsia="SimSun"/>
          <w:b/>
          <w:sz w:val="24"/>
          <w:szCs w:val="24"/>
        </w:rPr>
        <w:t>Estrutura da vegetação de fragmentos florestais no Campus da Universidade Federal do Amapá-Brasil</w:t>
      </w:r>
      <w:r w:rsidRPr="00DD291C">
        <w:rPr>
          <w:rFonts w:eastAsia="SimSun"/>
          <w:sz w:val="24"/>
          <w:szCs w:val="24"/>
        </w:rPr>
        <w:t>. Macapá, v. 7, n. 3, p. 17-22, 2017.</w:t>
      </w:r>
    </w:p>
    <w:p w14:paraId="084C1A8A" w14:textId="77777777" w:rsidR="00DD291C" w:rsidRPr="00DD291C" w:rsidRDefault="00DD291C" w:rsidP="00DD291C">
      <w:pPr>
        <w:rPr>
          <w:rFonts w:eastAsia="SimSun"/>
          <w:sz w:val="24"/>
          <w:szCs w:val="24"/>
        </w:rPr>
      </w:pPr>
    </w:p>
    <w:p w14:paraId="6AA2E331" w14:textId="77777777" w:rsidR="00DD291C" w:rsidRPr="00AA54EF" w:rsidRDefault="00DD291C" w:rsidP="00DD291C">
      <w:pPr>
        <w:autoSpaceDE w:val="0"/>
        <w:autoSpaceDN w:val="0"/>
        <w:adjustRightInd w:val="0"/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FACUNDO, V. A.; SILVEIRA, A. S. P. </w:t>
      </w:r>
      <w:r w:rsidRPr="00DD291C">
        <w:rPr>
          <w:rFonts w:eastAsia="SimSun"/>
          <w:b/>
          <w:sz w:val="24"/>
          <w:szCs w:val="24"/>
        </w:rPr>
        <w:t xml:space="preserve">Constituintes químicos de </w:t>
      </w:r>
      <w:r w:rsidRPr="00DD291C">
        <w:rPr>
          <w:rFonts w:eastAsia="SimSun"/>
          <w:b/>
          <w:bCs/>
          <w:i/>
          <w:iCs/>
          <w:sz w:val="24"/>
          <w:szCs w:val="24"/>
        </w:rPr>
        <w:t xml:space="preserve">Zanthoxylum ekmanii </w:t>
      </w:r>
      <w:r w:rsidRPr="00DD291C">
        <w:rPr>
          <w:rFonts w:eastAsia="SimSun"/>
          <w:b/>
          <w:bCs/>
          <w:sz w:val="24"/>
          <w:szCs w:val="24"/>
        </w:rPr>
        <w:t xml:space="preserve">(URB.) ALAIN. </w:t>
      </w:r>
      <w:proofErr w:type="spellStart"/>
      <w:r w:rsidRPr="00AA54EF">
        <w:rPr>
          <w:rFonts w:eastAsia="SimSun"/>
          <w:i/>
          <w:iCs/>
          <w:sz w:val="24"/>
          <w:szCs w:val="24"/>
        </w:rPr>
        <w:t>Quimíca</w:t>
      </w:r>
      <w:proofErr w:type="spellEnd"/>
      <w:r w:rsidRPr="00AA54EF">
        <w:rPr>
          <w:rFonts w:eastAsia="SimSun"/>
          <w:i/>
          <w:iCs/>
          <w:sz w:val="24"/>
          <w:szCs w:val="24"/>
        </w:rPr>
        <w:t xml:space="preserve"> Nova, </w:t>
      </w:r>
      <w:r w:rsidRPr="00AA54EF">
        <w:rPr>
          <w:rFonts w:eastAsia="SimSun"/>
          <w:iCs/>
          <w:sz w:val="24"/>
          <w:szCs w:val="24"/>
        </w:rPr>
        <w:t>UFR</w:t>
      </w:r>
      <w:r w:rsidRPr="00AA54EF">
        <w:rPr>
          <w:rFonts w:eastAsia="SimSun"/>
          <w:i/>
          <w:iCs/>
          <w:sz w:val="24"/>
          <w:szCs w:val="24"/>
        </w:rPr>
        <w:t xml:space="preserve">, </w:t>
      </w:r>
      <w:r w:rsidRPr="00AA54EF">
        <w:rPr>
          <w:rFonts w:eastAsia="SimSun"/>
          <w:sz w:val="24"/>
          <w:szCs w:val="24"/>
        </w:rPr>
        <w:t>v. 28, n. 2, p. 224-225, 2005.</w:t>
      </w:r>
    </w:p>
    <w:p w14:paraId="05F2BE73" w14:textId="77777777" w:rsidR="00DD291C" w:rsidRPr="00AA54EF" w:rsidRDefault="00DD291C" w:rsidP="00DD291C">
      <w:pPr>
        <w:autoSpaceDE w:val="0"/>
        <w:autoSpaceDN w:val="0"/>
        <w:adjustRightInd w:val="0"/>
        <w:rPr>
          <w:rFonts w:eastAsia="SimSun"/>
          <w:sz w:val="24"/>
          <w:szCs w:val="24"/>
        </w:rPr>
      </w:pPr>
    </w:p>
    <w:p w14:paraId="4C80E79E" w14:textId="77777777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FINOL, H.; </w:t>
      </w:r>
      <w:r w:rsidRPr="00DD291C">
        <w:rPr>
          <w:sz w:val="24"/>
          <w:szCs w:val="24"/>
        </w:rPr>
        <w:t>CARVALHO, J. O. P.; JARDIM, F. C. S.; QUANZ, B.; PINHEIRO, K. A. O.</w:t>
      </w:r>
      <w:r w:rsidRPr="00DD291C">
        <w:rPr>
          <w:rFonts w:eastAsia="SimSun"/>
          <w:sz w:val="24"/>
          <w:szCs w:val="24"/>
        </w:rPr>
        <w:t xml:space="preserve"> La silvicultura </w:t>
      </w:r>
      <w:proofErr w:type="spellStart"/>
      <w:r w:rsidRPr="00DD291C">
        <w:rPr>
          <w:rFonts w:eastAsia="SimSun"/>
          <w:sz w:val="24"/>
          <w:szCs w:val="24"/>
        </w:rPr>
        <w:t>enla</w:t>
      </w:r>
      <w:proofErr w:type="spellEnd"/>
      <w:r w:rsidRPr="00DD291C">
        <w:rPr>
          <w:rFonts w:eastAsia="SimSun"/>
          <w:sz w:val="24"/>
          <w:szCs w:val="24"/>
        </w:rPr>
        <w:t xml:space="preserve"> </w:t>
      </w:r>
      <w:proofErr w:type="spellStart"/>
      <w:r w:rsidRPr="00DD291C">
        <w:rPr>
          <w:rFonts w:eastAsia="SimSun"/>
          <w:sz w:val="24"/>
          <w:szCs w:val="24"/>
        </w:rPr>
        <w:t>OrinoguiaVenezolana</w:t>
      </w:r>
      <w:proofErr w:type="spellEnd"/>
      <w:r w:rsidRPr="00DD291C">
        <w:rPr>
          <w:rFonts w:eastAsia="SimSun"/>
          <w:sz w:val="24"/>
          <w:szCs w:val="24"/>
        </w:rPr>
        <w:t xml:space="preserve">. </w:t>
      </w:r>
      <w:r w:rsidRPr="00DD291C">
        <w:rPr>
          <w:rFonts w:eastAsia="SimSun"/>
          <w:b/>
          <w:sz w:val="24"/>
          <w:szCs w:val="24"/>
        </w:rPr>
        <w:t xml:space="preserve">Revista </w:t>
      </w:r>
      <w:proofErr w:type="spellStart"/>
      <w:r w:rsidRPr="00DD291C">
        <w:rPr>
          <w:rFonts w:eastAsia="SimSun"/>
          <w:b/>
          <w:sz w:val="24"/>
          <w:szCs w:val="24"/>
        </w:rPr>
        <w:t>Forestal</w:t>
      </w:r>
      <w:proofErr w:type="spellEnd"/>
      <w:r w:rsidRPr="00DD291C">
        <w:rPr>
          <w:rFonts w:eastAsia="SimSun"/>
          <w:b/>
          <w:sz w:val="24"/>
          <w:szCs w:val="24"/>
        </w:rPr>
        <w:t xml:space="preserve"> </w:t>
      </w:r>
      <w:proofErr w:type="spellStart"/>
      <w:r w:rsidRPr="00DD291C">
        <w:rPr>
          <w:rFonts w:eastAsia="SimSun"/>
          <w:b/>
          <w:sz w:val="24"/>
          <w:szCs w:val="24"/>
        </w:rPr>
        <w:t>Venezolana</w:t>
      </w:r>
      <w:proofErr w:type="spellEnd"/>
      <w:r w:rsidRPr="00DD291C">
        <w:rPr>
          <w:rFonts w:eastAsia="SimSun"/>
          <w:sz w:val="24"/>
          <w:szCs w:val="24"/>
        </w:rPr>
        <w:t>, v. 18, n.25, p. 37114. 1975.</w:t>
      </w:r>
    </w:p>
    <w:p w14:paraId="084267D3" w14:textId="77777777" w:rsidR="00DD291C" w:rsidRPr="00DD291C" w:rsidRDefault="00DD291C" w:rsidP="00DD291C">
      <w:pPr>
        <w:rPr>
          <w:rFonts w:eastAsia="SimSun"/>
          <w:sz w:val="24"/>
          <w:szCs w:val="24"/>
        </w:rPr>
      </w:pPr>
    </w:p>
    <w:p w14:paraId="7695D1CE" w14:textId="35EA06B4" w:rsidR="00DD291C" w:rsidRPr="00735E43" w:rsidRDefault="00DD291C" w:rsidP="00DD291C">
      <w:pPr>
        <w:rPr>
          <w:rFonts w:eastAsia="SimSun"/>
          <w:sz w:val="24"/>
          <w:szCs w:val="24"/>
        </w:rPr>
      </w:pPr>
      <w:r w:rsidRPr="00735E43">
        <w:rPr>
          <w:rFonts w:eastAsia="SimSun"/>
          <w:sz w:val="24"/>
          <w:szCs w:val="24"/>
        </w:rPr>
        <w:t>FRANCEZ, L. M. B.</w:t>
      </w:r>
      <w:r w:rsidR="00503CFB" w:rsidRPr="00735E43">
        <w:rPr>
          <w:rFonts w:eastAsia="SimSun"/>
          <w:sz w:val="24"/>
          <w:szCs w:val="24"/>
        </w:rPr>
        <w:t xml:space="preserve">; </w:t>
      </w:r>
      <w:r w:rsidR="00503CFB" w:rsidRPr="00735E43">
        <w:rPr>
          <w:color w:val="222222"/>
          <w:sz w:val="24"/>
          <w:szCs w:val="24"/>
        </w:rPr>
        <w:t>CARVAL</w:t>
      </w:r>
      <w:r w:rsidR="00735E43" w:rsidRPr="00735E43">
        <w:rPr>
          <w:color w:val="222222"/>
          <w:sz w:val="24"/>
          <w:szCs w:val="24"/>
        </w:rPr>
        <w:t>HO, J. O. P.;</w:t>
      </w:r>
      <w:r w:rsidR="00503CFB" w:rsidRPr="00735E43">
        <w:rPr>
          <w:color w:val="222222"/>
          <w:sz w:val="24"/>
          <w:szCs w:val="24"/>
        </w:rPr>
        <w:t xml:space="preserve"> JARDIM, F. D. S.; QUANZ, B.; PINHEIRO, K. A</w:t>
      </w:r>
      <w:r w:rsidRPr="00735E43">
        <w:rPr>
          <w:rFonts w:eastAsia="SimSun"/>
          <w:sz w:val="24"/>
          <w:szCs w:val="24"/>
        </w:rPr>
        <w:t xml:space="preserve">. Efeito de duas intensidades de colheita de madeira na estrutura de uma floresta natural na região de Paragominas, Pará. </w:t>
      </w:r>
      <w:r w:rsidRPr="00735E43">
        <w:rPr>
          <w:rFonts w:eastAsia="SimSun"/>
          <w:b/>
          <w:sz w:val="24"/>
          <w:szCs w:val="24"/>
        </w:rPr>
        <w:t xml:space="preserve">Acta </w:t>
      </w:r>
      <w:proofErr w:type="spellStart"/>
      <w:r w:rsidRPr="00735E43">
        <w:rPr>
          <w:rFonts w:eastAsia="SimSun"/>
          <w:b/>
          <w:sz w:val="24"/>
          <w:szCs w:val="24"/>
        </w:rPr>
        <w:t>Amazonica</w:t>
      </w:r>
      <w:proofErr w:type="spellEnd"/>
      <w:r w:rsidRPr="00735E43">
        <w:rPr>
          <w:rFonts w:eastAsia="SimSun"/>
          <w:sz w:val="24"/>
          <w:szCs w:val="24"/>
        </w:rPr>
        <w:t>, Manaus, v. 39, n. 4, p. 851864. 2009.</w:t>
      </w:r>
    </w:p>
    <w:p w14:paraId="6C9EC8F7" w14:textId="77777777" w:rsidR="00DD291C" w:rsidRPr="00DD291C" w:rsidRDefault="00DD291C" w:rsidP="00DD291C">
      <w:pPr>
        <w:rPr>
          <w:rFonts w:eastAsia="SimSun"/>
          <w:sz w:val="24"/>
          <w:szCs w:val="24"/>
        </w:rPr>
      </w:pPr>
    </w:p>
    <w:p w14:paraId="229092C2" w14:textId="77777777" w:rsidR="00DD291C" w:rsidRDefault="00DD291C" w:rsidP="00DD291C">
      <w:pPr>
        <w:rPr>
          <w:sz w:val="24"/>
          <w:szCs w:val="24"/>
        </w:rPr>
      </w:pPr>
      <w:r w:rsidRPr="00DD291C">
        <w:rPr>
          <w:sz w:val="24"/>
          <w:szCs w:val="24"/>
        </w:rPr>
        <w:t xml:space="preserve">GOMES, M. J.; CARVALHO, J. O. P.; RUSCHEL, A. R.; SILVA, J. N. M.; RAMOS, E. M. L. S.; CASTRO, T. C.; THOMPSON, I. S.; FREITAS, L. J. M. Estoque de duas especies arbóreas ameaçadas de extinção aos 30 anos após a exploração na Amazônia Oriental. </w:t>
      </w:r>
      <w:proofErr w:type="spellStart"/>
      <w:r w:rsidRPr="00DD291C">
        <w:rPr>
          <w:sz w:val="24"/>
          <w:szCs w:val="24"/>
        </w:rPr>
        <w:t>Scientia</w:t>
      </w:r>
      <w:proofErr w:type="spellEnd"/>
      <w:r w:rsidRPr="00DD291C">
        <w:rPr>
          <w:sz w:val="24"/>
          <w:szCs w:val="24"/>
        </w:rPr>
        <w:t xml:space="preserve"> </w:t>
      </w:r>
      <w:proofErr w:type="spellStart"/>
      <w:r w:rsidRPr="00DD291C">
        <w:rPr>
          <w:sz w:val="24"/>
          <w:szCs w:val="24"/>
        </w:rPr>
        <w:t>Forestallis</w:t>
      </w:r>
      <w:proofErr w:type="spellEnd"/>
      <w:r w:rsidRPr="00DD291C">
        <w:rPr>
          <w:sz w:val="24"/>
          <w:szCs w:val="24"/>
        </w:rPr>
        <w:t>, v. 46, n. 117, p. 41-52, 2018</w:t>
      </w:r>
      <w:r w:rsidR="001023B4">
        <w:rPr>
          <w:sz w:val="24"/>
          <w:szCs w:val="24"/>
        </w:rPr>
        <w:t>.</w:t>
      </w:r>
    </w:p>
    <w:p w14:paraId="1F5AED07" w14:textId="77777777" w:rsidR="001023B4" w:rsidRPr="00DD291C" w:rsidRDefault="001023B4" w:rsidP="00DD291C">
      <w:pPr>
        <w:rPr>
          <w:sz w:val="24"/>
          <w:szCs w:val="24"/>
        </w:rPr>
      </w:pPr>
    </w:p>
    <w:p w14:paraId="7E43E321" w14:textId="77777777" w:rsidR="00DD291C" w:rsidRPr="00DD291C" w:rsidRDefault="00DD291C" w:rsidP="00DD291C">
      <w:pPr>
        <w:rPr>
          <w:sz w:val="24"/>
          <w:szCs w:val="24"/>
        </w:rPr>
      </w:pPr>
      <w:r w:rsidRPr="00DD291C">
        <w:rPr>
          <w:sz w:val="24"/>
          <w:szCs w:val="24"/>
        </w:rPr>
        <w:t xml:space="preserve">LANA, M. D.; PÉLLICO, S. N. O.; CORTE, A. P. D.; SANQUETTA, C. R.; EBLING, A. A. Prognose da estrutura diamétrica em Floresta Ombrófila Mista. </w:t>
      </w:r>
      <w:r w:rsidRPr="00DD291C">
        <w:rPr>
          <w:b/>
          <w:sz w:val="24"/>
          <w:szCs w:val="24"/>
        </w:rPr>
        <w:t>Floresta e Ambiente</w:t>
      </w:r>
      <w:r w:rsidRPr="00DD291C">
        <w:rPr>
          <w:sz w:val="24"/>
          <w:szCs w:val="24"/>
        </w:rPr>
        <w:t xml:space="preserve">, v. 22, p. 71-68, 2015. </w:t>
      </w:r>
      <w:hyperlink r:id="rId9" w:history="1">
        <w:r w:rsidRPr="00DD291C">
          <w:rPr>
            <w:rStyle w:val="Hyperlink"/>
            <w:color w:val="auto"/>
            <w:sz w:val="24"/>
            <w:szCs w:val="24"/>
            <w:u w:val="none"/>
          </w:rPr>
          <w:t>http://dx.doi.org/10.1590/2179-8087.072914</w:t>
        </w:r>
      </w:hyperlink>
      <w:r w:rsidRPr="00DD291C">
        <w:rPr>
          <w:sz w:val="24"/>
          <w:szCs w:val="24"/>
        </w:rPr>
        <w:t>.</w:t>
      </w:r>
    </w:p>
    <w:p w14:paraId="0D6D7508" w14:textId="77777777" w:rsidR="00DD291C" w:rsidRPr="00DD291C" w:rsidRDefault="00DD291C" w:rsidP="00DD291C">
      <w:pPr>
        <w:rPr>
          <w:sz w:val="24"/>
          <w:szCs w:val="24"/>
        </w:rPr>
      </w:pPr>
    </w:p>
    <w:p w14:paraId="3B2F7A1D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  <w:r w:rsidRPr="00DD291C">
        <w:rPr>
          <w:sz w:val="24"/>
          <w:szCs w:val="24"/>
        </w:rPr>
        <w:lastRenderedPageBreak/>
        <w:t xml:space="preserve">LIMA, J. P. C; LEAO, J. R. A. Dinâmica de Crescimento e Distribuição Diamétrica de Fragmentos de Florestas Nativa e Plantada na Amazônia Sul Ocidental. </w:t>
      </w:r>
      <w:r w:rsidRPr="00DD291C">
        <w:rPr>
          <w:b/>
          <w:sz w:val="24"/>
          <w:szCs w:val="24"/>
        </w:rPr>
        <w:t>Floresta e Ambiente</w:t>
      </w:r>
      <w:r w:rsidRPr="00DD291C">
        <w:rPr>
          <w:sz w:val="24"/>
          <w:szCs w:val="24"/>
        </w:rPr>
        <w:t>, v. 20, n. 1, p. 70-79, 2013.</w:t>
      </w:r>
    </w:p>
    <w:p w14:paraId="276C8BF2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</w:p>
    <w:p w14:paraId="0D2B2336" w14:textId="658BC3AB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MATIAS, H. B.; NICACIO, M. A; SOUZA, R. N.; JESUS, A. T.; JUCÁ, F. L.; ABREU, J. C.; APARICIO, P. S. </w:t>
      </w:r>
      <w:r w:rsidRPr="00DD291C">
        <w:rPr>
          <w:rFonts w:eastAsia="SimSun"/>
          <w:b/>
          <w:sz w:val="24"/>
          <w:szCs w:val="24"/>
        </w:rPr>
        <w:t xml:space="preserve">Análise do grau de perturbação de Virola </w:t>
      </w:r>
      <w:proofErr w:type="spellStart"/>
      <w:r w:rsidRPr="00DD291C">
        <w:rPr>
          <w:rFonts w:eastAsia="SimSun"/>
          <w:b/>
          <w:sz w:val="24"/>
          <w:szCs w:val="24"/>
        </w:rPr>
        <w:t>surinamensis</w:t>
      </w:r>
      <w:proofErr w:type="spellEnd"/>
      <w:r w:rsidRPr="00DD291C">
        <w:rPr>
          <w:rFonts w:eastAsia="SimSun"/>
          <w:b/>
          <w:sz w:val="24"/>
          <w:szCs w:val="24"/>
        </w:rPr>
        <w:t xml:space="preserve"> (Rol.) </w:t>
      </w:r>
      <w:proofErr w:type="spellStart"/>
      <w:r w:rsidRPr="00DD291C">
        <w:rPr>
          <w:rFonts w:eastAsia="SimSun"/>
          <w:b/>
          <w:sz w:val="24"/>
          <w:szCs w:val="24"/>
        </w:rPr>
        <w:t>Warb</w:t>
      </w:r>
      <w:proofErr w:type="spellEnd"/>
      <w:r w:rsidRPr="00DD291C">
        <w:rPr>
          <w:rFonts w:eastAsia="SimSun"/>
          <w:b/>
          <w:sz w:val="24"/>
          <w:szCs w:val="24"/>
        </w:rPr>
        <w:t xml:space="preserve">. </w:t>
      </w:r>
      <w:proofErr w:type="gramStart"/>
      <w:r w:rsidRPr="00DD291C">
        <w:rPr>
          <w:rFonts w:eastAsia="SimSun"/>
          <w:b/>
          <w:sz w:val="24"/>
          <w:szCs w:val="24"/>
        </w:rPr>
        <w:t>a</w:t>
      </w:r>
      <w:proofErr w:type="gramEnd"/>
      <w:r w:rsidRPr="00DD291C">
        <w:rPr>
          <w:rFonts w:eastAsia="SimSun"/>
          <w:b/>
          <w:sz w:val="24"/>
          <w:szCs w:val="24"/>
        </w:rPr>
        <w:t xml:space="preserve"> partir do quociente de </w:t>
      </w:r>
      <w:proofErr w:type="spellStart"/>
      <w:r w:rsidRPr="00DD291C">
        <w:rPr>
          <w:rFonts w:eastAsia="SimSun"/>
          <w:b/>
          <w:sz w:val="24"/>
          <w:szCs w:val="24"/>
        </w:rPr>
        <w:t>De</w:t>
      </w:r>
      <w:proofErr w:type="spellEnd"/>
      <w:r w:rsidRPr="00DD291C">
        <w:rPr>
          <w:rFonts w:eastAsia="SimSun"/>
          <w:b/>
          <w:sz w:val="24"/>
          <w:szCs w:val="24"/>
        </w:rPr>
        <w:t xml:space="preserve"> Liocourt</w:t>
      </w:r>
      <w:r w:rsidRPr="00DD291C">
        <w:rPr>
          <w:rFonts w:eastAsia="SimSun"/>
          <w:sz w:val="24"/>
          <w:szCs w:val="24"/>
        </w:rPr>
        <w:t xml:space="preserve">. </w:t>
      </w:r>
      <w:proofErr w:type="spellStart"/>
      <w:r w:rsidRPr="00DD291C">
        <w:rPr>
          <w:rFonts w:eastAsia="SimSun"/>
          <w:sz w:val="24"/>
          <w:szCs w:val="24"/>
        </w:rPr>
        <w:t>Simposfloresta</w:t>
      </w:r>
      <w:proofErr w:type="spellEnd"/>
      <w:r w:rsidRPr="00DD291C">
        <w:rPr>
          <w:rFonts w:eastAsia="SimSun"/>
          <w:sz w:val="24"/>
          <w:szCs w:val="24"/>
        </w:rPr>
        <w:t>, p. 642-645, 2014.</w:t>
      </w:r>
    </w:p>
    <w:p w14:paraId="52A3F957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</w:p>
    <w:p w14:paraId="77A1676D" w14:textId="77777777" w:rsidR="00DD291C" w:rsidRPr="00DD291C" w:rsidRDefault="00DD291C" w:rsidP="00DD291C">
      <w:pPr>
        <w:shd w:val="clear" w:color="auto" w:fill="FFFFFF"/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PUIG, H. </w:t>
      </w:r>
      <w:r w:rsidRPr="00DD291C">
        <w:rPr>
          <w:rFonts w:eastAsia="SimSun"/>
          <w:b/>
          <w:sz w:val="24"/>
          <w:szCs w:val="24"/>
        </w:rPr>
        <w:t>Floresta tropical úmida</w:t>
      </w:r>
      <w:r w:rsidRPr="00DD291C">
        <w:rPr>
          <w:rFonts w:eastAsia="SimSun"/>
          <w:sz w:val="24"/>
          <w:szCs w:val="24"/>
        </w:rPr>
        <w:t xml:space="preserve">. São Paulo: Ed. </w:t>
      </w:r>
      <w:proofErr w:type="spellStart"/>
      <w:r w:rsidRPr="00DD291C">
        <w:rPr>
          <w:rFonts w:eastAsia="SimSun"/>
          <w:sz w:val="24"/>
          <w:szCs w:val="24"/>
        </w:rPr>
        <w:t>da</w:t>
      </w:r>
      <w:proofErr w:type="spellEnd"/>
      <w:r w:rsidRPr="00DD291C">
        <w:rPr>
          <w:rFonts w:eastAsia="SimSun"/>
          <w:sz w:val="24"/>
          <w:szCs w:val="24"/>
        </w:rPr>
        <w:t xml:space="preserve"> UNESP, p. 496, 2008.</w:t>
      </w:r>
    </w:p>
    <w:p w14:paraId="0609C539" w14:textId="77777777" w:rsidR="00DD291C" w:rsidRPr="00DD291C" w:rsidRDefault="00DD291C" w:rsidP="00DD291C">
      <w:pPr>
        <w:shd w:val="clear" w:color="auto" w:fill="FFFFFF"/>
        <w:rPr>
          <w:rFonts w:eastAsia="SimSun"/>
          <w:sz w:val="24"/>
          <w:szCs w:val="24"/>
        </w:rPr>
      </w:pPr>
    </w:p>
    <w:p w14:paraId="3FDFE2AA" w14:textId="77777777" w:rsidR="00DD291C" w:rsidRPr="00DD291C" w:rsidRDefault="00DD291C" w:rsidP="00DD291C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RODE, R.; FILHO, A. F.; GALVÃO, F.; MACHADO, S. A. </w:t>
      </w:r>
      <w:r w:rsidRPr="00DD291C">
        <w:rPr>
          <w:rFonts w:eastAsia="SimSun"/>
          <w:b/>
          <w:sz w:val="24"/>
          <w:szCs w:val="24"/>
        </w:rPr>
        <w:t xml:space="preserve">Estrutura horizontal da comunidade arbórea sob um povoamento com </w:t>
      </w:r>
      <w:proofErr w:type="spellStart"/>
      <w:r w:rsidRPr="00DD291C">
        <w:rPr>
          <w:rFonts w:eastAsia="SimSun"/>
          <w:b/>
          <w:i/>
          <w:sz w:val="24"/>
          <w:szCs w:val="24"/>
        </w:rPr>
        <w:t>Aracauria</w:t>
      </w:r>
      <w:proofErr w:type="spellEnd"/>
      <w:r w:rsidRPr="00DD291C">
        <w:rPr>
          <w:rFonts w:eastAsia="SimSun"/>
          <w:b/>
          <w:i/>
          <w:sz w:val="24"/>
          <w:szCs w:val="24"/>
        </w:rPr>
        <w:t xml:space="preserve"> angustifólia </w:t>
      </w:r>
      <w:r w:rsidRPr="00DD291C">
        <w:rPr>
          <w:rFonts w:eastAsia="SimSun"/>
          <w:b/>
          <w:sz w:val="24"/>
          <w:szCs w:val="24"/>
        </w:rPr>
        <w:t>e uma Floresta Ombrófila Mista</w:t>
      </w:r>
      <w:r w:rsidRPr="00DD291C">
        <w:rPr>
          <w:rFonts w:eastAsia="SimSun"/>
          <w:sz w:val="24"/>
          <w:szCs w:val="24"/>
        </w:rPr>
        <w:t>. Pesquisa Florestal Brasileira, Colombo, v. 30, n. 64, p. 347-361, 2010.</w:t>
      </w:r>
    </w:p>
    <w:p w14:paraId="0B076E20" w14:textId="77777777" w:rsidR="00DD291C" w:rsidRPr="00DD291C" w:rsidRDefault="00DD291C" w:rsidP="00DD291C">
      <w:pPr>
        <w:rPr>
          <w:rFonts w:eastAsia="SimSun"/>
          <w:sz w:val="24"/>
          <w:szCs w:val="24"/>
        </w:rPr>
      </w:pPr>
    </w:p>
    <w:p w14:paraId="37187759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  <w:r w:rsidRPr="00DD291C">
        <w:rPr>
          <w:sz w:val="24"/>
          <w:szCs w:val="24"/>
        </w:rPr>
        <w:t xml:space="preserve">ROSSI, L. M. B.; KOEHLER, H. S.; SANQUETTA, C. R.; ARCE, J. E. Modelagem de Mortalidade em Florestas Naturais. Revista Floresta, v. 37, n. 2, p. 275-291, 2007. Disponível em: &lt;http://dx.doi.org/10.5380/rf.v37i2.8656&gt;. </w:t>
      </w:r>
      <w:proofErr w:type="spellStart"/>
      <w:proofErr w:type="gramStart"/>
      <w:r w:rsidRPr="00DD291C">
        <w:rPr>
          <w:sz w:val="24"/>
          <w:szCs w:val="24"/>
        </w:rPr>
        <w:t>doi</w:t>
      </w:r>
      <w:proofErr w:type="spellEnd"/>
      <w:proofErr w:type="gramEnd"/>
      <w:r w:rsidRPr="00DD291C">
        <w:rPr>
          <w:sz w:val="24"/>
          <w:szCs w:val="24"/>
        </w:rPr>
        <w:t>: 10.5380/rf.v37i2.8656</w:t>
      </w:r>
    </w:p>
    <w:p w14:paraId="40A7743D" w14:textId="77777777" w:rsidR="00DD291C" w:rsidRPr="00DD291C" w:rsidRDefault="00DD291C" w:rsidP="00DD291C">
      <w:pPr>
        <w:shd w:val="clear" w:color="auto" w:fill="FFFFFF"/>
        <w:rPr>
          <w:sz w:val="24"/>
          <w:szCs w:val="24"/>
        </w:rPr>
      </w:pPr>
    </w:p>
    <w:p w14:paraId="73231901" w14:textId="77777777" w:rsidR="00DD291C" w:rsidRPr="00DD291C" w:rsidRDefault="00DD291C" w:rsidP="00DD291C">
      <w:pPr>
        <w:shd w:val="clear" w:color="auto" w:fill="FFFFFF"/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RUSCHEL, A. R.; BARBOSA, L. M.; VIEIRA, S. B.; SIVIERO, M. A.; SANTO, J. K. M. E; SANTOS, J. C. </w:t>
      </w:r>
      <w:r w:rsidRPr="00DD291C">
        <w:rPr>
          <w:rFonts w:eastAsia="SimSun"/>
          <w:b/>
          <w:sz w:val="24"/>
          <w:szCs w:val="24"/>
        </w:rPr>
        <w:t>Zanthoxylum ekmanii espécie florestal promissora: Estudo de caso em uma Floresta Explorada, no município de Dom Eliseu, Pará</w:t>
      </w:r>
      <w:r w:rsidRPr="00DD291C">
        <w:rPr>
          <w:rFonts w:eastAsia="SimSun"/>
          <w:sz w:val="24"/>
          <w:szCs w:val="24"/>
        </w:rPr>
        <w:t>, 2015.</w:t>
      </w:r>
    </w:p>
    <w:p w14:paraId="24833B31" w14:textId="77777777" w:rsidR="00DD291C" w:rsidRPr="00DD291C" w:rsidRDefault="00DD291C" w:rsidP="00DD291C">
      <w:pPr>
        <w:shd w:val="clear" w:color="auto" w:fill="FFFFFF"/>
        <w:rPr>
          <w:rFonts w:eastAsia="SimSun"/>
          <w:sz w:val="24"/>
          <w:szCs w:val="24"/>
        </w:rPr>
      </w:pPr>
    </w:p>
    <w:p w14:paraId="59829C25" w14:textId="02F523EC" w:rsidR="00DD291C" w:rsidRPr="0021794F" w:rsidRDefault="00DD291C" w:rsidP="00DD291C">
      <w:pPr>
        <w:rPr>
          <w:rFonts w:eastAsia="SimSun"/>
          <w:sz w:val="24"/>
          <w:szCs w:val="24"/>
          <w:lang w:val="en-US"/>
        </w:rPr>
      </w:pPr>
      <w:r w:rsidRPr="00DD291C">
        <w:rPr>
          <w:rFonts w:eastAsia="SimSun"/>
          <w:sz w:val="24"/>
          <w:szCs w:val="24"/>
        </w:rPr>
        <w:t xml:space="preserve">SANQUETTA, C. R.; MATTEI, E. </w:t>
      </w:r>
      <w:r w:rsidRPr="00DD291C">
        <w:rPr>
          <w:rFonts w:eastAsia="SimSun"/>
          <w:b/>
          <w:sz w:val="24"/>
          <w:szCs w:val="24"/>
        </w:rPr>
        <w:t>Perspectiva de recuperação e manejo sustentável das Florestas de Araucária</w:t>
      </w:r>
      <w:r w:rsidRPr="00DD291C">
        <w:rPr>
          <w:rFonts w:eastAsia="SimSun"/>
          <w:sz w:val="24"/>
          <w:szCs w:val="24"/>
        </w:rPr>
        <w:t xml:space="preserve">. </w:t>
      </w:r>
      <w:r w:rsidRPr="0021794F">
        <w:rPr>
          <w:rFonts w:eastAsia="SimSun"/>
          <w:sz w:val="24"/>
          <w:szCs w:val="24"/>
          <w:lang w:val="en-US"/>
        </w:rPr>
        <w:t xml:space="preserve">1.ed. Curitiba: Multi-Graphic </w:t>
      </w:r>
      <w:proofErr w:type="spellStart"/>
      <w:r w:rsidRPr="0021794F">
        <w:rPr>
          <w:rFonts w:eastAsia="SimSun"/>
          <w:sz w:val="24"/>
          <w:szCs w:val="24"/>
          <w:lang w:val="en-US"/>
        </w:rPr>
        <w:t>Gráfica</w:t>
      </w:r>
      <w:proofErr w:type="spellEnd"/>
      <w:r w:rsidRPr="0021794F">
        <w:rPr>
          <w:rFonts w:eastAsia="SimSun"/>
          <w:sz w:val="24"/>
          <w:szCs w:val="24"/>
          <w:lang w:val="en-US"/>
        </w:rPr>
        <w:t xml:space="preserve"> e </w:t>
      </w:r>
      <w:proofErr w:type="spellStart"/>
      <w:r w:rsidRPr="0021794F">
        <w:rPr>
          <w:rFonts w:eastAsia="SimSun"/>
          <w:sz w:val="24"/>
          <w:szCs w:val="24"/>
          <w:lang w:val="en-US"/>
        </w:rPr>
        <w:t>Editora</w:t>
      </w:r>
      <w:proofErr w:type="spellEnd"/>
      <w:r w:rsidRPr="0021794F">
        <w:rPr>
          <w:rFonts w:eastAsia="SimSun"/>
          <w:sz w:val="24"/>
          <w:szCs w:val="24"/>
          <w:lang w:val="en-US"/>
        </w:rPr>
        <w:t>, p. 264, 2006.</w:t>
      </w:r>
    </w:p>
    <w:p w14:paraId="116FCDD5" w14:textId="09382798" w:rsidR="006F1586" w:rsidRPr="0021794F" w:rsidRDefault="006F1586" w:rsidP="00DD291C">
      <w:pPr>
        <w:rPr>
          <w:rFonts w:eastAsia="SimSun"/>
          <w:sz w:val="24"/>
          <w:szCs w:val="24"/>
          <w:lang w:val="en-US"/>
        </w:rPr>
      </w:pPr>
    </w:p>
    <w:p w14:paraId="02AD0D03" w14:textId="731273E2" w:rsidR="00DD291C" w:rsidRPr="0021794F" w:rsidRDefault="008F5346" w:rsidP="00AA1ED2">
      <w:pPr>
        <w:autoSpaceDE w:val="0"/>
        <w:autoSpaceDN w:val="0"/>
        <w:adjustRightInd w:val="0"/>
        <w:rPr>
          <w:rFonts w:eastAsia="SimSun"/>
          <w:sz w:val="24"/>
          <w:szCs w:val="24"/>
          <w:lang w:val="en-US"/>
        </w:rPr>
      </w:pPr>
      <w:r w:rsidRPr="008302B7">
        <w:rPr>
          <w:color w:val="000000"/>
          <w:sz w:val="24"/>
          <w:szCs w:val="24"/>
          <w:lang w:val="en-US"/>
        </w:rPr>
        <w:t>SCHWARTZ</w:t>
      </w:r>
      <w:r w:rsidR="006F1586" w:rsidRPr="0021794F">
        <w:rPr>
          <w:sz w:val="24"/>
          <w:szCs w:val="24"/>
          <w:lang w:val="en-US"/>
        </w:rPr>
        <w:t xml:space="preserve">, G.; PEREIRA, P. C. G.; SIVIERO, M. A.; PEREIRA, J. F.; RUSCHEL, A. R.; YARED, J. A. G. Enrichment planting in logging gaps with </w:t>
      </w:r>
      <w:proofErr w:type="spellStart"/>
      <w:r w:rsidR="006F1586" w:rsidRPr="0021794F">
        <w:rPr>
          <w:i/>
          <w:sz w:val="24"/>
          <w:szCs w:val="24"/>
          <w:lang w:val="en-US"/>
        </w:rPr>
        <w:t>Schizolobium</w:t>
      </w:r>
      <w:proofErr w:type="spellEnd"/>
      <w:r w:rsidR="006F1586" w:rsidRPr="0021794F">
        <w:rPr>
          <w:i/>
          <w:sz w:val="24"/>
          <w:szCs w:val="24"/>
          <w:lang w:val="en-US"/>
        </w:rPr>
        <w:t xml:space="preserve"> </w:t>
      </w:r>
      <w:proofErr w:type="spellStart"/>
      <w:r w:rsidR="006F1586" w:rsidRPr="0021794F">
        <w:rPr>
          <w:i/>
          <w:sz w:val="24"/>
          <w:szCs w:val="24"/>
          <w:lang w:val="en-US"/>
        </w:rPr>
        <w:t>parahyba</w:t>
      </w:r>
      <w:proofErr w:type="spellEnd"/>
      <w:r w:rsidR="006F1586" w:rsidRPr="0021794F">
        <w:rPr>
          <w:sz w:val="24"/>
          <w:szCs w:val="24"/>
          <w:lang w:val="en-US"/>
        </w:rPr>
        <w:t xml:space="preserve"> var. </w:t>
      </w:r>
      <w:proofErr w:type="spellStart"/>
      <w:r w:rsidR="006F1586" w:rsidRPr="0021794F">
        <w:rPr>
          <w:i/>
          <w:sz w:val="24"/>
          <w:szCs w:val="24"/>
          <w:lang w:val="en-US"/>
        </w:rPr>
        <w:t>amazonicum</w:t>
      </w:r>
      <w:proofErr w:type="spellEnd"/>
      <w:r w:rsidR="006F1586" w:rsidRPr="0021794F">
        <w:rPr>
          <w:sz w:val="24"/>
          <w:szCs w:val="24"/>
          <w:lang w:val="en-US"/>
        </w:rPr>
        <w:t xml:space="preserve"> (Huber ex Ducke) </w:t>
      </w:r>
      <w:proofErr w:type="spellStart"/>
      <w:r w:rsidR="006F1586" w:rsidRPr="0021794F">
        <w:rPr>
          <w:sz w:val="24"/>
          <w:szCs w:val="24"/>
          <w:lang w:val="en-US"/>
        </w:rPr>
        <w:t>Barneby</w:t>
      </w:r>
      <w:proofErr w:type="spellEnd"/>
      <w:r w:rsidR="006F1586" w:rsidRPr="0021794F">
        <w:rPr>
          <w:sz w:val="24"/>
          <w:szCs w:val="24"/>
          <w:lang w:val="en-US"/>
        </w:rPr>
        <w:t>: A financially profitable alternative for degraded tropical forests in the Amazon, 2017.</w:t>
      </w:r>
    </w:p>
    <w:p w14:paraId="7483B2A3" w14:textId="77777777" w:rsidR="00DD291C" w:rsidRPr="0021794F" w:rsidRDefault="00DD291C" w:rsidP="00DD291C">
      <w:pPr>
        <w:rPr>
          <w:rFonts w:eastAsia="SimSun"/>
          <w:sz w:val="24"/>
          <w:szCs w:val="24"/>
          <w:lang w:val="en-US"/>
        </w:rPr>
      </w:pPr>
    </w:p>
    <w:p w14:paraId="16E7AB3F" w14:textId="250C51A3" w:rsidR="00DD291C" w:rsidRDefault="001023B4" w:rsidP="00735E43">
      <w:pPr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SCOLFORO, J. R. S.; MELLO, J. M. </w:t>
      </w:r>
      <w:r w:rsidR="00DD291C" w:rsidRPr="00DD291C">
        <w:rPr>
          <w:rFonts w:eastAsia="SimSun"/>
          <w:b/>
          <w:bCs/>
          <w:sz w:val="24"/>
          <w:szCs w:val="24"/>
        </w:rPr>
        <w:t>Inventário florestal</w:t>
      </w:r>
      <w:r w:rsidR="00DD291C" w:rsidRPr="00DD291C">
        <w:rPr>
          <w:rFonts w:eastAsia="SimSun"/>
          <w:sz w:val="24"/>
          <w:szCs w:val="24"/>
        </w:rPr>
        <w:t>. Lavras: UFLA/FAEPE, p. 341, 1997.</w:t>
      </w:r>
    </w:p>
    <w:p w14:paraId="5637EE27" w14:textId="3AB82B87" w:rsidR="00F17A3F" w:rsidRDefault="00F17A3F" w:rsidP="00DD291C">
      <w:pPr>
        <w:tabs>
          <w:tab w:val="left" w:pos="709"/>
        </w:tabs>
        <w:rPr>
          <w:rFonts w:eastAsia="SimSun"/>
          <w:sz w:val="24"/>
          <w:szCs w:val="24"/>
        </w:rPr>
      </w:pPr>
    </w:p>
    <w:p w14:paraId="466AC052" w14:textId="7671E097" w:rsidR="00F17A3F" w:rsidRPr="00DD291C" w:rsidRDefault="00F17A3F" w:rsidP="00DD291C">
      <w:pPr>
        <w:tabs>
          <w:tab w:val="left" w:pos="709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SEMA</w:t>
      </w:r>
      <w:r w:rsidR="003346E6">
        <w:rPr>
          <w:rFonts w:eastAsia="SimSun"/>
          <w:sz w:val="24"/>
          <w:szCs w:val="24"/>
        </w:rPr>
        <w:t>S</w:t>
      </w:r>
      <w:r>
        <w:rPr>
          <w:rFonts w:eastAsia="SimSun"/>
          <w:sz w:val="24"/>
          <w:szCs w:val="24"/>
        </w:rPr>
        <w:t xml:space="preserve"> (Secretaria de Estado de Meio Ambiente e sustentabilidade). Beneficiamento e comércio de produtos</w:t>
      </w:r>
      <w:r w:rsidR="003346E6">
        <w:rPr>
          <w:rFonts w:eastAsia="SimSun"/>
          <w:sz w:val="24"/>
          <w:szCs w:val="24"/>
        </w:rPr>
        <w:t xml:space="preserve"> de</w:t>
      </w:r>
      <w:r>
        <w:rPr>
          <w:rFonts w:eastAsia="SimSun"/>
          <w:sz w:val="24"/>
          <w:szCs w:val="24"/>
        </w:rPr>
        <w:t xml:space="preserve"> madeira por espécies. </w:t>
      </w:r>
      <w:r w:rsidR="0021794F">
        <w:rPr>
          <w:rFonts w:eastAsia="SimSun"/>
          <w:sz w:val="24"/>
          <w:szCs w:val="24"/>
        </w:rPr>
        <w:t>Período de 1-1-2014</w:t>
      </w:r>
      <w:r w:rsidR="001907A5">
        <w:rPr>
          <w:rFonts w:eastAsia="SimSun"/>
          <w:sz w:val="24"/>
          <w:szCs w:val="24"/>
        </w:rPr>
        <w:t xml:space="preserve"> até 31-12-2014, </w:t>
      </w:r>
      <w:r>
        <w:rPr>
          <w:rFonts w:eastAsia="SimSun"/>
          <w:sz w:val="24"/>
          <w:szCs w:val="24"/>
        </w:rPr>
        <w:t>Belém - Pa, Brasil,</w:t>
      </w:r>
      <w:r w:rsidR="001907A5">
        <w:rPr>
          <w:rFonts w:eastAsia="SimSun"/>
          <w:sz w:val="24"/>
          <w:szCs w:val="24"/>
        </w:rPr>
        <w:t xml:space="preserve"> p. 122, 2015.</w:t>
      </w:r>
    </w:p>
    <w:p w14:paraId="50A15160" w14:textId="77777777" w:rsidR="00DD291C" w:rsidRPr="00DD291C" w:rsidRDefault="00DD291C" w:rsidP="00DD291C">
      <w:pPr>
        <w:tabs>
          <w:tab w:val="left" w:pos="709"/>
        </w:tabs>
        <w:rPr>
          <w:rFonts w:eastAsia="SimSun"/>
          <w:sz w:val="24"/>
          <w:szCs w:val="24"/>
        </w:rPr>
      </w:pPr>
    </w:p>
    <w:p w14:paraId="57BBA046" w14:textId="77777777" w:rsidR="00DD291C" w:rsidRPr="00DD291C" w:rsidRDefault="00DD291C" w:rsidP="00DD291C">
      <w:pPr>
        <w:tabs>
          <w:tab w:val="left" w:pos="709"/>
        </w:tabs>
        <w:rPr>
          <w:rFonts w:eastAsia="SimSun"/>
          <w:sz w:val="24"/>
          <w:szCs w:val="24"/>
        </w:rPr>
      </w:pPr>
      <w:r w:rsidRPr="00DD291C">
        <w:rPr>
          <w:rFonts w:eastAsia="SimSun"/>
          <w:sz w:val="24"/>
          <w:szCs w:val="24"/>
        </w:rPr>
        <w:t xml:space="preserve">TUYOSHI, R. H.; SILVA, U. C.; AMARAL, S. M., FIGUEIREDO, A. F. </w:t>
      </w:r>
      <w:r w:rsidRPr="00DD291C">
        <w:rPr>
          <w:rFonts w:eastAsia="SimSun"/>
          <w:b/>
          <w:iCs/>
          <w:sz w:val="24"/>
          <w:szCs w:val="24"/>
        </w:rPr>
        <w:t>Um Novo Método</w:t>
      </w:r>
      <w:r w:rsidRPr="00DD291C">
        <w:rPr>
          <w:rFonts w:eastAsia="SimSun"/>
          <w:b/>
          <w:sz w:val="24"/>
          <w:szCs w:val="24"/>
        </w:rPr>
        <w:t xml:space="preserve"> </w:t>
      </w:r>
      <w:r w:rsidRPr="00DD291C">
        <w:rPr>
          <w:rFonts w:eastAsia="SimSun"/>
          <w:b/>
          <w:iCs/>
          <w:sz w:val="24"/>
          <w:szCs w:val="24"/>
        </w:rPr>
        <w:t>para Agrupar Dados em Classes com</w:t>
      </w:r>
      <w:r w:rsidRPr="00DD291C">
        <w:rPr>
          <w:rFonts w:eastAsia="SimSun"/>
          <w:b/>
          <w:sz w:val="24"/>
          <w:szCs w:val="24"/>
        </w:rPr>
        <w:t xml:space="preserve"> </w:t>
      </w:r>
      <w:r w:rsidRPr="00DD291C">
        <w:rPr>
          <w:rFonts w:eastAsia="SimSun"/>
          <w:b/>
          <w:iCs/>
          <w:sz w:val="24"/>
          <w:szCs w:val="24"/>
        </w:rPr>
        <w:t>Amplitudes Variáveis</w:t>
      </w:r>
      <w:r w:rsidRPr="00DD291C">
        <w:rPr>
          <w:rFonts w:eastAsia="SimSun"/>
          <w:sz w:val="24"/>
          <w:szCs w:val="24"/>
        </w:rPr>
        <w:t>. 2009.</w:t>
      </w:r>
    </w:p>
    <w:p w14:paraId="54007372" w14:textId="77777777" w:rsidR="00DD291C" w:rsidRPr="00DD291C" w:rsidRDefault="00DD291C" w:rsidP="00DD291C">
      <w:pPr>
        <w:jc w:val="both"/>
        <w:rPr>
          <w:sz w:val="24"/>
          <w:szCs w:val="24"/>
        </w:rPr>
      </w:pPr>
    </w:p>
    <w:p w14:paraId="3059CA56" w14:textId="77777777" w:rsidR="009B0125" w:rsidRPr="0012462E" w:rsidRDefault="009B0125" w:rsidP="0012462E"/>
    <w:sectPr w:rsidR="009B0125" w:rsidRPr="0012462E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29368" w16cid:durableId="1F968DC7"/>
  <w16cid:commentId w16cid:paraId="6A68876D" w16cid:durableId="1F968A22"/>
  <w16cid:commentId w16cid:paraId="551AC4B5" w16cid:durableId="1F96895A"/>
  <w16cid:commentId w16cid:paraId="6EBEF899" w16cid:durableId="1F968A42"/>
  <w16cid:commentId w16cid:paraId="0C9DF9E0" w16cid:durableId="1F968AA0"/>
  <w16cid:commentId w16cid:paraId="421390B0" w16cid:durableId="1F968ABC"/>
  <w16cid:commentId w16cid:paraId="603765A4" w16cid:durableId="1F968BAD"/>
  <w16cid:commentId w16cid:paraId="0B0536BE" w16cid:durableId="1F968BDF"/>
  <w16cid:commentId w16cid:paraId="763C36E4" w16cid:durableId="1F968C48"/>
  <w16cid:commentId w16cid:paraId="75E1A682" w16cid:durableId="1F968C64"/>
  <w16cid:commentId w16cid:paraId="5DBA1C37" w16cid:durableId="1F968C78"/>
  <w16cid:commentId w16cid:paraId="123B6EE4" w16cid:durableId="1F968D1D"/>
  <w16cid:commentId w16cid:paraId="2E53D63C" w16cid:durableId="1F968D43"/>
  <w16cid:commentId w16cid:paraId="6D269733" w16cid:durableId="1F968D52"/>
  <w16cid:commentId w16cid:paraId="5E564382" w16cid:durableId="1F968D69"/>
  <w16cid:commentId w16cid:paraId="039FFF7E" w16cid:durableId="1F968D5C"/>
  <w16cid:commentId w16cid:paraId="7A9A6059" w16cid:durableId="1F9695F1"/>
  <w16cid:commentId w16cid:paraId="085E0178" w16cid:durableId="1F9696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38B8" w14:textId="77777777" w:rsidR="00E75D24" w:rsidRDefault="00E75D24" w:rsidP="00392012">
      <w:r>
        <w:separator/>
      </w:r>
    </w:p>
  </w:endnote>
  <w:endnote w:type="continuationSeparator" w:id="0">
    <w:p w14:paraId="17143919" w14:textId="77777777" w:rsidR="00E75D24" w:rsidRDefault="00E75D2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1CE3" w14:textId="77777777" w:rsidR="003A12A1" w:rsidRPr="00B84589" w:rsidRDefault="003A12A1" w:rsidP="00B84589">
    <w:pPr>
      <w:pStyle w:val="Rodap"/>
    </w:pPr>
    <w:r>
      <w:rPr>
        <w:noProof/>
      </w:rPr>
      <w:drawing>
        <wp:inline distT="0" distB="0" distL="0" distR="0" wp14:anchorId="56271F4E" wp14:editId="35E8CF33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8B23" w14:textId="77777777" w:rsidR="00E75D24" w:rsidRDefault="00E75D24" w:rsidP="00392012">
      <w:r>
        <w:separator/>
      </w:r>
    </w:p>
  </w:footnote>
  <w:footnote w:type="continuationSeparator" w:id="0">
    <w:p w14:paraId="59C002EE" w14:textId="77777777" w:rsidR="00E75D24" w:rsidRDefault="00E75D2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97E4" w14:textId="77777777" w:rsidR="003A12A1" w:rsidRDefault="003A12A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975849" wp14:editId="1122C549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1A587" w14:textId="77777777" w:rsidR="003A12A1" w:rsidRPr="001001BB" w:rsidRDefault="003A12A1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20180942" w14:textId="77777777" w:rsidR="003A12A1" w:rsidRPr="001001BB" w:rsidRDefault="003A12A1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5527DAF4" w14:textId="77777777" w:rsidR="003A12A1" w:rsidRPr="00206969" w:rsidRDefault="003A12A1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7584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3F61A587" w14:textId="77777777" w:rsidR="003A12A1" w:rsidRPr="001001BB" w:rsidRDefault="003A12A1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14:paraId="20180942" w14:textId="77777777" w:rsidR="003A12A1" w:rsidRPr="001001BB" w:rsidRDefault="003A12A1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5527DAF4" w14:textId="77777777" w:rsidR="003A12A1" w:rsidRPr="00206969" w:rsidRDefault="003A12A1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DF7300C" wp14:editId="0EFB34D9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E0224" w14:textId="77777777" w:rsidR="003A12A1" w:rsidRDefault="003A12A1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0A496C29" wp14:editId="3DC71CB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F7300C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40EE0224" w14:textId="77777777" w:rsidR="003A12A1" w:rsidRDefault="003A12A1">
                    <w:r w:rsidRPr="004C583D">
                      <w:rPr>
                        <w:noProof/>
                      </w:rPr>
                      <w:drawing>
                        <wp:inline distT="0" distB="0" distL="0" distR="0" wp14:anchorId="0A496C29" wp14:editId="3DC71CB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461CE3B7" w14:textId="77777777" w:rsidR="003A12A1" w:rsidRDefault="003A12A1" w:rsidP="0095437F">
    <w:pPr>
      <w:pStyle w:val="Cabealho"/>
      <w:pBdr>
        <w:bottom w:val="single" w:sz="4" w:space="1" w:color="auto"/>
      </w:pBdr>
      <w:rPr>
        <w:noProof/>
      </w:rPr>
    </w:pPr>
  </w:p>
  <w:p w14:paraId="5D58ADCF" w14:textId="77777777" w:rsidR="003A12A1" w:rsidRDefault="003A12A1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0350"/>
    <w:rsid w:val="0001355C"/>
    <w:rsid w:val="0001694B"/>
    <w:rsid w:val="00022B02"/>
    <w:rsid w:val="00027B72"/>
    <w:rsid w:val="00027D99"/>
    <w:rsid w:val="000309C2"/>
    <w:rsid w:val="0003478E"/>
    <w:rsid w:val="00044ABE"/>
    <w:rsid w:val="00044DB3"/>
    <w:rsid w:val="00046262"/>
    <w:rsid w:val="0004678B"/>
    <w:rsid w:val="00057BD2"/>
    <w:rsid w:val="00076CED"/>
    <w:rsid w:val="00081A46"/>
    <w:rsid w:val="00094A6D"/>
    <w:rsid w:val="00096A53"/>
    <w:rsid w:val="000B0814"/>
    <w:rsid w:val="000B0BC3"/>
    <w:rsid w:val="000B7A4B"/>
    <w:rsid w:val="000C5C6C"/>
    <w:rsid w:val="000D3318"/>
    <w:rsid w:val="000F7B8F"/>
    <w:rsid w:val="0010139A"/>
    <w:rsid w:val="001023B4"/>
    <w:rsid w:val="00105DEE"/>
    <w:rsid w:val="00114111"/>
    <w:rsid w:val="001179C2"/>
    <w:rsid w:val="00121F29"/>
    <w:rsid w:val="0012346F"/>
    <w:rsid w:val="0012462E"/>
    <w:rsid w:val="0012613B"/>
    <w:rsid w:val="00145203"/>
    <w:rsid w:val="001603DD"/>
    <w:rsid w:val="00160D2E"/>
    <w:rsid w:val="00176AD9"/>
    <w:rsid w:val="001809DA"/>
    <w:rsid w:val="001907A5"/>
    <w:rsid w:val="00195E0E"/>
    <w:rsid w:val="00196F2E"/>
    <w:rsid w:val="001B1308"/>
    <w:rsid w:val="001B3370"/>
    <w:rsid w:val="001B6E63"/>
    <w:rsid w:val="001C4454"/>
    <w:rsid w:val="001C7011"/>
    <w:rsid w:val="001C79FB"/>
    <w:rsid w:val="001D17CD"/>
    <w:rsid w:val="001E7129"/>
    <w:rsid w:val="001F2B3F"/>
    <w:rsid w:val="001F71AC"/>
    <w:rsid w:val="00202A94"/>
    <w:rsid w:val="00206969"/>
    <w:rsid w:val="002076EF"/>
    <w:rsid w:val="0021794F"/>
    <w:rsid w:val="0022513C"/>
    <w:rsid w:val="0024156F"/>
    <w:rsid w:val="0024285C"/>
    <w:rsid w:val="00253593"/>
    <w:rsid w:val="00253D7B"/>
    <w:rsid w:val="002608CC"/>
    <w:rsid w:val="00261E93"/>
    <w:rsid w:val="00270F09"/>
    <w:rsid w:val="002710B1"/>
    <w:rsid w:val="002729E4"/>
    <w:rsid w:val="00273A6E"/>
    <w:rsid w:val="002841D6"/>
    <w:rsid w:val="0029123D"/>
    <w:rsid w:val="002A456B"/>
    <w:rsid w:val="002B1E01"/>
    <w:rsid w:val="002B4C8E"/>
    <w:rsid w:val="002C04FA"/>
    <w:rsid w:val="002C3F9C"/>
    <w:rsid w:val="002E46BB"/>
    <w:rsid w:val="002F114A"/>
    <w:rsid w:val="002F2604"/>
    <w:rsid w:val="002F37D6"/>
    <w:rsid w:val="00314A42"/>
    <w:rsid w:val="0032043A"/>
    <w:rsid w:val="00326FB2"/>
    <w:rsid w:val="00330AA8"/>
    <w:rsid w:val="0033248E"/>
    <w:rsid w:val="003337F6"/>
    <w:rsid w:val="003346E6"/>
    <w:rsid w:val="00334ABB"/>
    <w:rsid w:val="00342745"/>
    <w:rsid w:val="0034474C"/>
    <w:rsid w:val="003479F7"/>
    <w:rsid w:val="00353EEF"/>
    <w:rsid w:val="00372163"/>
    <w:rsid w:val="00376193"/>
    <w:rsid w:val="00376338"/>
    <w:rsid w:val="00392012"/>
    <w:rsid w:val="003926EB"/>
    <w:rsid w:val="0039544E"/>
    <w:rsid w:val="00396EAA"/>
    <w:rsid w:val="003A12A1"/>
    <w:rsid w:val="003A4B26"/>
    <w:rsid w:val="003B02AD"/>
    <w:rsid w:val="003B090B"/>
    <w:rsid w:val="003C1DBE"/>
    <w:rsid w:val="003C5A93"/>
    <w:rsid w:val="003D0994"/>
    <w:rsid w:val="003E1ADB"/>
    <w:rsid w:val="004006AC"/>
    <w:rsid w:val="00400D61"/>
    <w:rsid w:val="00416F87"/>
    <w:rsid w:val="0042057D"/>
    <w:rsid w:val="00422D99"/>
    <w:rsid w:val="00426873"/>
    <w:rsid w:val="00432206"/>
    <w:rsid w:val="00436326"/>
    <w:rsid w:val="004365F3"/>
    <w:rsid w:val="00440E4F"/>
    <w:rsid w:val="00441148"/>
    <w:rsid w:val="00461CEF"/>
    <w:rsid w:val="004709D3"/>
    <w:rsid w:val="004776B0"/>
    <w:rsid w:val="004777CC"/>
    <w:rsid w:val="00477BB2"/>
    <w:rsid w:val="00487872"/>
    <w:rsid w:val="00494202"/>
    <w:rsid w:val="00494889"/>
    <w:rsid w:val="00497F38"/>
    <w:rsid w:val="004B03F7"/>
    <w:rsid w:val="004B6A4F"/>
    <w:rsid w:val="004C408C"/>
    <w:rsid w:val="004C52D5"/>
    <w:rsid w:val="004C746A"/>
    <w:rsid w:val="004C78E6"/>
    <w:rsid w:val="004E1ECD"/>
    <w:rsid w:val="004E2761"/>
    <w:rsid w:val="004E63E5"/>
    <w:rsid w:val="004F3394"/>
    <w:rsid w:val="004F6258"/>
    <w:rsid w:val="004F6696"/>
    <w:rsid w:val="00502C7E"/>
    <w:rsid w:val="00503CFB"/>
    <w:rsid w:val="00511E8F"/>
    <w:rsid w:val="005159DA"/>
    <w:rsid w:val="005225D5"/>
    <w:rsid w:val="00525A02"/>
    <w:rsid w:val="0054034A"/>
    <w:rsid w:val="00555769"/>
    <w:rsid w:val="0056660E"/>
    <w:rsid w:val="00570474"/>
    <w:rsid w:val="00570B3C"/>
    <w:rsid w:val="00573FE7"/>
    <w:rsid w:val="005747DE"/>
    <w:rsid w:val="005A05F7"/>
    <w:rsid w:val="005A5568"/>
    <w:rsid w:val="005B30A0"/>
    <w:rsid w:val="005B60E5"/>
    <w:rsid w:val="005C4180"/>
    <w:rsid w:val="005C6204"/>
    <w:rsid w:val="005D2E9E"/>
    <w:rsid w:val="005D71A6"/>
    <w:rsid w:val="005E55CC"/>
    <w:rsid w:val="005E56B3"/>
    <w:rsid w:val="005E616C"/>
    <w:rsid w:val="005E6909"/>
    <w:rsid w:val="005F12F1"/>
    <w:rsid w:val="00606AF1"/>
    <w:rsid w:val="00610CCB"/>
    <w:rsid w:val="00612C4A"/>
    <w:rsid w:val="00612D68"/>
    <w:rsid w:val="00614FB7"/>
    <w:rsid w:val="0061672B"/>
    <w:rsid w:val="00616DDB"/>
    <w:rsid w:val="006174A9"/>
    <w:rsid w:val="006201D8"/>
    <w:rsid w:val="006249FB"/>
    <w:rsid w:val="00631E5E"/>
    <w:rsid w:val="00632AD1"/>
    <w:rsid w:val="006447D9"/>
    <w:rsid w:val="0066022A"/>
    <w:rsid w:val="00675830"/>
    <w:rsid w:val="00676868"/>
    <w:rsid w:val="00680497"/>
    <w:rsid w:val="00685532"/>
    <w:rsid w:val="0068555A"/>
    <w:rsid w:val="00686D87"/>
    <w:rsid w:val="006A0FA8"/>
    <w:rsid w:val="006B10D8"/>
    <w:rsid w:val="006C4136"/>
    <w:rsid w:val="006C5635"/>
    <w:rsid w:val="006D43B5"/>
    <w:rsid w:val="006D5D6D"/>
    <w:rsid w:val="006E01AF"/>
    <w:rsid w:val="006E0CC0"/>
    <w:rsid w:val="006E1CC7"/>
    <w:rsid w:val="006E580E"/>
    <w:rsid w:val="006E714F"/>
    <w:rsid w:val="006F1586"/>
    <w:rsid w:val="006F50F3"/>
    <w:rsid w:val="006F527A"/>
    <w:rsid w:val="006F7AE3"/>
    <w:rsid w:val="00707D9F"/>
    <w:rsid w:val="00714938"/>
    <w:rsid w:val="00715A5D"/>
    <w:rsid w:val="007218EB"/>
    <w:rsid w:val="00735E43"/>
    <w:rsid w:val="007422FB"/>
    <w:rsid w:val="007452FD"/>
    <w:rsid w:val="0075105B"/>
    <w:rsid w:val="0075682B"/>
    <w:rsid w:val="00760822"/>
    <w:rsid w:val="0076407B"/>
    <w:rsid w:val="00780112"/>
    <w:rsid w:val="007852CF"/>
    <w:rsid w:val="00790BAB"/>
    <w:rsid w:val="00795795"/>
    <w:rsid w:val="0079757D"/>
    <w:rsid w:val="007A342B"/>
    <w:rsid w:val="007A411C"/>
    <w:rsid w:val="007B1EDB"/>
    <w:rsid w:val="007B2B34"/>
    <w:rsid w:val="007C75EE"/>
    <w:rsid w:val="007D15C8"/>
    <w:rsid w:val="007D2CCF"/>
    <w:rsid w:val="007D58F5"/>
    <w:rsid w:val="007E40D8"/>
    <w:rsid w:val="007E45F4"/>
    <w:rsid w:val="007F1382"/>
    <w:rsid w:val="00802659"/>
    <w:rsid w:val="008030DD"/>
    <w:rsid w:val="008054DF"/>
    <w:rsid w:val="00811FDD"/>
    <w:rsid w:val="00814223"/>
    <w:rsid w:val="008302B7"/>
    <w:rsid w:val="0083077E"/>
    <w:rsid w:val="00832C61"/>
    <w:rsid w:val="00834BE9"/>
    <w:rsid w:val="008361D0"/>
    <w:rsid w:val="00842723"/>
    <w:rsid w:val="00852788"/>
    <w:rsid w:val="00856747"/>
    <w:rsid w:val="00863A0D"/>
    <w:rsid w:val="008644EF"/>
    <w:rsid w:val="0087290F"/>
    <w:rsid w:val="00877402"/>
    <w:rsid w:val="008821A3"/>
    <w:rsid w:val="008845C5"/>
    <w:rsid w:val="008869F8"/>
    <w:rsid w:val="008922FD"/>
    <w:rsid w:val="008A37E5"/>
    <w:rsid w:val="008B39B8"/>
    <w:rsid w:val="008C199F"/>
    <w:rsid w:val="008D70E2"/>
    <w:rsid w:val="008F146A"/>
    <w:rsid w:val="008F19B2"/>
    <w:rsid w:val="008F5346"/>
    <w:rsid w:val="00906041"/>
    <w:rsid w:val="00920C2F"/>
    <w:rsid w:val="009251F8"/>
    <w:rsid w:val="009331C3"/>
    <w:rsid w:val="009365AA"/>
    <w:rsid w:val="009445FC"/>
    <w:rsid w:val="0095437F"/>
    <w:rsid w:val="00961709"/>
    <w:rsid w:val="0096413F"/>
    <w:rsid w:val="00971FAE"/>
    <w:rsid w:val="0097264E"/>
    <w:rsid w:val="009929AB"/>
    <w:rsid w:val="009962E6"/>
    <w:rsid w:val="009965FA"/>
    <w:rsid w:val="00997844"/>
    <w:rsid w:val="009A3277"/>
    <w:rsid w:val="009B0125"/>
    <w:rsid w:val="009B173E"/>
    <w:rsid w:val="009C2599"/>
    <w:rsid w:val="009C2962"/>
    <w:rsid w:val="009C407A"/>
    <w:rsid w:val="009D07C8"/>
    <w:rsid w:val="009D5F95"/>
    <w:rsid w:val="009D6FE6"/>
    <w:rsid w:val="009E35B1"/>
    <w:rsid w:val="00A04BA7"/>
    <w:rsid w:val="00A06F59"/>
    <w:rsid w:val="00A126BC"/>
    <w:rsid w:val="00A14A7B"/>
    <w:rsid w:val="00A22AF6"/>
    <w:rsid w:val="00A26486"/>
    <w:rsid w:val="00A3575E"/>
    <w:rsid w:val="00A46535"/>
    <w:rsid w:val="00A522B1"/>
    <w:rsid w:val="00A52542"/>
    <w:rsid w:val="00A57710"/>
    <w:rsid w:val="00A64339"/>
    <w:rsid w:val="00A7425E"/>
    <w:rsid w:val="00A77CA4"/>
    <w:rsid w:val="00A816F0"/>
    <w:rsid w:val="00A908C6"/>
    <w:rsid w:val="00A92240"/>
    <w:rsid w:val="00A9494E"/>
    <w:rsid w:val="00AA1ED2"/>
    <w:rsid w:val="00AA54EF"/>
    <w:rsid w:val="00AB1A20"/>
    <w:rsid w:val="00AB280A"/>
    <w:rsid w:val="00AC1E5C"/>
    <w:rsid w:val="00AD363F"/>
    <w:rsid w:val="00AD67A3"/>
    <w:rsid w:val="00AE0ADE"/>
    <w:rsid w:val="00AF5FA8"/>
    <w:rsid w:val="00B017D0"/>
    <w:rsid w:val="00B03F68"/>
    <w:rsid w:val="00B045CD"/>
    <w:rsid w:val="00B259FE"/>
    <w:rsid w:val="00B32DA6"/>
    <w:rsid w:val="00B40020"/>
    <w:rsid w:val="00B40E85"/>
    <w:rsid w:val="00B4266C"/>
    <w:rsid w:val="00B44F70"/>
    <w:rsid w:val="00B4675F"/>
    <w:rsid w:val="00B47301"/>
    <w:rsid w:val="00B52D13"/>
    <w:rsid w:val="00B55AB2"/>
    <w:rsid w:val="00B57829"/>
    <w:rsid w:val="00B60BDB"/>
    <w:rsid w:val="00B64760"/>
    <w:rsid w:val="00B67515"/>
    <w:rsid w:val="00B7165F"/>
    <w:rsid w:val="00B75FF0"/>
    <w:rsid w:val="00B801C9"/>
    <w:rsid w:val="00B84589"/>
    <w:rsid w:val="00B864F5"/>
    <w:rsid w:val="00BA44E5"/>
    <w:rsid w:val="00BA64A7"/>
    <w:rsid w:val="00BB2377"/>
    <w:rsid w:val="00BB5D54"/>
    <w:rsid w:val="00BB7EC7"/>
    <w:rsid w:val="00BC29A4"/>
    <w:rsid w:val="00BD1847"/>
    <w:rsid w:val="00BD3254"/>
    <w:rsid w:val="00BD3FDA"/>
    <w:rsid w:val="00BE10B2"/>
    <w:rsid w:val="00BE2866"/>
    <w:rsid w:val="00BE3FC7"/>
    <w:rsid w:val="00BE6DF0"/>
    <w:rsid w:val="00BF08DF"/>
    <w:rsid w:val="00BF5246"/>
    <w:rsid w:val="00BF5572"/>
    <w:rsid w:val="00BF7AD6"/>
    <w:rsid w:val="00C02E59"/>
    <w:rsid w:val="00C06158"/>
    <w:rsid w:val="00C100B9"/>
    <w:rsid w:val="00C1360D"/>
    <w:rsid w:val="00C15CD1"/>
    <w:rsid w:val="00C246D1"/>
    <w:rsid w:val="00C3161A"/>
    <w:rsid w:val="00C41918"/>
    <w:rsid w:val="00C46A3C"/>
    <w:rsid w:val="00C5404A"/>
    <w:rsid w:val="00C5530B"/>
    <w:rsid w:val="00C66D8C"/>
    <w:rsid w:val="00C6713E"/>
    <w:rsid w:val="00C70228"/>
    <w:rsid w:val="00C71504"/>
    <w:rsid w:val="00C71785"/>
    <w:rsid w:val="00C72C70"/>
    <w:rsid w:val="00C927D2"/>
    <w:rsid w:val="00CA065D"/>
    <w:rsid w:val="00CA12FF"/>
    <w:rsid w:val="00CA4C06"/>
    <w:rsid w:val="00CA71A9"/>
    <w:rsid w:val="00CB310A"/>
    <w:rsid w:val="00CB4148"/>
    <w:rsid w:val="00CB7D10"/>
    <w:rsid w:val="00CC35C3"/>
    <w:rsid w:val="00CC5C92"/>
    <w:rsid w:val="00CC6814"/>
    <w:rsid w:val="00CC79D3"/>
    <w:rsid w:val="00CD3E3D"/>
    <w:rsid w:val="00CD6E2B"/>
    <w:rsid w:val="00CE23AD"/>
    <w:rsid w:val="00CE45A6"/>
    <w:rsid w:val="00CE4F5C"/>
    <w:rsid w:val="00CE581B"/>
    <w:rsid w:val="00CE5DB9"/>
    <w:rsid w:val="00CF0526"/>
    <w:rsid w:val="00D00707"/>
    <w:rsid w:val="00D0394C"/>
    <w:rsid w:val="00D048E7"/>
    <w:rsid w:val="00D06E3F"/>
    <w:rsid w:val="00D13969"/>
    <w:rsid w:val="00D1725F"/>
    <w:rsid w:val="00D34D39"/>
    <w:rsid w:val="00D40455"/>
    <w:rsid w:val="00D507CA"/>
    <w:rsid w:val="00D51A8E"/>
    <w:rsid w:val="00D55D2D"/>
    <w:rsid w:val="00D66D9D"/>
    <w:rsid w:val="00D7690F"/>
    <w:rsid w:val="00D92CD2"/>
    <w:rsid w:val="00D94CBA"/>
    <w:rsid w:val="00DA0B68"/>
    <w:rsid w:val="00DA38D5"/>
    <w:rsid w:val="00DB1020"/>
    <w:rsid w:val="00DB67E5"/>
    <w:rsid w:val="00DC16A9"/>
    <w:rsid w:val="00DC31F5"/>
    <w:rsid w:val="00DD291C"/>
    <w:rsid w:val="00DD449A"/>
    <w:rsid w:val="00DF4ECA"/>
    <w:rsid w:val="00E03CEC"/>
    <w:rsid w:val="00E05E73"/>
    <w:rsid w:val="00E0707A"/>
    <w:rsid w:val="00E34959"/>
    <w:rsid w:val="00E34F91"/>
    <w:rsid w:val="00E43549"/>
    <w:rsid w:val="00E53DE6"/>
    <w:rsid w:val="00E753BE"/>
    <w:rsid w:val="00E75D24"/>
    <w:rsid w:val="00E76DCA"/>
    <w:rsid w:val="00E84511"/>
    <w:rsid w:val="00E85C97"/>
    <w:rsid w:val="00E96FEC"/>
    <w:rsid w:val="00EA230D"/>
    <w:rsid w:val="00EA6802"/>
    <w:rsid w:val="00EB072C"/>
    <w:rsid w:val="00EB1219"/>
    <w:rsid w:val="00EC434D"/>
    <w:rsid w:val="00EE4602"/>
    <w:rsid w:val="00EE4606"/>
    <w:rsid w:val="00EF1C09"/>
    <w:rsid w:val="00EF273F"/>
    <w:rsid w:val="00EF5A62"/>
    <w:rsid w:val="00F066EA"/>
    <w:rsid w:val="00F06F8F"/>
    <w:rsid w:val="00F13CEB"/>
    <w:rsid w:val="00F17A3F"/>
    <w:rsid w:val="00F253D0"/>
    <w:rsid w:val="00F27C31"/>
    <w:rsid w:val="00F36E41"/>
    <w:rsid w:val="00F43D66"/>
    <w:rsid w:val="00F47276"/>
    <w:rsid w:val="00F5269B"/>
    <w:rsid w:val="00F528A5"/>
    <w:rsid w:val="00F67AA9"/>
    <w:rsid w:val="00F72608"/>
    <w:rsid w:val="00F76C81"/>
    <w:rsid w:val="00F93E1A"/>
    <w:rsid w:val="00FA525B"/>
    <w:rsid w:val="00FA6315"/>
    <w:rsid w:val="00FB6399"/>
    <w:rsid w:val="00FC6436"/>
    <w:rsid w:val="00FD4A35"/>
    <w:rsid w:val="00FE12AD"/>
    <w:rsid w:val="00FE2CCA"/>
    <w:rsid w:val="00FE5968"/>
    <w:rsid w:val="00FE59AC"/>
    <w:rsid w:val="00FF0A2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10D5C87A"/>
  <w15:docId w15:val="{DEBABD4D-4E5D-40F3-A94A-720B356E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table" w:customStyle="1" w:styleId="TabeladeLista21">
    <w:name w:val="Tabela de Lista 21"/>
    <w:basedOn w:val="Tabelanormal"/>
    <w:uiPriority w:val="47"/>
    <w:rsid w:val="006A0FA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f4">
    <w:name w:val="ff4"/>
    <w:basedOn w:val="Fontepargpadro"/>
    <w:rsid w:val="00A04BA7"/>
  </w:style>
  <w:style w:type="character" w:customStyle="1" w:styleId="ff3">
    <w:name w:val="ff3"/>
    <w:basedOn w:val="Fontepargpadro"/>
    <w:rsid w:val="00DD291C"/>
  </w:style>
  <w:style w:type="character" w:styleId="Refdecomentrio">
    <w:name w:val="annotation reference"/>
    <w:basedOn w:val="Fontepargpadro"/>
    <w:uiPriority w:val="99"/>
    <w:semiHidden/>
    <w:unhideWhenUsed/>
    <w:rsid w:val="00566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60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60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60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590/2179-8087.0729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esktop\PROJETO%20ADOTE%20UMA%20ESP&#201;CIE%20LIM&#195;OZINHO\Adote\Base%20Geral%20de%20Dado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00969391629501"/>
          <c:y val="7.0895403277293031E-2"/>
          <c:w val="0.81493591593089831"/>
          <c:h val="0.66031655894162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Planilha1!$B$21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Planilha1!$C$20:$H$20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cat>
          <c:val>
            <c:numRef>
              <c:f>Planilha1!$C$21:$H$21</c:f>
              <c:numCache>
                <c:formatCode>0.00</c:formatCode>
                <c:ptCount val="6"/>
                <c:pt idx="0">
                  <c:v>11.066666666666666</c:v>
                </c:pt>
                <c:pt idx="1">
                  <c:v>3.5999999999999996</c:v>
                </c:pt>
                <c:pt idx="2">
                  <c:v>2.5333333333333332</c:v>
                </c:pt>
                <c:pt idx="3">
                  <c:v>0.79999999999999993</c:v>
                </c:pt>
                <c:pt idx="4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24-4AB5-AD8E-846BA61A0567}"/>
            </c:ext>
          </c:extLst>
        </c:ser>
        <c:ser>
          <c:idx val="1"/>
          <c:order val="1"/>
          <c:tx>
            <c:strRef>
              <c:f>Planilha1!$B$22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Planilha1!$C$20:$H$20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cat>
          <c:val>
            <c:numRef>
              <c:f>Planilha1!$C$22:$H$22</c:f>
              <c:numCache>
                <c:formatCode>0.00</c:formatCode>
                <c:ptCount val="6"/>
                <c:pt idx="0">
                  <c:v>7.6000000000000103</c:v>
                </c:pt>
                <c:pt idx="1">
                  <c:v>3.8666666666666663</c:v>
                </c:pt>
                <c:pt idx="2">
                  <c:v>2.8</c:v>
                </c:pt>
                <c:pt idx="3">
                  <c:v>1.3333333333333333</c:v>
                </c:pt>
                <c:pt idx="4">
                  <c:v>0.13333333333333333</c:v>
                </c:pt>
                <c:pt idx="5">
                  <c:v>0.13333333333333333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24-4AB5-AD8E-846BA61A0567}"/>
            </c:ext>
          </c:extLst>
        </c:ser>
        <c:ser>
          <c:idx val="2"/>
          <c:order val="2"/>
          <c:tx>
            <c:strRef>
              <c:f>Planilha1!$B$23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Planilha1!$C$20:$H$20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cat>
          <c:val>
            <c:numRef>
              <c:f>Planilha1!$C$23:$H$23</c:f>
              <c:numCache>
                <c:formatCode>0.00</c:formatCode>
                <c:ptCount val="6"/>
                <c:pt idx="0">
                  <c:v>4.93</c:v>
                </c:pt>
                <c:pt idx="1">
                  <c:v>4.1333333333333329</c:v>
                </c:pt>
                <c:pt idx="2">
                  <c:v>1.9999999999999998</c:v>
                </c:pt>
                <c:pt idx="3">
                  <c:v>1.4666666666666666</c:v>
                </c:pt>
                <c:pt idx="4">
                  <c:v>0.13333333333333333</c:v>
                </c:pt>
                <c:pt idx="5">
                  <c:v>0.13333333333333333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24-4AB5-AD8E-846BA61A0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261312"/>
        <c:axId val="83263488"/>
      </c:barChart>
      <c:catAx>
        <c:axId val="83261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Centro de Classe diamétrica</a:t>
                </a:r>
                <a:endParaRPr lang="pt-BR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rich>
          </c:tx>
          <c:layout>
            <c:manualLayout>
              <c:xMode val="edge"/>
              <c:yMode val="edge"/>
              <c:x val="0.37890172275189909"/>
              <c:y val="0.809315199236459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83263488"/>
        <c:crosses val="autoZero"/>
        <c:auto val="1"/>
        <c:lblAlgn val="ctr"/>
        <c:lblOffset val="100"/>
        <c:noMultiLvlLbl val="0"/>
      </c:catAx>
      <c:valAx>
        <c:axId val="83263488"/>
        <c:scaling>
          <c:orientation val="minMax"/>
          <c:max val="12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Números de Árvores por hectare (N/ha)</a:t>
                </a:r>
                <a:endParaRPr lang="pt-BR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endParaRPr lang="pt-BR" sz="10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7387251269347886E-3"/>
              <c:y val="6.655032985741647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832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061358143334845"/>
          <c:y val="0.87927070613499503"/>
          <c:w val="0.35877257527710932"/>
          <c:h val="0.114622792083422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AEEA-9ABF-485A-BAB3-1FEF278F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2861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Cleibiane Martins</cp:lastModifiedBy>
  <cp:revision>7</cp:revision>
  <cp:lastPrinted>2015-06-04T18:07:00Z</cp:lastPrinted>
  <dcterms:created xsi:type="dcterms:W3CDTF">2018-11-14T14:40:00Z</dcterms:created>
  <dcterms:modified xsi:type="dcterms:W3CDTF">2018-11-15T20:41:00Z</dcterms:modified>
</cp:coreProperties>
</file>