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2E" w:rsidRPr="00930191" w:rsidRDefault="0055720B" w:rsidP="009301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CARACTERIZAÇÃO FÍSICO-QUÍMICA </w:t>
      </w:r>
      <w:r w:rsidR="00445438">
        <w:rPr>
          <w:b/>
          <w:sz w:val="24"/>
          <w:szCs w:val="24"/>
        </w:rPr>
        <w:t>DA BIOMASSA</w:t>
      </w:r>
      <w:r w:rsidRPr="0055720B">
        <w:rPr>
          <w:b/>
          <w:sz w:val="24"/>
          <w:szCs w:val="24"/>
        </w:rPr>
        <w:t xml:space="preserve"> DE CASCA DE ARROZ</w:t>
      </w:r>
      <w:r w:rsidR="00445438">
        <w:rPr>
          <w:b/>
          <w:sz w:val="24"/>
          <w:szCs w:val="24"/>
        </w:rPr>
        <w:t xml:space="preserve"> E QUANTIFICAÇÃO DE COMPOSTOS FENÓLICOS</w:t>
      </w:r>
      <w:r w:rsidRPr="0055720B">
        <w:rPr>
          <w:b/>
          <w:sz w:val="24"/>
          <w:szCs w:val="24"/>
        </w:rPr>
        <w:t xml:space="preserve"> POR </w:t>
      </w:r>
      <w:r w:rsidR="00445438" w:rsidRPr="0055720B">
        <w:rPr>
          <w:b/>
          <w:sz w:val="24"/>
          <w:szCs w:val="24"/>
        </w:rPr>
        <w:t>AUTO-HIDRÓLISE</w:t>
      </w:r>
      <w:r w:rsidRPr="004306A6">
        <w:rPr>
          <w:b/>
          <w:sz w:val="24"/>
          <w:szCs w:val="24"/>
        </w:rPr>
        <w:t xml:space="preserve"> </w:t>
      </w:r>
    </w:p>
    <w:p w:rsidR="0012462E" w:rsidRPr="004F6258" w:rsidRDefault="003209F3" w:rsidP="003209F3">
      <w:pPr>
        <w:tabs>
          <w:tab w:val="left" w:pos="61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5720B" w:rsidRPr="0055720B" w:rsidRDefault="0055720B" w:rsidP="00D83956">
      <w:pPr>
        <w:jc w:val="center"/>
        <w:rPr>
          <w:sz w:val="24"/>
          <w:szCs w:val="24"/>
        </w:rPr>
      </w:pPr>
      <w:r w:rsidRPr="0055720B">
        <w:rPr>
          <w:sz w:val="24"/>
          <w:szCs w:val="24"/>
        </w:rPr>
        <w:t>Jean Santos Silva</w:t>
      </w:r>
      <w:r w:rsidRPr="00B20B23">
        <w:rPr>
          <w:sz w:val="24"/>
          <w:szCs w:val="24"/>
          <w:vertAlign w:val="superscript"/>
        </w:rPr>
        <w:t>1</w:t>
      </w:r>
      <w:r w:rsidRPr="0055720B">
        <w:rPr>
          <w:sz w:val="24"/>
          <w:szCs w:val="24"/>
        </w:rPr>
        <w:t xml:space="preserve">; </w:t>
      </w:r>
      <w:proofErr w:type="spellStart"/>
      <w:r w:rsidR="00B20B23" w:rsidRPr="0055720B">
        <w:rPr>
          <w:sz w:val="24"/>
          <w:szCs w:val="24"/>
        </w:rPr>
        <w:t>Gerlainny</w:t>
      </w:r>
      <w:proofErr w:type="spellEnd"/>
      <w:r w:rsidR="00B20B23" w:rsidRPr="0055720B">
        <w:rPr>
          <w:sz w:val="24"/>
          <w:szCs w:val="24"/>
        </w:rPr>
        <w:t xml:space="preserve"> Brito Viana</w:t>
      </w:r>
      <w:r w:rsidR="007C1D03">
        <w:rPr>
          <w:sz w:val="24"/>
          <w:szCs w:val="24"/>
          <w:vertAlign w:val="superscript"/>
        </w:rPr>
        <w:t>2</w:t>
      </w:r>
      <w:r w:rsidR="00B20B23" w:rsidRPr="0055720B">
        <w:rPr>
          <w:sz w:val="24"/>
          <w:szCs w:val="24"/>
        </w:rPr>
        <w:t xml:space="preserve">; </w:t>
      </w:r>
      <w:proofErr w:type="spellStart"/>
      <w:r w:rsidR="00B20B23">
        <w:rPr>
          <w:sz w:val="24"/>
          <w:szCs w:val="24"/>
        </w:rPr>
        <w:t>Mailson</w:t>
      </w:r>
      <w:proofErr w:type="spellEnd"/>
      <w:r w:rsidR="00B20B23">
        <w:rPr>
          <w:sz w:val="24"/>
          <w:szCs w:val="24"/>
        </w:rPr>
        <w:t xml:space="preserve"> Furtado Teixeira</w:t>
      </w:r>
      <w:r w:rsidR="007C1D03">
        <w:rPr>
          <w:sz w:val="24"/>
          <w:szCs w:val="24"/>
          <w:vertAlign w:val="superscript"/>
        </w:rPr>
        <w:t>3</w:t>
      </w:r>
      <w:r w:rsidR="00B20B23">
        <w:rPr>
          <w:sz w:val="24"/>
          <w:szCs w:val="24"/>
        </w:rPr>
        <w:t xml:space="preserve">; </w:t>
      </w:r>
      <w:r w:rsidRPr="0055720B">
        <w:rPr>
          <w:sz w:val="24"/>
          <w:szCs w:val="24"/>
        </w:rPr>
        <w:t>Rafael Vitti Mota</w:t>
      </w:r>
      <w:r w:rsidR="007C1D03">
        <w:rPr>
          <w:sz w:val="24"/>
          <w:szCs w:val="24"/>
          <w:vertAlign w:val="superscript"/>
        </w:rPr>
        <w:t>4</w:t>
      </w:r>
      <w:r w:rsidR="00D83956">
        <w:rPr>
          <w:sz w:val="24"/>
          <w:szCs w:val="24"/>
        </w:rPr>
        <w:t xml:space="preserve">; Luiza Helena da Silva </w:t>
      </w:r>
      <w:proofErr w:type="gramStart"/>
      <w:r w:rsidR="00D83956">
        <w:rPr>
          <w:sz w:val="24"/>
          <w:szCs w:val="24"/>
        </w:rPr>
        <w:t>Martins</w:t>
      </w:r>
      <w:r w:rsidR="007C1D03">
        <w:rPr>
          <w:sz w:val="24"/>
          <w:szCs w:val="24"/>
          <w:vertAlign w:val="superscript"/>
        </w:rPr>
        <w:t>5</w:t>
      </w:r>
      <w:proofErr w:type="gramEnd"/>
    </w:p>
    <w:p w:rsidR="007C1D03" w:rsidRDefault="0055720B" w:rsidP="007C1D03">
      <w:pPr>
        <w:jc w:val="center"/>
        <w:rPr>
          <w:sz w:val="24"/>
          <w:szCs w:val="24"/>
        </w:rPr>
      </w:pPr>
      <w:proofErr w:type="gramStart"/>
      <w:r w:rsidRPr="007C1D03">
        <w:rPr>
          <w:sz w:val="24"/>
          <w:szCs w:val="24"/>
          <w:vertAlign w:val="superscript"/>
        </w:rPr>
        <w:t>1</w:t>
      </w:r>
      <w:proofErr w:type="gramEnd"/>
      <w:r w:rsidR="007C1D03">
        <w:rPr>
          <w:sz w:val="24"/>
          <w:szCs w:val="24"/>
        </w:rPr>
        <w:t xml:space="preserve"> Graduando</w:t>
      </w:r>
      <w:r w:rsidRPr="0055720B">
        <w:rPr>
          <w:sz w:val="24"/>
          <w:szCs w:val="24"/>
        </w:rPr>
        <w:t xml:space="preserve"> </w:t>
      </w:r>
      <w:r w:rsidR="007C1D03">
        <w:rPr>
          <w:sz w:val="24"/>
          <w:szCs w:val="24"/>
        </w:rPr>
        <w:t>em</w:t>
      </w:r>
      <w:r w:rsidRPr="0055720B">
        <w:rPr>
          <w:sz w:val="24"/>
          <w:szCs w:val="24"/>
        </w:rPr>
        <w:t xml:space="preserve"> Tecnologia de Alimentos. Univers</w:t>
      </w:r>
      <w:r w:rsidR="007C1D03">
        <w:rPr>
          <w:sz w:val="24"/>
          <w:szCs w:val="24"/>
        </w:rPr>
        <w:t xml:space="preserve">idade do Estado do Pará - </w:t>
      </w:r>
      <w:r w:rsidRPr="0055720B">
        <w:rPr>
          <w:sz w:val="24"/>
          <w:szCs w:val="24"/>
        </w:rPr>
        <w:t xml:space="preserve">Salvaterra. </w:t>
      </w:r>
      <w:r w:rsidR="00930191" w:rsidRPr="0055720B">
        <w:rPr>
          <w:sz w:val="24"/>
          <w:szCs w:val="24"/>
        </w:rPr>
        <w:t>jean</w:t>
      </w:r>
      <w:r w:rsidR="00930191">
        <w:rPr>
          <w:sz w:val="24"/>
          <w:szCs w:val="24"/>
        </w:rPr>
        <w:t>ss291@gmail.com</w:t>
      </w:r>
    </w:p>
    <w:p w:rsidR="007C1D03" w:rsidRDefault="007C1D03" w:rsidP="0055720B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Graduanda</w:t>
      </w:r>
      <w:r w:rsidRPr="0055720B">
        <w:rPr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 w:rsidRPr="0055720B">
        <w:rPr>
          <w:sz w:val="24"/>
          <w:szCs w:val="24"/>
        </w:rPr>
        <w:t xml:space="preserve"> Tecnologia de Alimentos. Univers</w:t>
      </w:r>
      <w:r>
        <w:rPr>
          <w:sz w:val="24"/>
          <w:szCs w:val="24"/>
        </w:rPr>
        <w:t xml:space="preserve">idade do Estado do Pará - </w:t>
      </w:r>
      <w:r w:rsidRPr="0055720B">
        <w:rPr>
          <w:sz w:val="24"/>
          <w:szCs w:val="24"/>
        </w:rPr>
        <w:t xml:space="preserve">Salvaterra. </w:t>
      </w:r>
      <w:r w:rsidRPr="007C1D03">
        <w:rPr>
          <w:sz w:val="24"/>
          <w:szCs w:val="24"/>
        </w:rPr>
        <w:t>gerlainnyb@gmail.com</w:t>
      </w:r>
      <w:r>
        <w:rPr>
          <w:sz w:val="24"/>
          <w:szCs w:val="24"/>
        </w:rPr>
        <w:t xml:space="preserve"> </w:t>
      </w:r>
    </w:p>
    <w:p w:rsidR="0055720B" w:rsidRPr="0055720B" w:rsidRDefault="007C1D03" w:rsidP="0055720B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3</w:t>
      </w:r>
      <w:proofErr w:type="gramEnd"/>
      <w:r>
        <w:rPr>
          <w:sz w:val="24"/>
          <w:szCs w:val="24"/>
        </w:rPr>
        <w:t xml:space="preserve"> Graduado</w:t>
      </w:r>
      <w:r w:rsidRPr="0055720B">
        <w:rPr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 w:rsidRPr="0055720B">
        <w:rPr>
          <w:sz w:val="24"/>
          <w:szCs w:val="24"/>
        </w:rPr>
        <w:t xml:space="preserve"> Tecnologia de Alimentos. Univers</w:t>
      </w:r>
      <w:r>
        <w:rPr>
          <w:sz w:val="24"/>
          <w:szCs w:val="24"/>
        </w:rPr>
        <w:t xml:space="preserve">idade do Estado do Pará - </w:t>
      </w:r>
      <w:r w:rsidRPr="0055720B">
        <w:rPr>
          <w:sz w:val="24"/>
          <w:szCs w:val="24"/>
        </w:rPr>
        <w:t xml:space="preserve">Salvaterra. </w:t>
      </w:r>
      <w:r w:rsidRPr="00930191">
        <w:rPr>
          <w:sz w:val="24"/>
          <w:szCs w:val="24"/>
        </w:rPr>
        <w:t>mailsonfurtadoteixeira@gmail.com</w:t>
      </w:r>
      <w:proofErr w:type="gramStart"/>
      <w:r w:rsidR="00930191">
        <w:rPr>
          <w:sz w:val="24"/>
          <w:szCs w:val="24"/>
        </w:rPr>
        <w:t xml:space="preserve"> </w:t>
      </w:r>
      <w:r w:rsidR="0055720B" w:rsidRPr="0055720B">
        <w:rPr>
          <w:sz w:val="24"/>
          <w:szCs w:val="24"/>
        </w:rPr>
        <w:t xml:space="preserve"> </w:t>
      </w:r>
    </w:p>
    <w:p w:rsidR="00D83956" w:rsidRDefault="007C1D03" w:rsidP="0012462E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proofErr w:type="gramEnd"/>
      <w:r>
        <w:rPr>
          <w:sz w:val="24"/>
          <w:szCs w:val="24"/>
          <w:vertAlign w:val="superscript"/>
        </w:rPr>
        <w:t xml:space="preserve"> </w:t>
      </w:r>
      <w:r w:rsidR="0055720B" w:rsidRPr="0055720B">
        <w:rPr>
          <w:sz w:val="24"/>
          <w:szCs w:val="24"/>
        </w:rPr>
        <w:t>Mestre em Ciência e Tecnologia de A</w:t>
      </w:r>
      <w:r>
        <w:rPr>
          <w:sz w:val="24"/>
          <w:szCs w:val="24"/>
        </w:rPr>
        <w:t>limentos. Universidade Federal</w:t>
      </w:r>
      <w:r w:rsidR="0055720B" w:rsidRPr="0055720B">
        <w:rPr>
          <w:sz w:val="24"/>
          <w:szCs w:val="24"/>
        </w:rPr>
        <w:t xml:space="preserve"> do Pará</w:t>
      </w:r>
      <w:r w:rsidR="00D83956">
        <w:rPr>
          <w:sz w:val="24"/>
          <w:szCs w:val="24"/>
        </w:rPr>
        <w:t xml:space="preserve"> </w:t>
      </w:r>
      <w:proofErr w:type="spellStart"/>
      <w:r w:rsidR="00D83956" w:rsidRPr="0055720B">
        <w:rPr>
          <w:sz w:val="24"/>
          <w:szCs w:val="24"/>
        </w:rPr>
        <w:t>Pará</w:t>
      </w:r>
      <w:proofErr w:type="spellEnd"/>
      <w:r w:rsidR="00D83956" w:rsidRPr="0055720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D83956" w:rsidRPr="0055720B">
        <w:rPr>
          <w:sz w:val="24"/>
          <w:szCs w:val="24"/>
        </w:rPr>
        <w:t xml:space="preserve"> </w:t>
      </w:r>
      <w:r>
        <w:rPr>
          <w:sz w:val="24"/>
          <w:szCs w:val="24"/>
        </w:rPr>
        <w:t>UFPA.</w:t>
      </w:r>
      <w:r w:rsidR="0055720B" w:rsidRPr="0055720B">
        <w:rPr>
          <w:sz w:val="24"/>
          <w:szCs w:val="24"/>
        </w:rPr>
        <w:t xml:space="preserve"> </w:t>
      </w:r>
      <w:r w:rsidRPr="007C1D03">
        <w:rPr>
          <w:sz w:val="24"/>
          <w:szCs w:val="24"/>
        </w:rPr>
        <w:t>vittimota@uepa.br</w:t>
      </w:r>
    </w:p>
    <w:p w:rsidR="007C1D03" w:rsidRDefault="007C1D03" w:rsidP="0012462E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5</w:t>
      </w:r>
      <w:proofErr w:type="gramEnd"/>
      <w:r w:rsidR="00D83956">
        <w:rPr>
          <w:sz w:val="24"/>
          <w:szCs w:val="24"/>
        </w:rPr>
        <w:t xml:space="preserve"> Doutora em Engenharia Química.</w:t>
      </w:r>
      <w:r>
        <w:rPr>
          <w:sz w:val="24"/>
          <w:szCs w:val="24"/>
        </w:rPr>
        <w:t xml:space="preserve"> Universidade Estadual de Campinas – São Paulo.</w:t>
      </w:r>
    </w:p>
    <w:p w:rsidR="0012462E" w:rsidRDefault="007C1D03" w:rsidP="0012462E">
      <w:pPr>
        <w:jc w:val="center"/>
        <w:rPr>
          <w:sz w:val="24"/>
          <w:szCs w:val="24"/>
        </w:rPr>
      </w:pPr>
      <w:r w:rsidRPr="007C1D03">
        <w:rPr>
          <w:sz w:val="24"/>
          <w:szCs w:val="24"/>
        </w:rPr>
        <w:t>luhelemarte@gmail.com</w:t>
      </w:r>
      <w:r w:rsidR="00D83956">
        <w:rPr>
          <w:sz w:val="24"/>
          <w:szCs w:val="24"/>
        </w:rPr>
        <w:t xml:space="preserve"> </w:t>
      </w:r>
    </w:p>
    <w:p w:rsidR="007C1D03" w:rsidRDefault="007C1D03" w:rsidP="0012462E">
      <w:pPr>
        <w:jc w:val="center"/>
        <w:rPr>
          <w:b/>
          <w:sz w:val="24"/>
          <w:szCs w:val="24"/>
        </w:rPr>
      </w:pPr>
    </w:p>
    <w:p w:rsidR="0012462E" w:rsidRDefault="0012462E" w:rsidP="0012462E">
      <w:pPr>
        <w:jc w:val="center"/>
        <w:rPr>
          <w:b/>
          <w:sz w:val="24"/>
          <w:szCs w:val="24"/>
        </w:rPr>
      </w:pPr>
    </w:p>
    <w:p w:rsidR="0012462E" w:rsidRPr="004F6258" w:rsidRDefault="0012462E" w:rsidP="0012462E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12462E" w:rsidRPr="004F6258" w:rsidRDefault="0012462E" w:rsidP="0012462E">
      <w:pPr>
        <w:jc w:val="both"/>
        <w:rPr>
          <w:bCs/>
          <w:sz w:val="24"/>
          <w:szCs w:val="24"/>
        </w:rPr>
      </w:pPr>
    </w:p>
    <w:p w:rsidR="0012462E" w:rsidRPr="004F6258" w:rsidRDefault="00F44DF9" w:rsidP="0012462E">
      <w:pPr>
        <w:jc w:val="both"/>
        <w:rPr>
          <w:sz w:val="24"/>
          <w:szCs w:val="24"/>
        </w:rPr>
      </w:pPr>
      <w:r w:rsidRPr="00F44DF9">
        <w:rPr>
          <w:bCs/>
          <w:sz w:val="24"/>
          <w:szCs w:val="24"/>
        </w:rPr>
        <w:t xml:space="preserve">A casca do arroz trata-se de uma biomassa </w:t>
      </w:r>
      <w:proofErr w:type="spellStart"/>
      <w:r w:rsidRPr="00F44DF9">
        <w:rPr>
          <w:bCs/>
          <w:sz w:val="24"/>
          <w:szCs w:val="24"/>
        </w:rPr>
        <w:t>lignocelulósica</w:t>
      </w:r>
      <w:proofErr w:type="spellEnd"/>
      <w:r w:rsidRPr="00F44DF9">
        <w:rPr>
          <w:bCs/>
          <w:sz w:val="24"/>
          <w:szCs w:val="24"/>
        </w:rPr>
        <w:t xml:space="preserve"> que pode ser particionada em elementos de alto interesse na indústria alimentícia.</w:t>
      </w:r>
      <w:r w:rsidR="001B082F">
        <w:rPr>
          <w:bCs/>
          <w:sz w:val="24"/>
          <w:szCs w:val="24"/>
        </w:rPr>
        <w:t xml:space="preserve"> </w:t>
      </w:r>
      <w:r w:rsidR="001B082F" w:rsidRPr="001B082F">
        <w:rPr>
          <w:bCs/>
          <w:sz w:val="24"/>
          <w:szCs w:val="24"/>
        </w:rPr>
        <w:t>Os compostos fenólicos podem ser definidos como estruturas químicas que apresentam em sua composição grupos hidroxilas e anéis aromáticos, que se encontram de formas simples ou polimérica, o que lhes confere caráter antioxidante.</w:t>
      </w:r>
      <w:r w:rsidR="001B082F">
        <w:rPr>
          <w:bCs/>
          <w:sz w:val="24"/>
          <w:szCs w:val="24"/>
        </w:rPr>
        <w:t xml:space="preserve"> </w:t>
      </w:r>
      <w:r w:rsidR="000900BF">
        <w:rPr>
          <w:sz w:val="24"/>
          <w:szCs w:val="28"/>
        </w:rPr>
        <w:t xml:space="preserve">O objetivo deste trabalho </w:t>
      </w:r>
      <w:r w:rsidR="00C82459">
        <w:rPr>
          <w:sz w:val="24"/>
          <w:szCs w:val="28"/>
        </w:rPr>
        <w:t>foi</w:t>
      </w:r>
      <w:r w:rsidR="000900BF">
        <w:rPr>
          <w:sz w:val="24"/>
          <w:szCs w:val="28"/>
        </w:rPr>
        <w:t xml:space="preserve"> realizar a caracterização físico-química e e</w:t>
      </w:r>
      <w:r w:rsidR="000900BF" w:rsidRPr="002435FA">
        <w:rPr>
          <w:sz w:val="24"/>
          <w:szCs w:val="28"/>
        </w:rPr>
        <w:t>xtrair compostos</w:t>
      </w:r>
      <w:r w:rsidR="000900BF">
        <w:rPr>
          <w:sz w:val="24"/>
          <w:szCs w:val="28"/>
        </w:rPr>
        <w:t xml:space="preserve"> fenólicos </w:t>
      </w:r>
      <w:r w:rsidR="000900BF" w:rsidRPr="002435FA">
        <w:rPr>
          <w:sz w:val="24"/>
          <w:szCs w:val="28"/>
        </w:rPr>
        <w:t>a partir do pré-tratamento hidrotérmico da biomassa da casca de arroz</w:t>
      </w:r>
      <w:r w:rsidR="000900BF">
        <w:rPr>
          <w:sz w:val="24"/>
          <w:szCs w:val="28"/>
        </w:rPr>
        <w:t xml:space="preserve"> e analisar qual a melhor condição tempo x concentração de sólidos para quantificação de fenóis totais</w:t>
      </w:r>
      <w:r w:rsidRPr="00F44DF9">
        <w:rPr>
          <w:bCs/>
          <w:sz w:val="24"/>
          <w:szCs w:val="24"/>
        </w:rPr>
        <w:t>. Inicialmente realizou-se processo de moagem da matéria-prima e secagem para redução da umidade, em seguida foi realizada a caracterização físico-química da casca de arroz determinando-se os teores de umidade, sólidos totais, cinzas, acidez total e pH. Em seguida, realizou-se o pré-tratamento hidrotérmico através da autoclavagem da matéria-prima à 121 °C, de acordo com um planejamento experim</w:t>
      </w:r>
      <w:r w:rsidR="000900BF">
        <w:rPr>
          <w:bCs/>
          <w:sz w:val="24"/>
          <w:szCs w:val="24"/>
        </w:rPr>
        <w:t>ental 3</w:t>
      </w:r>
      <w:r w:rsidR="000900BF" w:rsidRPr="007C1D03">
        <w:rPr>
          <w:bCs/>
          <w:sz w:val="24"/>
          <w:szCs w:val="24"/>
          <w:vertAlign w:val="superscript"/>
        </w:rPr>
        <w:t>3</w:t>
      </w:r>
      <w:r w:rsidR="000900BF">
        <w:rPr>
          <w:bCs/>
          <w:sz w:val="24"/>
          <w:szCs w:val="24"/>
        </w:rPr>
        <w:t>, totalizando 12 tratamentos</w:t>
      </w:r>
      <w:r w:rsidRPr="00F44DF9">
        <w:rPr>
          <w:bCs/>
          <w:sz w:val="24"/>
          <w:szCs w:val="24"/>
        </w:rPr>
        <w:t>, tendo como variáveis dependentes o tempo e concentração de sólidos. Para a realização da quantificação dos compostos fenólicos nos hidrolisados, foi necessári</w:t>
      </w:r>
      <w:r w:rsidR="00C82459">
        <w:rPr>
          <w:bCs/>
          <w:sz w:val="24"/>
          <w:szCs w:val="24"/>
        </w:rPr>
        <w:t>o</w:t>
      </w:r>
      <w:r w:rsidRPr="00F44DF9">
        <w:rPr>
          <w:bCs/>
          <w:sz w:val="24"/>
          <w:szCs w:val="24"/>
        </w:rPr>
        <w:t xml:space="preserve"> obter um</w:t>
      </w:r>
      <w:r w:rsidR="001B082F">
        <w:rPr>
          <w:bCs/>
          <w:sz w:val="24"/>
          <w:szCs w:val="24"/>
        </w:rPr>
        <w:t>a curva padrão com ácido gálico.</w:t>
      </w:r>
      <w:r w:rsidRPr="00F44DF9">
        <w:rPr>
          <w:bCs/>
          <w:sz w:val="24"/>
          <w:szCs w:val="24"/>
        </w:rPr>
        <w:t xml:space="preserve"> De acordo com os resultados para a caracterização da casca de arroz, obteve-se umidade inferior a 10% e teor de cinzas em conformidade com os valores relatados na literatura (15,8%). A acidez total titulável (2,07%) foi considerada baixa, em decorrência das amostras apresentarem </w:t>
      </w:r>
      <w:proofErr w:type="gramStart"/>
      <w:r w:rsidRPr="00F44DF9">
        <w:rPr>
          <w:bCs/>
          <w:sz w:val="24"/>
          <w:szCs w:val="24"/>
        </w:rPr>
        <w:t>pH</w:t>
      </w:r>
      <w:proofErr w:type="gramEnd"/>
      <w:r w:rsidRPr="00F44DF9">
        <w:rPr>
          <w:bCs/>
          <w:sz w:val="24"/>
          <w:szCs w:val="24"/>
        </w:rPr>
        <w:t xml:space="preserve"> próximo da neutralidade (5,51). O rendimento em sólido</w:t>
      </w:r>
      <w:r w:rsidR="002571D5">
        <w:rPr>
          <w:bCs/>
          <w:sz w:val="24"/>
          <w:szCs w:val="24"/>
        </w:rPr>
        <w:t>s</w:t>
      </w:r>
      <w:r w:rsidRPr="00F44DF9">
        <w:rPr>
          <w:bCs/>
          <w:sz w:val="24"/>
          <w:szCs w:val="24"/>
        </w:rPr>
        <w:t xml:space="preserve"> obtido</w:t>
      </w:r>
      <w:r w:rsidR="002571D5">
        <w:rPr>
          <w:bCs/>
          <w:sz w:val="24"/>
          <w:szCs w:val="24"/>
        </w:rPr>
        <w:t>s</w:t>
      </w:r>
      <w:r w:rsidRPr="00F44DF9">
        <w:rPr>
          <w:bCs/>
          <w:sz w:val="24"/>
          <w:szCs w:val="24"/>
        </w:rPr>
        <w:t xml:space="preserve"> após o tratamento hidrotérmico da casca de arroz, conduzido pelo planejamento experimental variou de 88,15% </w:t>
      </w:r>
      <w:proofErr w:type="gramStart"/>
      <w:r w:rsidRPr="00F44DF9">
        <w:rPr>
          <w:bCs/>
          <w:sz w:val="24"/>
          <w:szCs w:val="24"/>
        </w:rPr>
        <w:t>à</w:t>
      </w:r>
      <w:proofErr w:type="gramEnd"/>
      <w:r w:rsidRPr="00F44DF9">
        <w:rPr>
          <w:bCs/>
          <w:sz w:val="24"/>
          <w:szCs w:val="24"/>
        </w:rPr>
        <w:t xml:space="preserve"> 91,30%. </w:t>
      </w:r>
      <w:proofErr w:type="gramStart"/>
      <w:r w:rsidR="002271D6">
        <w:rPr>
          <w:bCs/>
          <w:sz w:val="24"/>
          <w:szCs w:val="24"/>
        </w:rPr>
        <w:t>O</w:t>
      </w:r>
      <w:r w:rsidR="00A63F18">
        <w:rPr>
          <w:bCs/>
          <w:sz w:val="24"/>
          <w:szCs w:val="24"/>
        </w:rPr>
        <w:t>bservou-se</w:t>
      </w:r>
      <w:proofErr w:type="gramEnd"/>
      <w:r w:rsidR="00A63F18">
        <w:rPr>
          <w:bCs/>
          <w:sz w:val="24"/>
          <w:szCs w:val="24"/>
        </w:rPr>
        <w:t xml:space="preserve"> elevadas concentrações de </w:t>
      </w:r>
      <w:r w:rsidR="00A63F18">
        <w:rPr>
          <w:sz w:val="24"/>
          <w:szCs w:val="24"/>
        </w:rPr>
        <w:t>compostos fenólicos, pela necessidade de diluir a amostra para quantificação e obtenção das concentrações.</w:t>
      </w:r>
    </w:p>
    <w:p w:rsidR="0012462E" w:rsidRPr="004F6258" w:rsidRDefault="0012462E" w:rsidP="0012462E">
      <w:pPr>
        <w:rPr>
          <w:b/>
          <w:bCs/>
          <w:sz w:val="24"/>
          <w:szCs w:val="24"/>
        </w:rPr>
      </w:pPr>
    </w:p>
    <w:p w:rsidR="0012462E" w:rsidRDefault="0012462E" w:rsidP="0012462E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F44DF9" w:rsidRPr="00F44DF9">
        <w:rPr>
          <w:bCs/>
          <w:sz w:val="24"/>
          <w:szCs w:val="24"/>
        </w:rPr>
        <w:t xml:space="preserve">Casca de arroz. Pré-tratamento. </w:t>
      </w:r>
      <w:r w:rsidR="00015699">
        <w:rPr>
          <w:bCs/>
          <w:sz w:val="24"/>
          <w:szCs w:val="24"/>
        </w:rPr>
        <w:t>Fenóis</w:t>
      </w:r>
      <w:r w:rsidR="00F44DF9">
        <w:rPr>
          <w:bCs/>
          <w:sz w:val="24"/>
          <w:szCs w:val="24"/>
        </w:rPr>
        <w:t>.</w:t>
      </w:r>
    </w:p>
    <w:p w:rsidR="0012462E" w:rsidRPr="003F6E7F" w:rsidRDefault="0012462E" w:rsidP="0012462E">
      <w:pPr>
        <w:jc w:val="center"/>
        <w:rPr>
          <w:sz w:val="24"/>
          <w:szCs w:val="28"/>
        </w:rPr>
      </w:pPr>
    </w:p>
    <w:p w:rsidR="0012462E" w:rsidRDefault="0012462E" w:rsidP="002435FA">
      <w:pPr>
        <w:rPr>
          <w:sz w:val="24"/>
          <w:szCs w:val="28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2435FA">
        <w:rPr>
          <w:sz w:val="24"/>
          <w:szCs w:val="24"/>
        </w:rPr>
        <w:t>Ciência e Tecnologia de Alimentos</w:t>
      </w:r>
    </w:p>
    <w:p w:rsidR="0012462E" w:rsidRDefault="0012462E" w:rsidP="0012462E">
      <w:pPr>
        <w:jc w:val="center"/>
        <w:rPr>
          <w:sz w:val="24"/>
          <w:szCs w:val="28"/>
        </w:rPr>
      </w:pPr>
    </w:p>
    <w:p w:rsidR="002435FA" w:rsidRDefault="002435FA" w:rsidP="0012462E">
      <w:pPr>
        <w:jc w:val="center"/>
        <w:rPr>
          <w:sz w:val="24"/>
          <w:szCs w:val="28"/>
        </w:rPr>
      </w:pPr>
    </w:p>
    <w:p w:rsidR="0012462E" w:rsidRDefault="0012462E" w:rsidP="0012462E">
      <w:pPr>
        <w:jc w:val="center"/>
        <w:rPr>
          <w:sz w:val="24"/>
          <w:szCs w:val="28"/>
        </w:rPr>
      </w:pPr>
    </w:p>
    <w:p w:rsidR="0012462E" w:rsidRPr="00001E41" w:rsidRDefault="0012462E" w:rsidP="0012462E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lastRenderedPageBreak/>
        <w:t xml:space="preserve">1. </w:t>
      </w:r>
      <w:r w:rsidRPr="00001E41">
        <w:rPr>
          <w:b/>
          <w:sz w:val="24"/>
          <w:szCs w:val="24"/>
        </w:rPr>
        <w:t xml:space="preserve">INTRODUÇÃO </w:t>
      </w:r>
    </w:p>
    <w:p w:rsidR="002435FA" w:rsidRPr="00D52594" w:rsidRDefault="002435FA" w:rsidP="002435FA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Pr="00D52594">
        <w:rPr>
          <w:sz w:val="24"/>
          <w:szCs w:val="28"/>
        </w:rPr>
        <w:t>Nos dias atuais tem-se comumente visto a luta por caminhos viáveis para encontrar uma finalidade viável aos resíduos agroindustriais, mantendo a responsabilidade socioambiental. De modo que os empreendedores estão cada vez mais buscando desenvolver suas atividades impactando o mínimo possível no meio ambiente (LORENZETT et al., 2012).</w:t>
      </w:r>
    </w:p>
    <w:p w:rsidR="002435FA" w:rsidRPr="00D52594" w:rsidRDefault="002435FA" w:rsidP="002435FA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 w:rsidRPr="00D52594">
        <w:rPr>
          <w:sz w:val="24"/>
          <w:szCs w:val="28"/>
        </w:rPr>
        <w:tab/>
        <w:t xml:space="preserve">O Brasil tem se tornado um gigante na produção de grãos e um deles é o arroz, no entanto essa intensa produção também acarreta consigo grande geração de resíduos como a sua casca que corresponde a aproximadamente 23% de seu volume, de modo que se aplicado o descarte no ambiente gera altos danos, toda via a mesma apresenta propriedades vantajosas para o seu reaproveitamento. De acordo com as estatísticas da FAO, o Brasil é o nono maior produtor de arroz do mundo, tendo colhido na safra de 2012-2013 cerca de 11,5 milhões de toneladas de arroz em casca (FAOSTAT, 2014). </w:t>
      </w:r>
    </w:p>
    <w:p w:rsidR="002435FA" w:rsidRPr="00D52594" w:rsidRDefault="002435FA" w:rsidP="002435FA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 w:rsidRPr="00D52594">
        <w:rPr>
          <w:sz w:val="24"/>
          <w:szCs w:val="28"/>
        </w:rPr>
        <w:tab/>
        <w:t xml:space="preserve">O processo de beneficiamento do arroz a casca do mesmo apresenta-se como resíduo produzido de forma constante, esta biomassa possui alto poder calorífico (aproximadamente 16720 kJ/kg) e custo praticamente nulo, pode ser utilizada para substituir a lenha empregada na geração de calor e de vapor, necessários para os processos de secagem e </w:t>
      </w:r>
      <w:proofErr w:type="spellStart"/>
      <w:r w:rsidRPr="00D52594">
        <w:rPr>
          <w:sz w:val="24"/>
          <w:szCs w:val="28"/>
        </w:rPr>
        <w:t>parboilização</w:t>
      </w:r>
      <w:proofErr w:type="spellEnd"/>
      <w:r w:rsidRPr="00D52594">
        <w:rPr>
          <w:sz w:val="24"/>
          <w:szCs w:val="28"/>
        </w:rPr>
        <w:t xml:space="preserve"> dos grãos (DELLA et al., 2001). A casca do arroz trata-se de uma biomassa </w:t>
      </w:r>
      <w:proofErr w:type="spellStart"/>
      <w:r w:rsidRPr="00D52594">
        <w:rPr>
          <w:sz w:val="24"/>
          <w:szCs w:val="28"/>
        </w:rPr>
        <w:t>lignocelulósica</w:t>
      </w:r>
      <w:proofErr w:type="spellEnd"/>
      <w:r w:rsidRPr="00D52594">
        <w:rPr>
          <w:sz w:val="24"/>
          <w:szCs w:val="28"/>
        </w:rPr>
        <w:t xml:space="preserve"> que pode ser particionada em elementos de alto interesse na indústria alimentícia.</w:t>
      </w:r>
    </w:p>
    <w:p w:rsidR="002435FA" w:rsidRPr="00D52594" w:rsidRDefault="002435FA" w:rsidP="002435FA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 w:rsidRPr="00D52594">
        <w:rPr>
          <w:sz w:val="24"/>
          <w:szCs w:val="28"/>
        </w:rPr>
        <w:tab/>
        <w:t xml:space="preserve">A composição da casca de arroz depende da safra, ou seja, da variedade plantada, do clima e das condições do solo, além da localização geográfica (FERNANDES, 2006). </w:t>
      </w:r>
    </w:p>
    <w:p w:rsidR="000900BF" w:rsidRPr="000900BF" w:rsidRDefault="000900BF" w:rsidP="000900BF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Pr="000900BF">
        <w:rPr>
          <w:sz w:val="24"/>
          <w:szCs w:val="28"/>
        </w:rPr>
        <w:t xml:space="preserve">Os compostos bioativos estão presentes nas matérias-primas de origem vegetal. E o estudo destes compostos apresentam importância significativa para a manutenção do organismo dos seres humanos. Alguns compostos possuem função </w:t>
      </w:r>
      <w:r w:rsidR="002271D6" w:rsidRPr="000900BF">
        <w:rPr>
          <w:sz w:val="24"/>
          <w:szCs w:val="28"/>
        </w:rPr>
        <w:t>específica</w:t>
      </w:r>
      <w:r w:rsidRPr="000900BF">
        <w:rPr>
          <w:sz w:val="24"/>
          <w:szCs w:val="28"/>
        </w:rPr>
        <w:t xml:space="preserve"> na manutenção das células: função reguladora, protetora e estética, e que está relacionada com o envelhecimento das células causadas por radicais livres (BASTOS et al. 2009).</w:t>
      </w:r>
    </w:p>
    <w:p w:rsidR="000900BF" w:rsidRPr="002435FA" w:rsidRDefault="000900BF" w:rsidP="000900BF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 w:rsidRPr="000900BF">
        <w:rPr>
          <w:sz w:val="24"/>
          <w:szCs w:val="28"/>
        </w:rPr>
        <w:t xml:space="preserve">           Os compostos fenólicos podem ser definidos como estruturas químicas que apresentam em sua composição grupos hidroxilas e anéis aromáticos, que se encontram de formas simples ou polimérica, o que lhes confere caráter antioxidante. Estes compostos podem ser obtidos de forma natural ou sintética. Quando ocorrem nos vegetais podem estar em formas livres ou complexadas a açúcares e proteínas. Dentre estes compostos podemos destacar os </w:t>
      </w:r>
      <w:proofErr w:type="spellStart"/>
      <w:r w:rsidRPr="000900BF">
        <w:rPr>
          <w:sz w:val="24"/>
          <w:szCs w:val="28"/>
        </w:rPr>
        <w:t>flavonóides</w:t>
      </w:r>
      <w:proofErr w:type="spellEnd"/>
      <w:r w:rsidRPr="000900BF">
        <w:rPr>
          <w:sz w:val="24"/>
          <w:szCs w:val="28"/>
        </w:rPr>
        <w:t xml:space="preserve">, os ácidos </w:t>
      </w:r>
      <w:r w:rsidRPr="000900BF">
        <w:rPr>
          <w:sz w:val="24"/>
          <w:szCs w:val="28"/>
        </w:rPr>
        <w:lastRenderedPageBreak/>
        <w:t>fenólicos, os taninos e os tocoferóis como os antioxidantes fenólicos mais comuns de procedência natural (ANGELO e JORGE, 2007).</w:t>
      </w:r>
    </w:p>
    <w:p w:rsidR="002435FA" w:rsidRPr="002435FA" w:rsidRDefault="002435FA" w:rsidP="002435FA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Pr="002435FA">
        <w:rPr>
          <w:sz w:val="24"/>
          <w:szCs w:val="28"/>
        </w:rPr>
        <w:t xml:space="preserve">O pré-tratamento Hidrotérmico, ou auto-hidrólise é um método eficiente por não utilizar reagentes químicos, e é um procedimento ideal em relação ao plano econômico, pois não afeta, de modo geral, o meio ambiente, por não utilizar reatores resistentes a corrosão, além de hidrolisar grande parte da fração hemicelulósica (SANTOS et al., 2013). </w:t>
      </w:r>
    </w:p>
    <w:p w:rsidR="002435FA" w:rsidRDefault="002435FA" w:rsidP="002435FA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Pr="002435FA">
        <w:rPr>
          <w:sz w:val="24"/>
          <w:szCs w:val="28"/>
        </w:rPr>
        <w:t>A partir do conhecimento e importância que se tem dado ao uso de biomassas faz necessário um maior cuidado na caracterização das mesmas Sánchez (2010) salienta que ao caracterizar a biomassa é necessário avaliar seu uso e buscar informações que sejam úteis para melhor compreender suas propriedades relevantes.</w:t>
      </w:r>
      <w:r w:rsidR="0012462E">
        <w:rPr>
          <w:sz w:val="24"/>
          <w:szCs w:val="28"/>
        </w:rPr>
        <w:tab/>
      </w:r>
    </w:p>
    <w:p w:rsidR="002435FA" w:rsidRDefault="002435FA" w:rsidP="0090146E">
      <w:pPr>
        <w:tabs>
          <w:tab w:val="left" w:pos="709"/>
        </w:tabs>
        <w:spacing w:after="24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  <w:t>O objetivo deste trabalho é realizar a caracterização físico-química e e</w:t>
      </w:r>
      <w:r w:rsidRPr="002435FA">
        <w:rPr>
          <w:sz w:val="24"/>
          <w:szCs w:val="28"/>
        </w:rPr>
        <w:t>xtrair compostos</w:t>
      </w:r>
      <w:r w:rsidR="00445438">
        <w:rPr>
          <w:sz w:val="24"/>
          <w:szCs w:val="28"/>
        </w:rPr>
        <w:t xml:space="preserve"> fenólicos e </w:t>
      </w:r>
      <w:r w:rsidRPr="002435FA">
        <w:rPr>
          <w:sz w:val="24"/>
          <w:szCs w:val="28"/>
        </w:rPr>
        <w:t>a partir do pré-tratamento hidrotérmico da biomassa da casca de arroz</w:t>
      </w:r>
      <w:r w:rsidR="000900BF">
        <w:rPr>
          <w:sz w:val="24"/>
          <w:szCs w:val="28"/>
        </w:rPr>
        <w:t xml:space="preserve"> e analisar qual a melhor condição tempo x concentração de sólidos para quantificação de fenóis totais</w:t>
      </w:r>
      <w:r w:rsidRPr="002435FA">
        <w:rPr>
          <w:sz w:val="24"/>
          <w:szCs w:val="28"/>
        </w:rPr>
        <w:t>.</w:t>
      </w:r>
    </w:p>
    <w:p w:rsidR="0012462E" w:rsidRDefault="0012462E" w:rsidP="0012462E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t xml:space="preserve">2. </w:t>
      </w:r>
      <w:r w:rsidR="0090146E">
        <w:rPr>
          <w:b/>
          <w:sz w:val="24"/>
          <w:szCs w:val="24"/>
        </w:rPr>
        <w:t>MATERIAL E MÉTODOS</w:t>
      </w:r>
    </w:p>
    <w:p w:rsidR="0090146E" w:rsidRPr="0090146E" w:rsidRDefault="0090146E" w:rsidP="0090146E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Pr="0090146E">
        <w:rPr>
          <w:sz w:val="24"/>
          <w:szCs w:val="24"/>
        </w:rPr>
        <w:t>PREPARAÇÃO DA MATÉRIA-PRIMA</w:t>
      </w:r>
    </w:p>
    <w:p w:rsidR="0090146E" w:rsidRPr="0090146E" w:rsidRDefault="0090146E" w:rsidP="0090146E">
      <w:pPr>
        <w:spacing w:after="240" w:line="360" w:lineRule="auto"/>
        <w:ind w:firstLine="709"/>
        <w:jc w:val="both"/>
        <w:rPr>
          <w:sz w:val="24"/>
          <w:szCs w:val="24"/>
        </w:rPr>
      </w:pPr>
      <w:r w:rsidRPr="0090146E">
        <w:rPr>
          <w:sz w:val="24"/>
          <w:szCs w:val="24"/>
        </w:rPr>
        <w:t xml:space="preserve">A casca de arroz foi adquirida por doação da fabrica de beneficiamento Boa Esperança localizada na PA 154 na vila de </w:t>
      </w:r>
      <w:proofErr w:type="spellStart"/>
      <w:r w:rsidRPr="0090146E">
        <w:rPr>
          <w:sz w:val="24"/>
          <w:szCs w:val="24"/>
        </w:rPr>
        <w:t>Condeixa</w:t>
      </w:r>
      <w:proofErr w:type="spellEnd"/>
      <w:r w:rsidRPr="0090146E">
        <w:rPr>
          <w:sz w:val="24"/>
          <w:szCs w:val="24"/>
        </w:rPr>
        <w:t>. Inicialmente realizou-se processo de moagem da matéria-prima. A secagem da casca foi realizada em estufa com circulação de ar na temperatura de 60 ºC por um período de 12 horas até a obtenção da umidade abaixo de 10%, e após esta etapa foi armazenadas em potes de polietileno e mantidas hermeticamente fechadas em temperatura ambiente até o momento da realização das análises.</w:t>
      </w:r>
    </w:p>
    <w:p w:rsidR="0090146E" w:rsidRPr="0090146E" w:rsidRDefault="0090146E" w:rsidP="0090146E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 w:rsidRPr="0090146E">
        <w:rPr>
          <w:sz w:val="24"/>
          <w:szCs w:val="24"/>
        </w:rPr>
        <w:t>C</w:t>
      </w:r>
      <w:r w:rsidR="00527D6B">
        <w:rPr>
          <w:sz w:val="24"/>
          <w:szCs w:val="24"/>
        </w:rPr>
        <w:t>ARACTERIZAÇÃO FISÍCO-QUIMICA DA BIOMASSA DE</w:t>
      </w:r>
      <w:r w:rsidRPr="0090146E">
        <w:rPr>
          <w:sz w:val="24"/>
          <w:szCs w:val="24"/>
        </w:rPr>
        <w:t xml:space="preserve"> CASCA DE ARROZ</w:t>
      </w:r>
    </w:p>
    <w:p w:rsidR="00527D6B" w:rsidRPr="0090146E" w:rsidRDefault="0090146E" w:rsidP="00527D6B">
      <w:pPr>
        <w:spacing w:after="240" w:line="360" w:lineRule="auto"/>
        <w:ind w:firstLine="709"/>
        <w:jc w:val="both"/>
        <w:rPr>
          <w:sz w:val="24"/>
          <w:szCs w:val="24"/>
        </w:rPr>
      </w:pPr>
      <w:r w:rsidRPr="0090146E">
        <w:rPr>
          <w:sz w:val="24"/>
          <w:szCs w:val="24"/>
        </w:rPr>
        <w:t>A caracterização centesimal da biomassa foi efetivada em triplicata. sendo analisados teores de: umidade e sólid</w:t>
      </w:r>
      <w:r w:rsidR="00D52594">
        <w:rPr>
          <w:sz w:val="24"/>
          <w:szCs w:val="24"/>
        </w:rPr>
        <w:t>os totais (SLUITER et al., 2008</w:t>
      </w:r>
      <w:r w:rsidR="00787D4C">
        <w:rPr>
          <w:sz w:val="24"/>
          <w:szCs w:val="24"/>
        </w:rPr>
        <w:t>), (SLUITER et al., 2008), cinzas (SLUITER et al., 2008</w:t>
      </w:r>
      <w:r w:rsidRPr="0090146E">
        <w:rPr>
          <w:sz w:val="24"/>
          <w:szCs w:val="24"/>
        </w:rPr>
        <w:t>), acidez total e pH</w:t>
      </w:r>
      <w:r w:rsidR="00527D6B">
        <w:rPr>
          <w:sz w:val="24"/>
          <w:szCs w:val="24"/>
        </w:rPr>
        <w:t xml:space="preserve"> (INSTITUTO ADOLF LUTZ, 2008).</w:t>
      </w:r>
    </w:p>
    <w:p w:rsidR="0090146E" w:rsidRPr="0090146E" w:rsidRDefault="00527D6B" w:rsidP="00527D6B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 w:rsidRPr="0090146E">
        <w:rPr>
          <w:sz w:val="24"/>
          <w:szCs w:val="24"/>
        </w:rPr>
        <w:t>PRÉ-TRATAMENTO HIDROTÉRMICO (AUTO-HIDRÓLISE)</w:t>
      </w:r>
    </w:p>
    <w:p w:rsidR="00A82229" w:rsidRDefault="0090146E" w:rsidP="00A82229">
      <w:pPr>
        <w:spacing w:after="240" w:line="360" w:lineRule="auto"/>
        <w:ind w:firstLine="708"/>
        <w:jc w:val="both"/>
        <w:rPr>
          <w:sz w:val="24"/>
          <w:szCs w:val="24"/>
        </w:rPr>
      </w:pPr>
      <w:r w:rsidRPr="0090146E">
        <w:rPr>
          <w:sz w:val="24"/>
          <w:szCs w:val="24"/>
        </w:rPr>
        <w:lastRenderedPageBreak/>
        <w:t>O pré-tratamento hidrotérmico, foi realizado com a utilização de água destilada quente, utilizando a autoclave em temperatura de 121 °C, sendo esta temperatura determinada para os 12 (doze) ensaios do planejamento de experimentos 33, onde dozes ensaios terão como variáveis dependentes o tempo (1 minutos), e concentração de sólidos (2,0%, 6,0% e 10%) da casca de arroz.</w:t>
      </w:r>
    </w:p>
    <w:p w:rsidR="00A82229" w:rsidRPr="00A82229" w:rsidRDefault="00A82229" w:rsidP="00A82229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82229">
        <w:rPr>
          <w:sz w:val="24"/>
          <w:szCs w:val="24"/>
        </w:rPr>
        <w:t>.4 CONSTRUÇÃO DAS</w:t>
      </w:r>
      <w:r>
        <w:rPr>
          <w:sz w:val="24"/>
          <w:szCs w:val="24"/>
        </w:rPr>
        <w:t xml:space="preserve"> CURVAS DE ÁCIDO GÁLICO</w:t>
      </w:r>
    </w:p>
    <w:p w:rsidR="00A82229" w:rsidRDefault="00A82229" w:rsidP="00A82229">
      <w:pPr>
        <w:spacing w:after="240" w:line="360" w:lineRule="auto"/>
        <w:ind w:firstLine="708"/>
        <w:jc w:val="both"/>
        <w:rPr>
          <w:sz w:val="24"/>
          <w:szCs w:val="24"/>
        </w:rPr>
      </w:pPr>
      <w:r w:rsidRPr="00A82229">
        <w:rPr>
          <w:sz w:val="24"/>
          <w:szCs w:val="24"/>
        </w:rPr>
        <w:t xml:space="preserve">Para que se possa realizar a quantificação dos compostos fenólicos utilizou-se a metodologia descrita por </w:t>
      </w:r>
      <w:proofErr w:type="spellStart"/>
      <w:r w:rsidRPr="00A82229">
        <w:rPr>
          <w:sz w:val="24"/>
          <w:szCs w:val="24"/>
        </w:rPr>
        <w:t>Georgé</w:t>
      </w:r>
      <w:proofErr w:type="spellEnd"/>
      <w:r w:rsidRPr="00A82229">
        <w:rPr>
          <w:sz w:val="24"/>
          <w:szCs w:val="24"/>
        </w:rPr>
        <w:t xml:space="preserve"> et al. (2005), com algumas adaptações, para tal foi necessária construir uma curva padrão, sendo esta elaborada com a solução de ácido gálico. Assim, diluiu-se 0,02 g de ácido gálico em 1 mL de etanol, retirou 0,6 mL dessa mistura e depositou em um balão de 100 mL no qual o volume foi aferido com etanol, apresentando concentração final de 120 ϻg/mL. Com intuito de obter vários pontos na curva foram elaboradas diferentes diluições (Tabela 1) com concentrações variando de 120, 100, 80, 60, 50, 40, 20 ϻg/mL e lidas em espectrofotômetro com cumprimento de </w:t>
      </w:r>
      <w:r w:rsidRPr="000F1377">
        <w:rPr>
          <w:sz w:val="24"/>
          <w:szCs w:val="24"/>
        </w:rPr>
        <w:t>onda de 750 nm.</w:t>
      </w:r>
    </w:p>
    <w:p w:rsidR="00C775E3" w:rsidRPr="00555769" w:rsidRDefault="00C775E3" w:rsidP="00C775E3">
      <w:pPr>
        <w:pStyle w:val="Legenda"/>
        <w:keepNext/>
        <w:spacing w:after="0" w:line="360" w:lineRule="auto"/>
        <w:rPr>
          <w:rFonts w:ascii="Times New Roman" w:hAnsi="Times New Roman"/>
          <w:i w:val="0"/>
          <w:color w:val="auto"/>
          <w:sz w:val="22"/>
          <w:szCs w:val="22"/>
        </w:rPr>
      </w:pPr>
      <w:r w:rsidRPr="00C775E3">
        <w:rPr>
          <w:rFonts w:ascii="Times New Roman" w:hAnsi="Times New Roman"/>
          <w:i w:val="0"/>
          <w:color w:val="auto"/>
          <w:sz w:val="22"/>
          <w:szCs w:val="22"/>
        </w:rPr>
        <w:t>Tabela 1- concentrações utilizadas para a construção da curva</w:t>
      </w:r>
      <w:r>
        <w:rPr>
          <w:rFonts w:ascii="Times New Roman" w:hAnsi="Times New Roman"/>
          <w:i w:val="0"/>
          <w:color w:val="auto"/>
          <w:sz w:val="22"/>
          <w:szCs w:val="22"/>
        </w:rPr>
        <w:t>;</w:t>
      </w:r>
    </w:p>
    <w:tbl>
      <w:tblPr>
        <w:tblStyle w:val="Tabelacomgrade1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94"/>
        <w:gridCol w:w="3004"/>
        <w:gridCol w:w="3023"/>
      </w:tblGrid>
      <w:tr w:rsidR="00C35456" w:rsidRPr="00555769" w:rsidTr="007C1D03">
        <w:tc>
          <w:tcPr>
            <w:tcW w:w="1868" w:type="pct"/>
            <w:tcBorders>
              <w:top w:val="single" w:sz="2" w:space="0" w:color="000000" w:themeColor="text1"/>
              <w:bottom w:val="single" w:sz="2" w:space="0" w:color="000000" w:themeColor="text1"/>
              <w:right w:val="nil"/>
            </w:tcBorders>
          </w:tcPr>
          <w:p w:rsidR="00C35456" w:rsidRPr="00C35456" w:rsidRDefault="00C35456" w:rsidP="00C35456">
            <w:pPr>
              <w:spacing w:line="360" w:lineRule="auto"/>
              <w:jc w:val="center"/>
              <w:rPr>
                <w:b/>
              </w:rPr>
            </w:pPr>
            <w:r w:rsidRPr="00C35456">
              <w:rPr>
                <w:b/>
                <w:sz w:val="22"/>
              </w:rPr>
              <w:t>Concentrações</w:t>
            </w:r>
            <w:r w:rsidR="002271D6">
              <w:rPr>
                <w:b/>
                <w:sz w:val="22"/>
              </w:rPr>
              <w:t xml:space="preserve"> (</w:t>
            </w:r>
            <w:r w:rsidR="002271D6" w:rsidRPr="00C35456">
              <w:rPr>
                <w:sz w:val="22"/>
              </w:rPr>
              <w:t>ϻg/mL</w:t>
            </w:r>
            <w:r w:rsidR="002271D6">
              <w:rPr>
                <w:sz w:val="22"/>
              </w:rPr>
              <w:t>)</w:t>
            </w:r>
          </w:p>
        </w:tc>
        <w:tc>
          <w:tcPr>
            <w:tcW w:w="1561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:rsidR="00C35456" w:rsidRPr="00C35456" w:rsidRDefault="00C35456" w:rsidP="00C35456">
            <w:pPr>
              <w:spacing w:line="360" w:lineRule="auto"/>
              <w:jc w:val="center"/>
              <w:rPr>
                <w:b/>
                <w:sz w:val="22"/>
              </w:rPr>
            </w:pPr>
            <w:r w:rsidRPr="00C35456">
              <w:rPr>
                <w:b/>
                <w:sz w:val="22"/>
              </w:rPr>
              <w:t>Etanol</w:t>
            </w:r>
            <w:r w:rsidR="002271D6">
              <w:rPr>
                <w:b/>
                <w:sz w:val="22"/>
              </w:rPr>
              <w:t xml:space="preserve"> (mL)</w:t>
            </w:r>
          </w:p>
        </w:tc>
        <w:tc>
          <w:tcPr>
            <w:tcW w:w="1571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:rsidR="00C35456" w:rsidRPr="00C35456" w:rsidRDefault="00C35456" w:rsidP="00C35456">
            <w:pPr>
              <w:spacing w:line="360" w:lineRule="auto"/>
              <w:jc w:val="center"/>
              <w:rPr>
                <w:b/>
                <w:sz w:val="22"/>
              </w:rPr>
            </w:pPr>
            <w:r w:rsidRPr="00C35456">
              <w:rPr>
                <w:b/>
                <w:sz w:val="22"/>
              </w:rPr>
              <w:t>Solução padrões</w:t>
            </w:r>
            <w:r w:rsidR="002271D6">
              <w:rPr>
                <w:b/>
                <w:sz w:val="22"/>
              </w:rPr>
              <w:t xml:space="preserve"> (mL)</w:t>
            </w:r>
          </w:p>
        </w:tc>
      </w:tr>
      <w:tr w:rsidR="00C35456" w:rsidRPr="00555769" w:rsidTr="007C1D03">
        <w:tc>
          <w:tcPr>
            <w:tcW w:w="1868" w:type="pct"/>
            <w:tcBorders>
              <w:top w:val="single" w:sz="2" w:space="0" w:color="000000" w:themeColor="text1"/>
              <w:bottom w:val="single" w:sz="2" w:space="0" w:color="FFFFFF" w:themeColor="background1"/>
              <w:right w:val="nil"/>
            </w:tcBorders>
          </w:tcPr>
          <w:p w:rsidR="00C35456" w:rsidRPr="00C35456" w:rsidRDefault="00C35456" w:rsidP="00C35456">
            <w:pPr>
              <w:spacing w:line="360" w:lineRule="auto"/>
              <w:jc w:val="center"/>
              <w:rPr>
                <w:sz w:val="22"/>
              </w:rPr>
            </w:pPr>
            <w:r w:rsidRPr="00C35456">
              <w:rPr>
                <w:sz w:val="22"/>
              </w:rPr>
              <w:t>120</w:t>
            </w:r>
          </w:p>
        </w:tc>
        <w:tc>
          <w:tcPr>
            <w:tcW w:w="1561" w:type="pct"/>
            <w:tcBorders>
              <w:top w:val="single" w:sz="2" w:space="0" w:color="000000" w:themeColor="text1"/>
              <w:left w:val="nil"/>
              <w:bottom w:val="single" w:sz="2" w:space="0" w:color="FFFFFF" w:themeColor="background1"/>
              <w:right w:val="nil"/>
            </w:tcBorders>
          </w:tcPr>
          <w:p w:rsidR="00C35456" w:rsidRPr="00C35456" w:rsidRDefault="00C35456" w:rsidP="00C35456">
            <w:pPr>
              <w:spacing w:line="360" w:lineRule="auto"/>
              <w:jc w:val="center"/>
              <w:rPr>
                <w:sz w:val="22"/>
              </w:rPr>
            </w:pPr>
            <w:r w:rsidRPr="00C35456">
              <w:rPr>
                <w:sz w:val="22"/>
              </w:rPr>
              <w:t>0,0</w:t>
            </w:r>
          </w:p>
        </w:tc>
        <w:tc>
          <w:tcPr>
            <w:tcW w:w="1571" w:type="pct"/>
            <w:tcBorders>
              <w:top w:val="single" w:sz="2" w:space="0" w:color="000000" w:themeColor="text1"/>
              <w:left w:val="nil"/>
              <w:bottom w:val="single" w:sz="2" w:space="0" w:color="FFFFFF" w:themeColor="background1"/>
              <w:right w:val="nil"/>
            </w:tcBorders>
          </w:tcPr>
          <w:p w:rsidR="00C35456" w:rsidRPr="00C35456" w:rsidRDefault="00C35456" w:rsidP="00C35456">
            <w:pPr>
              <w:spacing w:line="360" w:lineRule="auto"/>
              <w:jc w:val="center"/>
              <w:rPr>
                <w:sz w:val="22"/>
              </w:rPr>
            </w:pPr>
            <w:r w:rsidRPr="00C35456">
              <w:rPr>
                <w:sz w:val="22"/>
              </w:rPr>
              <w:t>3,0</w:t>
            </w:r>
          </w:p>
        </w:tc>
      </w:tr>
      <w:tr w:rsidR="00C35456" w:rsidRPr="00555769" w:rsidTr="007C1D03">
        <w:tc>
          <w:tcPr>
            <w:tcW w:w="1868" w:type="pct"/>
            <w:tcBorders>
              <w:top w:val="single" w:sz="2" w:space="0" w:color="FFFFFF" w:themeColor="background1"/>
              <w:bottom w:val="single" w:sz="2" w:space="0" w:color="FFFFFF" w:themeColor="background1"/>
              <w:right w:val="nil"/>
            </w:tcBorders>
          </w:tcPr>
          <w:p w:rsidR="00C35456" w:rsidRPr="00C35456" w:rsidRDefault="00C35456" w:rsidP="00C35456">
            <w:pPr>
              <w:spacing w:line="360" w:lineRule="auto"/>
              <w:jc w:val="center"/>
              <w:rPr>
                <w:sz w:val="22"/>
              </w:rPr>
            </w:pPr>
            <w:r w:rsidRPr="00C35456">
              <w:rPr>
                <w:sz w:val="22"/>
              </w:rPr>
              <w:t>100</w:t>
            </w:r>
          </w:p>
        </w:tc>
        <w:tc>
          <w:tcPr>
            <w:tcW w:w="1561" w:type="pct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C35456" w:rsidRPr="00C35456" w:rsidRDefault="00C35456" w:rsidP="00C35456">
            <w:pPr>
              <w:spacing w:line="360" w:lineRule="auto"/>
              <w:jc w:val="center"/>
              <w:rPr>
                <w:sz w:val="22"/>
              </w:rPr>
            </w:pPr>
            <w:r w:rsidRPr="00C35456">
              <w:rPr>
                <w:sz w:val="22"/>
              </w:rPr>
              <w:t>0,5</w:t>
            </w:r>
          </w:p>
        </w:tc>
        <w:tc>
          <w:tcPr>
            <w:tcW w:w="1571" w:type="pct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C35456" w:rsidRPr="00C35456" w:rsidRDefault="00C35456" w:rsidP="00C35456">
            <w:pPr>
              <w:spacing w:line="360" w:lineRule="auto"/>
              <w:jc w:val="center"/>
              <w:rPr>
                <w:sz w:val="22"/>
              </w:rPr>
            </w:pPr>
            <w:r w:rsidRPr="00C35456">
              <w:rPr>
                <w:sz w:val="22"/>
              </w:rPr>
              <w:t>2,5</w:t>
            </w:r>
          </w:p>
        </w:tc>
      </w:tr>
      <w:tr w:rsidR="00C35456" w:rsidRPr="00555769" w:rsidTr="007C1D03">
        <w:tc>
          <w:tcPr>
            <w:tcW w:w="1868" w:type="pct"/>
            <w:tcBorders>
              <w:top w:val="single" w:sz="2" w:space="0" w:color="FFFFFF" w:themeColor="background1"/>
              <w:bottom w:val="single" w:sz="2" w:space="0" w:color="FFFFFF" w:themeColor="background1"/>
              <w:right w:val="nil"/>
            </w:tcBorders>
          </w:tcPr>
          <w:p w:rsidR="00C35456" w:rsidRPr="00C35456" w:rsidRDefault="00C35456" w:rsidP="00C35456">
            <w:pPr>
              <w:spacing w:line="360" w:lineRule="auto"/>
              <w:jc w:val="center"/>
              <w:rPr>
                <w:sz w:val="22"/>
              </w:rPr>
            </w:pPr>
            <w:r w:rsidRPr="00C35456">
              <w:rPr>
                <w:sz w:val="22"/>
              </w:rPr>
              <w:t>80</w:t>
            </w:r>
          </w:p>
        </w:tc>
        <w:tc>
          <w:tcPr>
            <w:tcW w:w="1561" w:type="pct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C35456" w:rsidRPr="00C35456" w:rsidRDefault="00C35456" w:rsidP="00C35456">
            <w:pPr>
              <w:spacing w:line="360" w:lineRule="auto"/>
              <w:jc w:val="center"/>
              <w:rPr>
                <w:sz w:val="22"/>
              </w:rPr>
            </w:pPr>
            <w:r w:rsidRPr="00C35456">
              <w:rPr>
                <w:sz w:val="22"/>
              </w:rPr>
              <w:t>1,0</w:t>
            </w:r>
          </w:p>
        </w:tc>
        <w:tc>
          <w:tcPr>
            <w:tcW w:w="1571" w:type="pct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C35456" w:rsidRPr="00C35456" w:rsidRDefault="00C35456" w:rsidP="00C35456">
            <w:pPr>
              <w:spacing w:line="360" w:lineRule="auto"/>
              <w:jc w:val="center"/>
              <w:rPr>
                <w:sz w:val="22"/>
              </w:rPr>
            </w:pPr>
            <w:r w:rsidRPr="00C35456">
              <w:rPr>
                <w:sz w:val="22"/>
              </w:rPr>
              <w:t>2,0</w:t>
            </w:r>
          </w:p>
        </w:tc>
      </w:tr>
      <w:tr w:rsidR="00C35456" w:rsidRPr="00555769" w:rsidTr="007C1D03">
        <w:tc>
          <w:tcPr>
            <w:tcW w:w="1868" w:type="pct"/>
            <w:tcBorders>
              <w:top w:val="single" w:sz="2" w:space="0" w:color="FFFFFF" w:themeColor="background1"/>
              <w:bottom w:val="single" w:sz="2" w:space="0" w:color="FFFFFF" w:themeColor="background1"/>
              <w:right w:val="nil"/>
            </w:tcBorders>
          </w:tcPr>
          <w:p w:rsidR="00C35456" w:rsidRPr="00C35456" w:rsidRDefault="00C35456" w:rsidP="00C35456">
            <w:pPr>
              <w:spacing w:line="360" w:lineRule="auto"/>
              <w:jc w:val="center"/>
              <w:rPr>
                <w:sz w:val="22"/>
              </w:rPr>
            </w:pPr>
            <w:r w:rsidRPr="00C35456">
              <w:rPr>
                <w:sz w:val="22"/>
              </w:rPr>
              <w:t>60</w:t>
            </w:r>
          </w:p>
        </w:tc>
        <w:tc>
          <w:tcPr>
            <w:tcW w:w="1561" w:type="pct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C35456" w:rsidRPr="00C35456" w:rsidRDefault="00C35456" w:rsidP="00C35456">
            <w:pPr>
              <w:spacing w:line="360" w:lineRule="auto"/>
              <w:jc w:val="center"/>
              <w:rPr>
                <w:sz w:val="22"/>
              </w:rPr>
            </w:pPr>
            <w:r w:rsidRPr="00C35456">
              <w:rPr>
                <w:sz w:val="22"/>
              </w:rPr>
              <w:t>1,5</w:t>
            </w:r>
          </w:p>
        </w:tc>
        <w:tc>
          <w:tcPr>
            <w:tcW w:w="1571" w:type="pct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C35456" w:rsidRPr="00C35456" w:rsidRDefault="00C35456" w:rsidP="00C35456">
            <w:pPr>
              <w:spacing w:line="360" w:lineRule="auto"/>
              <w:jc w:val="center"/>
              <w:rPr>
                <w:sz w:val="22"/>
              </w:rPr>
            </w:pPr>
            <w:r w:rsidRPr="00C35456">
              <w:rPr>
                <w:sz w:val="22"/>
              </w:rPr>
              <w:t>1,5</w:t>
            </w:r>
          </w:p>
        </w:tc>
      </w:tr>
      <w:tr w:rsidR="00C35456" w:rsidRPr="00555769" w:rsidTr="007C1D03">
        <w:tc>
          <w:tcPr>
            <w:tcW w:w="1868" w:type="pct"/>
            <w:tcBorders>
              <w:top w:val="single" w:sz="2" w:space="0" w:color="FFFFFF" w:themeColor="background1"/>
              <w:bottom w:val="single" w:sz="2" w:space="0" w:color="FFFFFF" w:themeColor="background1"/>
              <w:right w:val="nil"/>
            </w:tcBorders>
          </w:tcPr>
          <w:p w:rsidR="00C35456" w:rsidRPr="00C35456" w:rsidRDefault="00C35456" w:rsidP="00C35456">
            <w:pPr>
              <w:spacing w:line="360" w:lineRule="auto"/>
              <w:jc w:val="center"/>
              <w:rPr>
                <w:sz w:val="22"/>
              </w:rPr>
            </w:pPr>
            <w:r w:rsidRPr="00C35456">
              <w:rPr>
                <w:sz w:val="22"/>
              </w:rPr>
              <w:t>50</w:t>
            </w:r>
          </w:p>
        </w:tc>
        <w:tc>
          <w:tcPr>
            <w:tcW w:w="1561" w:type="pct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C35456" w:rsidRPr="00C35456" w:rsidRDefault="00C35456" w:rsidP="00C35456">
            <w:pPr>
              <w:spacing w:line="360" w:lineRule="auto"/>
              <w:jc w:val="center"/>
              <w:rPr>
                <w:sz w:val="22"/>
              </w:rPr>
            </w:pPr>
            <w:r w:rsidRPr="00C35456">
              <w:rPr>
                <w:sz w:val="22"/>
              </w:rPr>
              <w:t>1,75</w:t>
            </w:r>
          </w:p>
        </w:tc>
        <w:tc>
          <w:tcPr>
            <w:tcW w:w="1571" w:type="pct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C35456" w:rsidRPr="00C35456" w:rsidRDefault="00C35456" w:rsidP="00C35456">
            <w:pPr>
              <w:spacing w:line="360" w:lineRule="auto"/>
              <w:jc w:val="center"/>
              <w:rPr>
                <w:sz w:val="22"/>
              </w:rPr>
            </w:pPr>
            <w:r w:rsidRPr="00C35456">
              <w:rPr>
                <w:sz w:val="22"/>
              </w:rPr>
              <w:t>1,25</w:t>
            </w:r>
          </w:p>
        </w:tc>
      </w:tr>
      <w:tr w:rsidR="00C35456" w:rsidRPr="00555769" w:rsidTr="007C1D03">
        <w:tc>
          <w:tcPr>
            <w:tcW w:w="1868" w:type="pct"/>
            <w:tcBorders>
              <w:top w:val="single" w:sz="2" w:space="0" w:color="FFFFFF" w:themeColor="background1"/>
              <w:bottom w:val="single" w:sz="2" w:space="0" w:color="FFFFFF" w:themeColor="background1"/>
              <w:right w:val="nil"/>
            </w:tcBorders>
          </w:tcPr>
          <w:p w:rsidR="00C35456" w:rsidRPr="00C35456" w:rsidRDefault="00C35456" w:rsidP="00C35456">
            <w:pPr>
              <w:spacing w:line="360" w:lineRule="auto"/>
              <w:jc w:val="center"/>
              <w:rPr>
                <w:sz w:val="22"/>
              </w:rPr>
            </w:pPr>
            <w:r w:rsidRPr="00C35456">
              <w:rPr>
                <w:sz w:val="22"/>
              </w:rPr>
              <w:t>40</w:t>
            </w:r>
          </w:p>
        </w:tc>
        <w:tc>
          <w:tcPr>
            <w:tcW w:w="1561" w:type="pct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C35456" w:rsidRPr="00C35456" w:rsidRDefault="00C35456" w:rsidP="00C35456">
            <w:pPr>
              <w:spacing w:line="360" w:lineRule="auto"/>
              <w:jc w:val="center"/>
              <w:rPr>
                <w:sz w:val="22"/>
              </w:rPr>
            </w:pPr>
            <w:r w:rsidRPr="00C35456">
              <w:rPr>
                <w:sz w:val="22"/>
              </w:rPr>
              <w:t>2,0</w:t>
            </w:r>
          </w:p>
        </w:tc>
        <w:tc>
          <w:tcPr>
            <w:tcW w:w="1571" w:type="pct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C35456" w:rsidRPr="00C35456" w:rsidRDefault="00C35456" w:rsidP="00C35456">
            <w:pPr>
              <w:spacing w:line="360" w:lineRule="auto"/>
              <w:jc w:val="center"/>
              <w:rPr>
                <w:sz w:val="22"/>
              </w:rPr>
            </w:pPr>
            <w:r w:rsidRPr="00C35456">
              <w:rPr>
                <w:sz w:val="22"/>
              </w:rPr>
              <w:t>1,0</w:t>
            </w:r>
          </w:p>
        </w:tc>
      </w:tr>
      <w:tr w:rsidR="00C35456" w:rsidRPr="00555769" w:rsidTr="007C1D03">
        <w:tc>
          <w:tcPr>
            <w:tcW w:w="1868" w:type="pct"/>
            <w:tcBorders>
              <w:top w:val="single" w:sz="2" w:space="0" w:color="FFFFFF" w:themeColor="background1"/>
              <w:bottom w:val="single" w:sz="2" w:space="0" w:color="000000" w:themeColor="text1"/>
              <w:right w:val="nil"/>
            </w:tcBorders>
          </w:tcPr>
          <w:p w:rsidR="00C35456" w:rsidRPr="00C35456" w:rsidRDefault="00C35456" w:rsidP="00C35456">
            <w:pPr>
              <w:spacing w:line="360" w:lineRule="auto"/>
              <w:jc w:val="center"/>
              <w:rPr>
                <w:sz w:val="22"/>
              </w:rPr>
            </w:pPr>
            <w:r w:rsidRPr="00C35456">
              <w:rPr>
                <w:sz w:val="22"/>
              </w:rPr>
              <w:t>20</w:t>
            </w:r>
          </w:p>
        </w:tc>
        <w:tc>
          <w:tcPr>
            <w:tcW w:w="1561" w:type="pct"/>
            <w:tcBorders>
              <w:top w:val="single" w:sz="2" w:space="0" w:color="FFFFFF" w:themeColor="background1"/>
              <w:left w:val="nil"/>
              <w:bottom w:val="single" w:sz="2" w:space="0" w:color="000000" w:themeColor="text1"/>
              <w:right w:val="nil"/>
            </w:tcBorders>
          </w:tcPr>
          <w:p w:rsidR="00C35456" w:rsidRPr="00C35456" w:rsidRDefault="00C35456" w:rsidP="00C35456">
            <w:pPr>
              <w:spacing w:line="360" w:lineRule="auto"/>
              <w:jc w:val="center"/>
              <w:rPr>
                <w:sz w:val="22"/>
              </w:rPr>
            </w:pPr>
            <w:r w:rsidRPr="00C35456">
              <w:rPr>
                <w:sz w:val="22"/>
              </w:rPr>
              <w:t>2,5</w:t>
            </w:r>
          </w:p>
        </w:tc>
        <w:tc>
          <w:tcPr>
            <w:tcW w:w="1571" w:type="pct"/>
            <w:tcBorders>
              <w:top w:val="single" w:sz="2" w:space="0" w:color="FFFFFF" w:themeColor="background1"/>
              <w:left w:val="nil"/>
              <w:bottom w:val="single" w:sz="2" w:space="0" w:color="000000" w:themeColor="text1"/>
              <w:right w:val="nil"/>
            </w:tcBorders>
          </w:tcPr>
          <w:p w:rsidR="00C35456" w:rsidRPr="00C35456" w:rsidRDefault="00C35456" w:rsidP="00C35456">
            <w:pPr>
              <w:spacing w:line="360" w:lineRule="auto"/>
              <w:jc w:val="center"/>
              <w:rPr>
                <w:sz w:val="22"/>
              </w:rPr>
            </w:pPr>
            <w:r w:rsidRPr="00C35456">
              <w:rPr>
                <w:sz w:val="22"/>
              </w:rPr>
              <w:t>0,5</w:t>
            </w:r>
          </w:p>
        </w:tc>
      </w:tr>
    </w:tbl>
    <w:p w:rsidR="00C775E3" w:rsidRDefault="00A20FD7" w:rsidP="00C775E3">
      <w:pPr>
        <w:spacing w:after="240" w:line="360" w:lineRule="auto"/>
        <w:jc w:val="both"/>
        <w:rPr>
          <w:sz w:val="24"/>
          <w:szCs w:val="24"/>
        </w:rPr>
      </w:pPr>
      <w:r w:rsidRPr="00A20FD7">
        <w:rPr>
          <w:sz w:val="22"/>
          <w:szCs w:val="22"/>
        </w:rPr>
        <w:t>Fonte: Próprios autores, (2018).</w:t>
      </w:r>
    </w:p>
    <w:p w:rsidR="00603A8C" w:rsidRPr="00603A8C" w:rsidRDefault="00A20FD7" w:rsidP="00603A8C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 ANÁLISE </w:t>
      </w:r>
      <w:r w:rsidRPr="00603A8C">
        <w:rPr>
          <w:sz w:val="24"/>
          <w:szCs w:val="24"/>
        </w:rPr>
        <w:t>DOS RESULTADOS</w:t>
      </w:r>
      <w:r>
        <w:rPr>
          <w:sz w:val="24"/>
          <w:szCs w:val="24"/>
        </w:rPr>
        <w:t xml:space="preserve"> </w:t>
      </w:r>
    </w:p>
    <w:p w:rsidR="0012462E" w:rsidRPr="003264DE" w:rsidRDefault="00F13837" w:rsidP="003264DE">
      <w:pPr>
        <w:spacing w:after="24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</w:t>
      </w:r>
      <w:r w:rsidR="00603A8C">
        <w:rPr>
          <w:sz w:val="24"/>
          <w:szCs w:val="24"/>
        </w:rPr>
        <w:t>resultados</w:t>
      </w:r>
      <w:r>
        <w:rPr>
          <w:sz w:val="24"/>
          <w:szCs w:val="24"/>
        </w:rPr>
        <w:t xml:space="preserve"> obtidos foram tratados</w:t>
      </w:r>
      <w:r w:rsidR="00603A8C">
        <w:rPr>
          <w:sz w:val="24"/>
          <w:szCs w:val="24"/>
        </w:rPr>
        <w:t xml:space="preserve"> </w:t>
      </w:r>
      <w:r w:rsidR="00603A8C" w:rsidRPr="00603A8C">
        <w:rPr>
          <w:sz w:val="24"/>
          <w:szCs w:val="24"/>
        </w:rPr>
        <w:t xml:space="preserve">por meio do </w:t>
      </w:r>
      <w:r w:rsidR="00603A8C">
        <w:rPr>
          <w:sz w:val="24"/>
          <w:szCs w:val="24"/>
        </w:rPr>
        <w:t xml:space="preserve">programa </w:t>
      </w:r>
      <w:r w:rsidR="00A20FD7">
        <w:rPr>
          <w:sz w:val="24"/>
          <w:szCs w:val="24"/>
        </w:rPr>
        <w:t xml:space="preserve">estatístico </w:t>
      </w:r>
      <w:r w:rsidR="00603A8C">
        <w:rPr>
          <w:sz w:val="24"/>
          <w:szCs w:val="24"/>
        </w:rPr>
        <w:t>Excel 2010,</w:t>
      </w:r>
      <w:r w:rsidR="00603A8C" w:rsidRPr="00603A8C">
        <w:rPr>
          <w:sz w:val="24"/>
          <w:szCs w:val="24"/>
        </w:rPr>
        <w:t xml:space="preserve"> para verificar 12 ensaios em um planejamento experimental. Os tratamentos verificados </w:t>
      </w:r>
      <w:r>
        <w:rPr>
          <w:sz w:val="24"/>
          <w:szCs w:val="24"/>
        </w:rPr>
        <w:t>foram</w:t>
      </w:r>
      <w:r w:rsidR="00603A8C" w:rsidRPr="00603A8C">
        <w:rPr>
          <w:sz w:val="24"/>
          <w:szCs w:val="24"/>
        </w:rPr>
        <w:t xml:space="preserve">: as variáveis independentes (tempo e concentração de sólidos) e a resposta </w:t>
      </w:r>
      <w:r w:rsidR="00C51241">
        <w:rPr>
          <w:sz w:val="24"/>
          <w:szCs w:val="24"/>
        </w:rPr>
        <w:t>foi</w:t>
      </w:r>
      <w:r w:rsidR="00C51241" w:rsidRPr="00603A8C">
        <w:rPr>
          <w:sz w:val="24"/>
          <w:szCs w:val="24"/>
        </w:rPr>
        <w:t xml:space="preserve"> </w:t>
      </w:r>
      <w:r w:rsidR="00603A8C" w:rsidRPr="00603A8C">
        <w:rPr>
          <w:sz w:val="24"/>
          <w:szCs w:val="24"/>
        </w:rPr>
        <w:t>obtida p</w:t>
      </w:r>
      <w:r w:rsidR="00C51241">
        <w:rPr>
          <w:sz w:val="24"/>
          <w:szCs w:val="24"/>
        </w:rPr>
        <w:t>ela</w:t>
      </w:r>
      <w:r w:rsidR="00603A8C" w:rsidRPr="00603A8C">
        <w:rPr>
          <w:sz w:val="24"/>
          <w:szCs w:val="24"/>
        </w:rPr>
        <w:t xml:space="preserve"> variáve</w:t>
      </w:r>
      <w:r w:rsidR="0021388D">
        <w:rPr>
          <w:sz w:val="24"/>
          <w:szCs w:val="24"/>
        </w:rPr>
        <w:t>l</w:t>
      </w:r>
      <w:r w:rsidR="00603A8C" w:rsidRPr="00603A8C">
        <w:rPr>
          <w:sz w:val="24"/>
          <w:szCs w:val="24"/>
        </w:rPr>
        <w:t xml:space="preserve"> </w:t>
      </w:r>
      <w:proofErr w:type="gramStart"/>
      <w:r w:rsidR="000A2DE2">
        <w:rPr>
          <w:sz w:val="24"/>
          <w:szCs w:val="24"/>
        </w:rPr>
        <w:t>dependente compostos fenólicos</w:t>
      </w:r>
      <w:proofErr w:type="gramEnd"/>
      <w:r w:rsidR="00603A8C" w:rsidRPr="00603A8C">
        <w:rPr>
          <w:sz w:val="24"/>
          <w:szCs w:val="24"/>
        </w:rPr>
        <w:t>.</w:t>
      </w:r>
      <w:r w:rsidR="00ED5D1D">
        <w:rPr>
          <w:sz w:val="24"/>
          <w:szCs w:val="24"/>
        </w:rPr>
        <w:t xml:space="preserve"> </w:t>
      </w:r>
    </w:p>
    <w:p w:rsidR="00ED5D1D" w:rsidRDefault="0012462E" w:rsidP="00ED5D1D">
      <w:pPr>
        <w:tabs>
          <w:tab w:val="left" w:pos="1290"/>
        </w:tabs>
        <w:spacing w:after="240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lastRenderedPageBreak/>
        <w:t xml:space="preserve">3. </w:t>
      </w:r>
      <w:r w:rsidRPr="00001E41">
        <w:rPr>
          <w:b/>
          <w:sz w:val="24"/>
          <w:szCs w:val="24"/>
        </w:rPr>
        <w:t>RESULTADOS E DISCUSSÃO</w:t>
      </w:r>
      <w:r w:rsidRPr="00001E41">
        <w:rPr>
          <w:b/>
          <w:sz w:val="28"/>
          <w:szCs w:val="28"/>
        </w:rPr>
        <w:t xml:space="preserve"> </w:t>
      </w:r>
    </w:p>
    <w:p w:rsidR="00ED5D1D" w:rsidRPr="00ED5D1D" w:rsidRDefault="00ED5D1D" w:rsidP="00ED5D1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D5D1D">
        <w:rPr>
          <w:sz w:val="24"/>
          <w:szCs w:val="24"/>
        </w:rPr>
        <w:t xml:space="preserve">.1 CARACTERIZAÇÃO FÍSICO-QUÍMICA </w:t>
      </w:r>
    </w:p>
    <w:p w:rsidR="00ED5D1D" w:rsidRDefault="00ED5D1D" w:rsidP="00ED5D1D">
      <w:pPr>
        <w:spacing w:line="360" w:lineRule="auto"/>
        <w:ind w:firstLine="708"/>
        <w:jc w:val="both"/>
        <w:rPr>
          <w:sz w:val="24"/>
          <w:szCs w:val="24"/>
        </w:rPr>
      </w:pPr>
      <w:r w:rsidRPr="00ED5D1D">
        <w:rPr>
          <w:sz w:val="24"/>
          <w:szCs w:val="24"/>
        </w:rPr>
        <w:t>De acordo com os resultados para a caracterização da casca de arroz, apresentados na Tabela 2, fica visível a eficiência da secagem da casca de arroz, pois obteve-se umidade inferior a 10%. Quanto ao teor de cinzas está se mostrou próximo aos valores relatados na literatura. O valor obtido para acidez total titulável é considerado baixo, estando este fator relacionado ao pH próximo a neutralidade.</w:t>
      </w:r>
    </w:p>
    <w:p w:rsidR="00ED5D1D" w:rsidRDefault="00ED5D1D" w:rsidP="00ED5D1D">
      <w:pPr>
        <w:spacing w:line="360" w:lineRule="auto"/>
        <w:jc w:val="both"/>
        <w:rPr>
          <w:sz w:val="22"/>
          <w:szCs w:val="24"/>
        </w:rPr>
      </w:pPr>
      <w:r w:rsidRPr="00ED5D1D">
        <w:rPr>
          <w:sz w:val="22"/>
          <w:szCs w:val="24"/>
        </w:rPr>
        <w:t>Tabela 2</w:t>
      </w:r>
      <w:r>
        <w:rPr>
          <w:sz w:val="22"/>
          <w:szCs w:val="24"/>
        </w:rPr>
        <w:t xml:space="preserve"> –</w:t>
      </w:r>
      <w:r w:rsidRPr="00ED5D1D">
        <w:rPr>
          <w:sz w:val="22"/>
          <w:szCs w:val="24"/>
        </w:rPr>
        <w:t xml:space="preserve"> Caracterização</w:t>
      </w:r>
      <w:r>
        <w:rPr>
          <w:sz w:val="22"/>
          <w:szCs w:val="24"/>
        </w:rPr>
        <w:t xml:space="preserve"> físico-química</w:t>
      </w:r>
      <w:r w:rsidRPr="00ED5D1D">
        <w:rPr>
          <w:sz w:val="22"/>
          <w:szCs w:val="24"/>
        </w:rPr>
        <w:t xml:space="preserve"> da casca de arroz</w:t>
      </w:r>
      <w:r>
        <w:rPr>
          <w:sz w:val="22"/>
          <w:szCs w:val="24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2"/>
        <w:gridCol w:w="258"/>
        <w:gridCol w:w="4515"/>
      </w:tblGrid>
      <w:tr w:rsidR="00ED5D1D" w:rsidRPr="000E60D0" w:rsidTr="007C1D03">
        <w:trPr>
          <w:trHeight w:val="409"/>
        </w:trPr>
        <w:tc>
          <w:tcPr>
            <w:tcW w:w="2500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vAlign w:val="center"/>
          </w:tcPr>
          <w:p w:rsidR="00ED5D1D" w:rsidRPr="00ED5D1D" w:rsidRDefault="00ED5D1D" w:rsidP="00F13837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ED5D1D">
              <w:rPr>
                <w:b/>
                <w:color w:val="000000"/>
                <w:sz w:val="22"/>
                <w:szCs w:val="28"/>
              </w:rPr>
              <w:t>Parâmetros (%)</w:t>
            </w:r>
          </w:p>
        </w:tc>
        <w:tc>
          <w:tcPr>
            <w:tcW w:w="2500" w:type="pct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center"/>
          </w:tcPr>
          <w:p w:rsidR="00ED5D1D" w:rsidRPr="00ED5D1D" w:rsidRDefault="00ED5D1D" w:rsidP="00F13837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ED5D1D">
              <w:rPr>
                <w:b/>
                <w:bCs/>
                <w:color w:val="000000"/>
                <w:sz w:val="22"/>
                <w:szCs w:val="24"/>
              </w:rPr>
              <w:t>Resultados</w:t>
            </w:r>
          </w:p>
        </w:tc>
      </w:tr>
      <w:tr w:rsidR="00ED5D1D" w:rsidRPr="000E60D0" w:rsidTr="007C1D03">
        <w:trPr>
          <w:trHeight w:val="315"/>
        </w:trPr>
        <w:tc>
          <w:tcPr>
            <w:tcW w:w="2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D1D" w:rsidRPr="00ED5D1D" w:rsidRDefault="00ED5D1D" w:rsidP="00ED5D1D">
            <w:pPr>
              <w:spacing w:line="360" w:lineRule="auto"/>
              <w:rPr>
                <w:color w:val="000000"/>
                <w:sz w:val="22"/>
                <w:szCs w:val="24"/>
              </w:rPr>
            </w:pPr>
            <w:r w:rsidRPr="00ED5D1D">
              <w:rPr>
                <w:color w:val="000000"/>
                <w:sz w:val="22"/>
                <w:szCs w:val="24"/>
              </w:rPr>
              <w:t>Umidade (%)</w:t>
            </w:r>
          </w:p>
        </w:tc>
        <w:tc>
          <w:tcPr>
            <w:tcW w:w="2365" w:type="pct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D1D" w:rsidRPr="00ED5D1D" w:rsidRDefault="00ED5D1D" w:rsidP="00F13837">
            <w:pPr>
              <w:spacing w:line="360" w:lineRule="auto"/>
              <w:ind w:left="-205"/>
              <w:jc w:val="center"/>
              <w:rPr>
                <w:color w:val="000000"/>
                <w:sz w:val="22"/>
                <w:szCs w:val="24"/>
              </w:rPr>
            </w:pPr>
            <w:r w:rsidRPr="00ED5D1D">
              <w:rPr>
                <w:color w:val="000000"/>
                <w:sz w:val="22"/>
                <w:szCs w:val="24"/>
              </w:rPr>
              <w:t>9,04 ± 0,38</w:t>
            </w:r>
          </w:p>
        </w:tc>
      </w:tr>
      <w:tr w:rsidR="00ED5D1D" w:rsidRPr="000E60D0" w:rsidTr="007C1D03">
        <w:trPr>
          <w:trHeight w:val="315"/>
        </w:trPr>
        <w:tc>
          <w:tcPr>
            <w:tcW w:w="2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D1D" w:rsidRPr="00ED5D1D" w:rsidRDefault="00ED5D1D" w:rsidP="00ED5D1D">
            <w:pPr>
              <w:spacing w:line="360" w:lineRule="auto"/>
              <w:rPr>
                <w:color w:val="000000"/>
                <w:sz w:val="22"/>
                <w:szCs w:val="24"/>
              </w:rPr>
            </w:pPr>
            <w:r w:rsidRPr="00ED5D1D">
              <w:rPr>
                <w:color w:val="000000"/>
                <w:sz w:val="22"/>
                <w:szCs w:val="24"/>
              </w:rPr>
              <w:t>Cinzas (%)</w:t>
            </w:r>
          </w:p>
        </w:tc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D1D" w:rsidRPr="00ED5D1D" w:rsidRDefault="00ED5D1D" w:rsidP="00F13837">
            <w:pPr>
              <w:spacing w:line="360" w:lineRule="auto"/>
              <w:ind w:left="-205"/>
              <w:jc w:val="center"/>
              <w:rPr>
                <w:color w:val="000000"/>
                <w:sz w:val="22"/>
                <w:szCs w:val="24"/>
              </w:rPr>
            </w:pPr>
            <w:r w:rsidRPr="00ED5D1D">
              <w:rPr>
                <w:color w:val="000000"/>
                <w:sz w:val="22"/>
                <w:szCs w:val="24"/>
              </w:rPr>
              <w:t>15,78 ± 0,06</w:t>
            </w:r>
          </w:p>
        </w:tc>
      </w:tr>
      <w:tr w:rsidR="00ED5D1D" w:rsidRPr="000E60D0" w:rsidTr="007C1D03">
        <w:trPr>
          <w:trHeight w:val="315"/>
        </w:trPr>
        <w:tc>
          <w:tcPr>
            <w:tcW w:w="2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D1D" w:rsidRPr="00ED5D1D" w:rsidRDefault="00ED5D1D" w:rsidP="00ED5D1D">
            <w:pPr>
              <w:spacing w:line="360" w:lineRule="auto"/>
              <w:rPr>
                <w:color w:val="000000"/>
                <w:sz w:val="22"/>
                <w:szCs w:val="24"/>
              </w:rPr>
            </w:pPr>
            <w:r w:rsidRPr="00ED5D1D">
              <w:rPr>
                <w:color w:val="000000"/>
                <w:sz w:val="22"/>
                <w:szCs w:val="24"/>
              </w:rPr>
              <w:t>Acidez Total Titul</w:t>
            </w:r>
            <w:r w:rsidR="00F13837">
              <w:rPr>
                <w:color w:val="000000"/>
                <w:sz w:val="22"/>
                <w:szCs w:val="24"/>
              </w:rPr>
              <w:t>ável</w:t>
            </w:r>
            <w:r w:rsidRPr="00ED5D1D">
              <w:rPr>
                <w:color w:val="000000"/>
                <w:sz w:val="22"/>
                <w:szCs w:val="24"/>
              </w:rPr>
              <w:t xml:space="preserve"> (%)</w:t>
            </w:r>
          </w:p>
        </w:tc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D1D" w:rsidRPr="00ED5D1D" w:rsidRDefault="00ED5D1D" w:rsidP="00F13837">
            <w:pPr>
              <w:spacing w:line="360" w:lineRule="auto"/>
              <w:ind w:left="-205"/>
              <w:jc w:val="center"/>
              <w:rPr>
                <w:color w:val="000000"/>
                <w:sz w:val="22"/>
                <w:szCs w:val="24"/>
              </w:rPr>
            </w:pPr>
            <w:r w:rsidRPr="00ED5D1D">
              <w:rPr>
                <w:color w:val="000000"/>
                <w:sz w:val="22"/>
                <w:szCs w:val="24"/>
              </w:rPr>
              <w:t>2,07 ± 0,33</w:t>
            </w:r>
          </w:p>
        </w:tc>
      </w:tr>
      <w:tr w:rsidR="00ED5D1D" w:rsidRPr="000E60D0" w:rsidTr="007C1D03">
        <w:trPr>
          <w:trHeight w:val="315"/>
        </w:trPr>
        <w:tc>
          <w:tcPr>
            <w:tcW w:w="2635" w:type="pct"/>
            <w:gridSpan w:val="2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ED5D1D" w:rsidRPr="00ED5D1D" w:rsidRDefault="00ED5D1D" w:rsidP="00ED5D1D">
            <w:pPr>
              <w:spacing w:line="360" w:lineRule="auto"/>
              <w:rPr>
                <w:color w:val="000000"/>
                <w:sz w:val="22"/>
                <w:szCs w:val="24"/>
              </w:rPr>
            </w:pPr>
            <w:r w:rsidRPr="00ED5D1D">
              <w:rPr>
                <w:color w:val="000000"/>
                <w:sz w:val="22"/>
                <w:szCs w:val="24"/>
              </w:rPr>
              <w:t>pH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ED5D1D" w:rsidRPr="00ED5D1D" w:rsidRDefault="00ED5D1D" w:rsidP="00F13837">
            <w:pPr>
              <w:spacing w:line="360" w:lineRule="auto"/>
              <w:ind w:left="-205"/>
              <w:jc w:val="center"/>
              <w:rPr>
                <w:color w:val="000000"/>
                <w:sz w:val="22"/>
                <w:szCs w:val="24"/>
              </w:rPr>
            </w:pPr>
            <w:r w:rsidRPr="00ED5D1D">
              <w:rPr>
                <w:color w:val="000000"/>
                <w:sz w:val="22"/>
                <w:szCs w:val="24"/>
              </w:rPr>
              <w:t>5,51 ± 0,02</w:t>
            </w:r>
          </w:p>
        </w:tc>
      </w:tr>
    </w:tbl>
    <w:p w:rsidR="00ED5D1D" w:rsidRPr="00ED5D1D" w:rsidRDefault="007811EC" w:rsidP="007811EC">
      <w:pPr>
        <w:spacing w:after="240" w:line="360" w:lineRule="auto"/>
        <w:jc w:val="both"/>
        <w:rPr>
          <w:sz w:val="22"/>
          <w:szCs w:val="24"/>
        </w:rPr>
      </w:pPr>
      <w:r w:rsidRPr="00A20FD7">
        <w:rPr>
          <w:sz w:val="22"/>
          <w:szCs w:val="22"/>
        </w:rPr>
        <w:t>Fonte: Próprios autores, (2018).</w:t>
      </w:r>
    </w:p>
    <w:p w:rsidR="009E5010" w:rsidRPr="009E5010" w:rsidRDefault="009E5010" w:rsidP="009E5010">
      <w:pPr>
        <w:spacing w:line="360" w:lineRule="auto"/>
        <w:ind w:firstLine="708"/>
        <w:jc w:val="both"/>
        <w:rPr>
          <w:sz w:val="24"/>
          <w:szCs w:val="24"/>
        </w:rPr>
      </w:pPr>
      <w:r w:rsidRPr="009E5010">
        <w:rPr>
          <w:sz w:val="24"/>
          <w:szCs w:val="24"/>
        </w:rPr>
        <w:t>Os resultados</w:t>
      </w:r>
      <w:r w:rsidR="00F42AEC">
        <w:rPr>
          <w:sz w:val="24"/>
          <w:szCs w:val="24"/>
        </w:rPr>
        <w:t xml:space="preserve"> do presente estudo</w:t>
      </w:r>
      <w:r w:rsidRPr="009E5010">
        <w:rPr>
          <w:sz w:val="24"/>
          <w:szCs w:val="24"/>
        </w:rPr>
        <w:t xml:space="preserve"> obtidos para teor de umidade estão de acordo com os valores relatados </w:t>
      </w:r>
      <w:r w:rsidR="00F42AEC">
        <w:rPr>
          <w:sz w:val="24"/>
          <w:szCs w:val="24"/>
        </w:rPr>
        <w:t xml:space="preserve">por </w:t>
      </w:r>
      <w:r w:rsidR="00F42AEC" w:rsidRPr="009E5010">
        <w:rPr>
          <w:sz w:val="24"/>
          <w:szCs w:val="24"/>
        </w:rPr>
        <w:t xml:space="preserve">Vieira </w:t>
      </w:r>
      <w:proofErr w:type="gramStart"/>
      <w:r w:rsidR="00F42AEC" w:rsidRPr="009E5010">
        <w:rPr>
          <w:sz w:val="24"/>
          <w:szCs w:val="24"/>
        </w:rPr>
        <w:t>et</w:t>
      </w:r>
      <w:proofErr w:type="gramEnd"/>
      <w:r w:rsidR="00F42AEC" w:rsidRPr="009E5010">
        <w:rPr>
          <w:sz w:val="24"/>
          <w:szCs w:val="24"/>
        </w:rPr>
        <w:t xml:space="preserve"> al. (2013)</w:t>
      </w:r>
      <w:r w:rsidR="00F57A02">
        <w:rPr>
          <w:sz w:val="24"/>
          <w:szCs w:val="24"/>
        </w:rPr>
        <w:t xml:space="preserve"> </w:t>
      </w:r>
      <w:r w:rsidR="00F42AEC">
        <w:rPr>
          <w:sz w:val="24"/>
          <w:szCs w:val="24"/>
        </w:rPr>
        <w:t>quando</w:t>
      </w:r>
      <w:r w:rsidRPr="009E5010">
        <w:rPr>
          <w:sz w:val="24"/>
          <w:szCs w:val="24"/>
        </w:rPr>
        <w:t xml:space="preserve"> no estudo da casca de arroz,</w:t>
      </w:r>
      <w:r w:rsidR="00F42AEC">
        <w:rPr>
          <w:sz w:val="24"/>
          <w:szCs w:val="24"/>
        </w:rPr>
        <w:t xml:space="preserve"> obtendo o</w:t>
      </w:r>
      <w:r w:rsidRPr="009E5010">
        <w:rPr>
          <w:sz w:val="24"/>
          <w:szCs w:val="24"/>
        </w:rPr>
        <w:t xml:space="preserve"> valor de 11,31% e Morais et al. (2006)</w:t>
      </w:r>
      <w:r w:rsidR="00F42AEC">
        <w:rPr>
          <w:sz w:val="24"/>
          <w:szCs w:val="24"/>
        </w:rPr>
        <w:t>,</w:t>
      </w:r>
      <w:r w:rsidRPr="009E5010">
        <w:rPr>
          <w:sz w:val="24"/>
          <w:szCs w:val="24"/>
        </w:rPr>
        <w:t xml:space="preserve"> obteve valor </w:t>
      </w:r>
      <w:r w:rsidR="00F42AEC">
        <w:rPr>
          <w:sz w:val="24"/>
          <w:szCs w:val="24"/>
        </w:rPr>
        <w:t xml:space="preserve">de </w:t>
      </w:r>
      <w:r w:rsidRPr="009E5010">
        <w:rPr>
          <w:sz w:val="24"/>
          <w:szCs w:val="24"/>
        </w:rPr>
        <w:t>10,61</w:t>
      </w:r>
      <w:r w:rsidR="00F42AEC">
        <w:rPr>
          <w:sz w:val="24"/>
          <w:szCs w:val="24"/>
        </w:rPr>
        <w:t>%</w:t>
      </w:r>
      <w:r w:rsidRPr="009E5010">
        <w:rPr>
          <w:sz w:val="24"/>
          <w:szCs w:val="24"/>
        </w:rPr>
        <w:t>, assim pode</w:t>
      </w:r>
      <w:r w:rsidR="00F42AEC">
        <w:rPr>
          <w:sz w:val="24"/>
          <w:szCs w:val="24"/>
        </w:rPr>
        <w:t>-se</w:t>
      </w:r>
      <w:r w:rsidRPr="009E5010">
        <w:rPr>
          <w:sz w:val="24"/>
          <w:szCs w:val="24"/>
        </w:rPr>
        <w:t xml:space="preserve"> observar que a casca de arroz mostra-se como uma biomassa de baixo teor de umidade tornando-a propícia para extração de compostos fenólicos e açucares. Segundo Di</w:t>
      </w:r>
      <w:r w:rsidR="000D6738">
        <w:rPr>
          <w:sz w:val="24"/>
          <w:szCs w:val="24"/>
        </w:rPr>
        <w:t>niz (2005) e Morais et al. (2006</w:t>
      </w:r>
      <w:r w:rsidRPr="009E5010">
        <w:rPr>
          <w:sz w:val="24"/>
          <w:szCs w:val="24"/>
        </w:rPr>
        <w:t>)</w:t>
      </w:r>
      <w:r w:rsidR="00F42AEC">
        <w:rPr>
          <w:sz w:val="24"/>
          <w:szCs w:val="24"/>
        </w:rPr>
        <w:t>,</w:t>
      </w:r>
      <w:r w:rsidRPr="009E5010">
        <w:rPr>
          <w:sz w:val="24"/>
          <w:szCs w:val="24"/>
        </w:rPr>
        <w:t xml:space="preserve"> o teor de umidade da casca de arroz está aproximadamente entre 7,9 e 10,61%.</w:t>
      </w:r>
    </w:p>
    <w:p w:rsidR="009E5010" w:rsidRPr="009E5010" w:rsidRDefault="009E5010" w:rsidP="009E5010">
      <w:pPr>
        <w:spacing w:line="360" w:lineRule="auto"/>
        <w:ind w:firstLine="708"/>
        <w:jc w:val="both"/>
        <w:rPr>
          <w:sz w:val="24"/>
          <w:szCs w:val="24"/>
        </w:rPr>
      </w:pPr>
      <w:r w:rsidRPr="009E5010">
        <w:rPr>
          <w:sz w:val="24"/>
          <w:szCs w:val="24"/>
        </w:rPr>
        <w:t xml:space="preserve">O teor de cinzas também apresentou resultados próximos aos encontrados na literatura, </w:t>
      </w:r>
      <w:r w:rsidR="00F80015">
        <w:rPr>
          <w:sz w:val="24"/>
          <w:szCs w:val="24"/>
        </w:rPr>
        <w:t>sendo 15,51% descrito por</w:t>
      </w:r>
      <w:r w:rsidRPr="009E5010">
        <w:rPr>
          <w:sz w:val="24"/>
          <w:szCs w:val="24"/>
        </w:rPr>
        <w:t xml:space="preserve"> Vieira </w:t>
      </w:r>
      <w:proofErr w:type="gramStart"/>
      <w:r w:rsidRPr="009E5010">
        <w:rPr>
          <w:sz w:val="24"/>
          <w:szCs w:val="24"/>
        </w:rPr>
        <w:t>et</w:t>
      </w:r>
      <w:proofErr w:type="gramEnd"/>
      <w:r w:rsidRPr="009E5010">
        <w:rPr>
          <w:sz w:val="24"/>
          <w:szCs w:val="24"/>
        </w:rPr>
        <w:t xml:space="preserve"> al. (2013), </w:t>
      </w:r>
      <w:r w:rsidR="00F80015">
        <w:rPr>
          <w:sz w:val="24"/>
          <w:szCs w:val="24"/>
        </w:rPr>
        <w:t xml:space="preserve">17,1% descrito por </w:t>
      </w:r>
      <w:r w:rsidRPr="009E5010">
        <w:rPr>
          <w:sz w:val="24"/>
          <w:szCs w:val="24"/>
        </w:rPr>
        <w:t>Diniz (2005), já Morais et al. (2006)</w:t>
      </w:r>
      <w:r w:rsidR="00F80015">
        <w:rPr>
          <w:sz w:val="24"/>
          <w:szCs w:val="24"/>
        </w:rPr>
        <w:t>,</w:t>
      </w:r>
      <w:r w:rsidRPr="009E5010">
        <w:rPr>
          <w:sz w:val="24"/>
          <w:szCs w:val="24"/>
        </w:rPr>
        <w:t xml:space="preserve"> apresenta</w:t>
      </w:r>
      <w:r w:rsidR="00F80015">
        <w:rPr>
          <w:sz w:val="24"/>
          <w:szCs w:val="24"/>
        </w:rPr>
        <w:t>ram</w:t>
      </w:r>
      <w:r w:rsidRPr="009E5010">
        <w:rPr>
          <w:sz w:val="24"/>
          <w:szCs w:val="24"/>
        </w:rPr>
        <w:t xml:space="preserve"> um teor de cinzas alto, </w:t>
      </w:r>
      <w:r w:rsidR="00F80015">
        <w:rPr>
          <w:sz w:val="24"/>
          <w:szCs w:val="24"/>
        </w:rPr>
        <w:t>de</w:t>
      </w:r>
      <w:r w:rsidRPr="009E5010">
        <w:rPr>
          <w:sz w:val="24"/>
          <w:szCs w:val="24"/>
        </w:rPr>
        <w:t xml:space="preserve"> 23,84%, </w:t>
      </w:r>
      <w:r w:rsidR="00F80015">
        <w:rPr>
          <w:sz w:val="24"/>
          <w:szCs w:val="24"/>
        </w:rPr>
        <w:t>todos</w:t>
      </w:r>
      <w:r w:rsidRPr="009E5010">
        <w:rPr>
          <w:sz w:val="24"/>
          <w:szCs w:val="24"/>
        </w:rPr>
        <w:t xml:space="preserve"> ao analisarem a casca de arroz. Este produto por apresentar um teor de cinzas relativamente alto pode ser usada como coproduto em diversas áreas.</w:t>
      </w:r>
    </w:p>
    <w:p w:rsidR="009E5010" w:rsidRDefault="009E5010" w:rsidP="009E5010">
      <w:pPr>
        <w:spacing w:after="240" w:line="360" w:lineRule="auto"/>
        <w:ind w:firstLine="708"/>
        <w:jc w:val="both"/>
        <w:rPr>
          <w:sz w:val="24"/>
          <w:szCs w:val="24"/>
        </w:rPr>
      </w:pPr>
      <w:r w:rsidRPr="009E5010">
        <w:rPr>
          <w:sz w:val="24"/>
          <w:szCs w:val="24"/>
        </w:rPr>
        <w:t xml:space="preserve">Com relação aos valores encontrados para acidez total titulável e pH, não foram encontrados relatos na literatura para que pudessem compará-los com os </w:t>
      </w:r>
      <w:r w:rsidR="00E016D8">
        <w:rPr>
          <w:sz w:val="24"/>
          <w:szCs w:val="24"/>
        </w:rPr>
        <w:t xml:space="preserve">resultados </w:t>
      </w:r>
      <w:r w:rsidRPr="009E5010">
        <w:rPr>
          <w:sz w:val="24"/>
          <w:szCs w:val="24"/>
        </w:rPr>
        <w:t>do presente estudo.</w:t>
      </w:r>
    </w:p>
    <w:p w:rsidR="009E5010" w:rsidRPr="009E5010" w:rsidRDefault="009E5010" w:rsidP="009E5010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 w:rsidRPr="009E5010">
        <w:rPr>
          <w:sz w:val="24"/>
          <w:szCs w:val="24"/>
        </w:rPr>
        <w:t>CONCENTRAÇÃO DE SÓLIDOS E O TEMPO DE REAÇÃO ATRAVÉS DO PRÉ-TRATAMENTO HIDROTÉRMICO DA CASCA DE ARROZ</w:t>
      </w:r>
    </w:p>
    <w:p w:rsidR="009E5010" w:rsidRPr="009E5010" w:rsidRDefault="009E5010" w:rsidP="004C2F30">
      <w:pPr>
        <w:spacing w:after="240" w:line="360" w:lineRule="auto"/>
        <w:ind w:firstLine="708"/>
        <w:jc w:val="both"/>
        <w:rPr>
          <w:sz w:val="24"/>
          <w:szCs w:val="24"/>
        </w:rPr>
      </w:pPr>
      <w:r w:rsidRPr="009E5010">
        <w:rPr>
          <w:sz w:val="24"/>
          <w:szCs w:val="24"/>
        </w:rPr>
        <w:lastRenderedPageBreak/>
        <w:t xml:space="preserve">Na Tabela 3 </w:t>
      </w:r>
      <w:r w:rsidR="00E016D8">
        <w:rPr>
          <w:sz w:val="24"/>
          <w:szCs w:val="24"/>
        </w:rPr>
        <w:t>são</w:t>
      </w:r>
      <w:r w:rsidRPr="009E5010">
        <w:rPr>
          <w:sz w:val="24"/>
          <w:szCs w:val="24"/>
        </w:rPr>
        <w:t xml:space="preserve"> apresentado</w:t>
      </w:r>
      <w:r w:rsidR="00E016D8">
        <w:rPr>
          <w:sz w:val="24"/>
          <w:szCs w:val="24"/>
        </w:rPr>
        <w:t>s</w:t>
      </w:r>
      <w:r w:rsidRPr="009E5010">
        <w:rPr>
          <w:sz w:val="24"/>
          <w:szCs w:val="24"/>
        </w:rPr>
        <w:t xml:space="preserve"> os dados obtidos a partir do planejamento experimental com o pré-tratamento térmico da biomassa de casca de arroz</w:t>
      </w:r>
      <w:r w:rsidR="00415B8C">
        <w:rPr>
          <w:sz w:val="24"/>
          <w:szCs w:val="24"/>
        </w:rPr>
        <w:t xml:space="preserve">, esses dados estão relacionados aos valores obtidos </w:t>
      </w:r>
      <w:r w:rsidR="004C2F30">
        <w:rPr>
          <w:sz w:val="24"/>
          <w:szCs w:val="24"/>
        </w:rPr>
        <w:t xml:space="preserve">principalmente para a concentração de sólidos solubilizadas em 100 </w:t>
      </w:r>
      <w:r w:rsidR="00E016D8">
        <w:rPr>
          <w:sz w:val="24"/>
          <w:szCs w:val="24"/>
        </w:rPr>
        <w:t>mL</w:t>
      </w:r>
      <w:r w:rsidR="004C2F30">
        <w:rPr>
          <w:sz w:val="24"/>
          <w:szCs w:val="24"/>
        </w:rPr>
        <w:t xml:space="preserve"> de água destilada e os valo</w:t>
      </w:r>
      <w:r w:rsidR="00BF4624">
        <w:rPr>
          <w:sz w:val="24"/>
          <w:szCs w:val="24"/>
        </w:rPr>
        <w:t xml:space="preserve">res do rendimento </w:t>
      </w:r>
      <w:r w:rsidR="00E016D8">
        <w:rPr>
          <w:sz w:val="24"/>
          <w:szCs w:val="24"/>
        </w:rPr>
        <w:t xml:space="preserve">em </w:t>
      </w:r>
      <w:r w:rsidR="00BF4624">
        <w:rPr>
          <w:sz w:val="24"/>
          <w:szCs w:val="24"/>
        </w:rPr>
        <w:t>sólido</w:t>
      </w:r>
      <w:r w:rsidR="00E016D8">
        <w:rPr>
          <w:sz w:val="24"/>
          <w:szCs w:val="24"/>
        </w:rPr>
        <w:t>s</w:t>
      </w:r>
      <w:r w:rsidR="00BF4624">
        <w:rPr>
          <w:sz w:val="24"/>
          <w:szCs w:val="24"/>
        </w:rPr>
        <w:t>, para serem avaliad</w:t>
      </w:r>
      <w:r w:rsidR="00E016D8">
        <w:rPr>
          <w:sz w:val="24"/>
          <w:szCs w:val="24"/>
        </w:rPr>
        <w:t>a</w:t>
      </w:r>
      <w:r w:rsidR="00BF4624">
        <w:rPr>
          <w:sz w:val="24"/>
          <w:szCs w:val="24"/>
        </w:rPr>
        <w:t xml:space="preserve">s </w:t>
      </w:r>
      <w:r w:rsidR="00E016D8">
        <w:rPr>
          <w:sz w:val="24"/>
          <w:szCs w:val="24"/>
        </w:rPr>
        <w:t>a</w:t>
      </w:r>
      <w:r w:rsidR="00BF4624">
        <w:rPr>
          <w:sz w:val="24"/>
          <w:szCs w:val="24"/>
        </w:rPr>
        <w:t>s melhores condições de concentração de sólidos e tempo de tratamento hidrotérmico para extração de compostos fenólicos</w:t>
      </w:r>
      <w:r w:rsidRPr="009E5010">
        <w:rPr>
          <w:sz w:val="24"/>
          <w:szCs w:val="24"/>
        </w:rPr>
        <w:t xml:space="preserve">. </w:t>
      </w:r>
    </w:p>
    <w:p w:rsidR="009E5010" w:rsidRDefault="009E5010" w:rsidP="009E5010">
      <w:pPr>
        <w:spacing w:line="360" w:lineRule="auto"/>
        <w:jc w:val="both"/>
        <w:rPr>
          <w:sz w:val="22"/>
          <w:szCs w:val="24"/>
        </w:rPr>
      </w:pPr>
      <w:r w:rsidRPr="009E5010">
        <w:rPr>
          <w:sz w:val="22"/>
          <w:szCs w:val="24"/>
        </w:rPr>
        <w:t xml:space="preserve">Tabela 3 </w:t>
      </w:r>
      <w:r w:rsidR="000F1377">
        <w:rPr>
          <w:sz w:val="22"/>
          <w:szCs w:val="24"/>
        </w:rPr>
        <w:t>–</w:t>
      </w:r>
      <w:r w:rsidRPr="009E5010">
        <w:rPr>
          <w:sz w:val="22"/>
          <w:szCs w:val="24"/>
        </w:rPr>
        <w:t xml:space="preserve"> </w:t>
      </w:r>
      <w:r w:rsidR="000F1377">
        <w:rPr>
          <w:sz w:val="22"/>
          <w:szCs w:val="24"/>
        </w:rPr>
        <w:t>Rendimento sólido do p</w:t>
      </w:r>
      <w:r w:rsidRPr="009E5010">
        <w:rPr>
          <w:sz w:val="22"/>
          <w:szCs w:val="24"/>
        </w:rPr>
        <w:t xml:space="preserve">lanejamento experimental do </w:t>
      </w:r>
      <w:proofErr w:type="spellStart"/>
      <w:r w:rsidRPr="009E5010">
        <w:rPr>
          <w:sz w:val="22"/>
          <w:szCs w:val="24"/>
        </w:rPr>
        <w:t>pré</w:t>
      </w:r>
      <w:proofErr w:type="spellEnd"/>
      <w:r w:rsidRPr="009E5010">
        <w:rPr>
          <w:sz w:val="22"/>
          <w:szCs w:val="24"/>
        </w:rPr>
        <w:t>-tratamento térmico da biomassa de casca de arroz.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6A0" w:firstRow="1" w:lastRow="0" w:firstColumn="1" w:lastColumn="0" w:noHBand="1" w:noVBand="1"/>
      </w:tblPr>
      <w:tblGrid>
        <w:gridCol w:w="1807"/>
        <w:gridCol w:w="1375"/>
        <w:gridCol w:w="1363"/>
        <w:gridCol w:w="1324"/>
        <w:gridCol w:w="1929"/>
        <w:gridCol w:w="1728"/>
      </w:tblGrid>
      <w:tr w:rsidR="000F1377" w:rsidRPr="00C81C92" w:rsidTr="000F1377">
        <w:trPr>
          <w:trHeight w:val="1010"/>
        </w:trPr>
        <w:tc>
          <w:tcPr>
            <w:tcW w:w="1807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0F1377" w:rsidRPr="00C81C92" w:rsidRDefault="000F1377" w:rsidP="00E016D8">
            <w:pPr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Tratamentos</w:t>
            </w:r>
          </w:p>
        </w:tc>
        <w:tc>
          <w:tcPr>
            <w:tcW w:w="1375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0F1377" w:rsidRPr="00C81C92" w:rsidRDefault="000F1377" w:rsidP="004F54A4">
            <w:pPr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Tempo (min)</w:t>
            </w:r>
          </w:p>
        </w:tc>
        <w:tc>
          <w:tcPr>
            <w:tcW w:w="1363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0F1377" w:rsidRPr="00C81C92" w:rsidRDefault="000F1377" w:rsidP="004F54A4">
            <w:pPr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Conc. de sólidos (%)</w:t>
            </w:r>
          </w:p>
        </w:tc>
        <w:tc>
          <w:tcPr>
            <w:tcW w:w="1324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0F1377" w:rsidRPr="00C81C92" w:rsidRDefault="000F1377" w:rsidP="000F1377">
            <w:pPr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Peso do sólido (g)</w:t>
            </w:r>
          </w:p>
        </w:tc>
        <w:tc>
          <w:tcPr>
            <w:tcW w:w="1929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0F1377" w:rsidRPr="00C81C92" w:rsidRDefault="000F1377" w:rsidP="004F54A4">
            <w:pPr>
              <w:jc w:val="center"/>
              <w:rPr>
                <w:b/>
                <w:color w:val="000000" w:themeColor="text1"/>
                <w:sz w:val="22"/>
              </w:rPr>
            </w:pPr>
            <w:r w:rsidRPr="00C81C92">
              <w:rPr>
                <w:b/>
                <w:color w:val="000000" w:themeColor="text1"/>
                <w:sz w:val="22"/>
              </w:rPr>
              <w:t>Concentração de sólidos solubilizada (%)</w:t>
            </w:r>
          </w:p>
        </w:tc>
        <w:tc>
          <w:tcPr>
            <w:tcW w:w="1728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0F1377" w:rsidRPr="00C81C92" w:rsidRDefault="000F1377" w:rsidP="004F54A4">
            <w:pPr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Rendimento sólido</w:t>
            </w:r>
          </w:p>
          <w:p w:rsidR="000F1377" w:rsidRPr="00C81C92" w:rsidRDefault="000F1377" w:rsidP="004F54A4">
            <w:pPr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(%)</w:t>
            </w:r>
          </w:p>
        </w:tc>
      </w:tr>
      <w:tr w:rsidR="000F1377" w:rsidRPr="00C81C92" w:rsidTr="000F1377">
        <w:trPr>
          <w:trHeight w:val="377"/>
        </w:trPr>
        <w:tc>
          <w:tcPr>
            <w:tcW w:w="1807" w:type="dxa"/>
            <w:tcBorders>
              <w:top w:val="single" w:sz="2" w:space="0" w:color="000000" w:themeColor="text1"/>
            </w:tcBorders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T1</w:t>
            </w:r>
          </w:p>
        </w:tc>
        <w:tc>
          <w:tcPr>
            <w:tcW w:w="1375" w:type="dxa"/>
            <w:tcBorders>
              <w:top w:val="single" w:sz="2" w:space="0" w:color="000000" w:themeColor="text1"/>
            </w:tcBorders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63" w:type="dxa"/>
            <w:tcBorders>
              <w:top w:val="single" w:sz="2" w:space="0" w:color="000000" w:themeColor="text1"/>
            </w:tcBorders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24" w:type="dxa"/>
            <w:tcBorders>
              <w:top w:val="single" w:sz="2" w:space="0" w:color="000000" w:themeColor="text1"/>
            </w:tcBorders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1,81</w:t>
            </w:r>
          </w:p>
        </w:tc>
        <w:tc>
          <w:tcPr>
            <w:tcW w:w="1929" w:type="dxa"/>
            <w:tcBorders>
              <w:top w:val="single" w:sz="2" w:space="0" w:color="000000" w:themeColor="text1"/>
            </w:tcBorders>
          </w:tcPr>
          <w:p w:rsidR="000F1377" w:rsidRPr="00C81C92" w:rsidRDefault="000F1377" w:rsidP="00625B57">
            <w:pPr>
              <w:spacing w:line="360" w:lineRule="auto"/>
              <w:jc w:val="center"/>
              <w:rPr>
                <w:color w:val="000000" w:themeColor="text1"/>
                <w:sz w:val="22"/>
              </w:rPr>
            </w:pPr>
            <w:r w:rsidRPr="00C81C92">
              <w:rPr>
                <w:color w:val="000000" w:themeColor="text1"/>
                <w:sz w:val="22"/>
              </w:rPr>
              <w:t>9,45</w:t>
            </w:r>
          </w:p>
        </w:tc>
        <w:tc>
          <w:tcPr>
            <w:tcW w:w="1728" w:type="dxa"/>
            <w:tcBorders>
              <w:top w:val="single" w:sz="2" w:space="0" w:color="000000" w:themeColor="text1"/>
            </w:tcBorders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90,55</w:t>
            </w:r>
          </w:p>
        </w:tc>
      </w:tr>
      <w:tr w:rsidR="000F1377" w:rsidRPr="00C81C92" w:rsidTr="000F1377">
        <w:trPr>
          <w:trHeight w:val="377"/>
        </w:trPr>
        <w:tc>
          <w:tcPr>
            <w:tcW w:w="1807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T2</w:t>
            </w:r>
          </w:p>
        </w:tc>
        <w:tc>
          <w:tcPr>
            <w:tcW w:w="1375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63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24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5,46</w:t>
            </w:r>
          </w:p>
        </w:tc>
        <w:tc>
          <w:tcPr>
            <w:tcW w:w="1929" w:type="dxa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color w:val="000000" w:themeColor="text1"/>
                <w:sz w:val="22"/>
              </w:rPr>
            </w:pPr>
            <w:r w:rsidRPr="00C81C92">
              <w:rPr>
                <w:color w:val="000000" w:themeColor="text1"/>
                <w:sz w:val="22"/>
              </w:rPr>
              <w:t>9,03</w:t>
            </w:r>
          </w:p>
        </w:tc>
        <w:tc>
          <w:tcPr>
            <w:tcW w:w="1728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90,97</w:t>
            </w:r>
          </w:p>
        </w:tc>
      </w:tr>
      <w:tr w:rsidR="000F1377" w:rsidRPr="00C81C92" w:rsidTr="000F1377">
        <w:trPr>
          <w:trHeight w:val="377"/>
        </w:trPr>
        <w:tc>
          <w:tcPr>
            <w:tcW w:w="1807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T3</w:t>
            </w:r>
          </w:p>
        </w:tc>
        <w:tc>
          <w:tcPr>
            <w:tcW w:w="1375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63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24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9,06</w:t>
            </w:r>
          </w:p>
        </w:tc>
        <w:tc>
          <w:tcPr>
            <w:tcW w:w="1929" w:type="dxa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color w:val="000000" w:themeColor="text1"/>
                <w:sz w:val="22"/>
              </w:rPr>
            </w:pPr>
            <w:r w:rsidRPr="00C81C92">
              <w:rPr>
                <w:color w:val="000000" w:themeColor="text1"/>
                <w:sz w:val="22"/>
              </w:rPr>
              <w:t>9,44</w:t>
            </w:r>
          </w:p>
        </w:tc>
        <w:tc>
          <w:tcPr>
            <w:tcW w:w="1728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90,56</w:t>
            </w:r>
          </w:p>
        </w:tc>
      </w:tr>
      <w:tr w:rsidR="000F1377" w:rsidRPr="00C81C92" w:rsidTr="000F1377">
        <w:trPr>
          <w:trHeight w:val="392"/>
        </w:trPr>
        <w:tc>
          <w:tcPr>
            <w:tcW w:w="1807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T4</w:t>
            </w:r>
          </w:p>
        </w:tc>
        <w:tc>
          <w:tcPr>
            <w:tcW w:w="1375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27,5</w:t>
            </w:r>
          </w:p>
        </w:tc>
        <w:tc>
          <w:tcPr>
            <w:tcW w:w="1363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1,83</w:t>
            </w:r>
          </w:p>
        </w:tc>
        <w:tc>
          <w:tcPr>
            <w:tcW w:w="1929" w:type="dxa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color w:val="000000" w:themeColor="text1"/>
                <w:sz w:val="22"/>
              </w:rPr>
            </w:pPr>
            <w:r w:rsidRPr="00C81C92">
              <w:rPr>
                <w:color w:val="000000" w:themeColor="text1"/>
                <w:sz w:val="22"/>
              </w:rPr>
              <w:t>8,70</w:t>
            </w:r>
          </w:p>
        </w:tc>
        <w:tc>
          <w:tcPr>
            <w:tcW w:w="1728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91,30</w:t>
            </w:r>
          </w:p>
        </w:tc>
      </w:tr>
      <w:tr w:rsidR="000F1377" w:rsidRPr="00C81C92" w:rsidTr="000F1377">
        <w:trPr>
          <w:trHeight w:val="377"/>
        </w:trPr>
        <w:tc>
          <w:tcPr>
            <w:tcW w:w="1807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T5</w:t>
            </w:r>
          </w:p>
        </w:tc>
        <w:tc>
          <w:tcPr>
            <w:tcW w:w="1375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27,5</w:t>
            </w:r>
          </w:p>
        </w:tc>
        <w:tc>
          <w:tcPr>
            <w:tcW w:w="1363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24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5,43</w:t>
            </w:r>
          </w:p>
        </w:tc>
        <w:tc>
          <w:tcPr>
            <w:tcW w:w="1929" w:type="dxa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color w:val="000000" w:themeColor="text1"/>
                <w:sz w:val="22"/>
              </w:rPr>
            </w:pPr>
            <w:r w:rsidRPr="00C81C92">
              <w:rPr>
                <w:color w:val="000000" w:themeColor="text1"/>
                <w:sz w:val="22"/>
              </w:rPr>
              <w:t>9,47</w:t>
            </w:r>
          </w:p>
        </w:tc>
        <w:tc>
          <w:tcPr>
            <w:tcW w:w="1728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90,53</w:t>
            </w:r>
          </w:p>
        </w:tc>
      </w:tr>
      <w:tr w:rsidR="000F1377" w:rsidRPr="00C81C92" w:rsidTr="000F1377">
        <w:trPr>
          <w:trHeight w:val="377"/>
        </w:trPr>
        <w:tc>
          <w:tcPr>
            <w:tcW w:w="1807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T6</w:t>
            </w:r>
          </w:p>
        </w:tc>
        <w:tc>
          <w:tcPr>
            <w:tcW w:w="1375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27,5</w:t>
            </w:r>
          </w:p>
        </w:tc>
        <w:tc>
          <w:tcPr>
            <w:tcW w:w="1363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24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9,03</w:t>
            </w:r>
          </w:p>
        </w:tc>
        <w:tc>
          <w:tcPr>
            <w:tcW w:w="1929" w:type="dxa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color w:val="000000" w:themeColor="text1"/>
                <w:sz w:val="22"/>
              </w:rPr>
            </w:pPr>
            <w:r w:rsidRPr="00C81C92">
              <w:rPr>
                <w:color w:val="000000" w:themeColor="text1"/>
                <w:sz w:val="22"/>
              </w:rPr>
              <w:t>9,67</w:t>
            </w:r>
          </w:p>
        </w:tc>
        <w:tc>
          <w:tcPr>
            <w:tcW w:w="1728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90,33</w:t>
            </w:r>
          </w:p>
        </w:tc>
      </w:tr>
      <w:tr w:rsidR="000F1377" w:rsidRPr="00C81C92" w:rsidTr="000F1377">
        <w:trPr>
          <w:trHeight w:val="377"/>
        </w:trPr>
        <w:tc>
          <w:tcPr>
            <w:tcW w:w="1807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T7</w:t>
            </w:r>
          </w:p>
        </w:tc>
        <w:tc>
          <w:tcPr>
            <w:tcW w:w="1375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363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1,81</w:t>
            </w:r>
          </w:p>
        </w:tc>
        <w:tc>
          <w:tcPr>
            <w:tcW w:w="1929" w:type="dxa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color w:val="000000" w:themeColor="text1"/>
                <w:sz w:val="22"/>
              </w:rPr>
            </w:pPr>
            <w:r w:rsidRPr="00C81C92">
              <w:rPr>
                <w:color w:val="000000" w:themeColor="text1"/>
                <w:sz w:val="22"/>
              </w:rPr>
              <w:t>9,35</w:t>
            </w:r>
          </w:p>
        </w:tc>
        <w:tc>
          <w:tcPr>
            <w:tcW w:w="1728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90,65</w:t>
            </w:r>
          </w:p>
        </w:tc>
      </w:tr>
      <w:tr w:rsidR="000F1377" w:rsidRPr="00C81C92" w:rsidTr="000F1377">
        <w:trPr>
          <w:trHeight w:val="392"/>
        </w:trPr>
        <w:tc>
          <w:tcPr>
            <w:tcW w:w="1807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T8</w:t>
            </w:r>
          </w:p>
        </w:tc>
        <w:tc>
          <w:tcPr>
            <w:tcW w:w="1375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363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24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5,38</w:t>
            </w:r>
          </w:p>
        </w:tc>
        <w:tc>
          <w:tcPr>
            <w:tcW w:w="1929" w:type="dxa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color w:val="000000" w:themeColor="text1"/>
                <w:sz w:val="22"/>
              </w:rPr>
            </w:pPr>
            <w:r w:rsidRPr="00C81C92">
              <w:rPr>
                <w:color w:val="000000" w:themeColor="text1"/>
                <w:sz w:val="22"/>
              </w:rPr>
              <w:t>10,32</w:t>
            </w:r>
          </w:p>
        </w:tc>
        <w:tc>
          <w:tcPr>
            <w:tcW w:w="1728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89,68</w:t>
            </w:r>
          </w:p>
        </w:tc>
      </w:tr>
      <w:tr w:rsidR="000F1377" w:rsidRPr="00C81C92" w:rsidTr="000F1377">
        <w:trPr>
          <w:trHeight w:val="377"/>
        </w:trPr>
        <w:tc>
          <w:tcPr>
            <w:tcW w:w="1807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T9</w:t>
            </w:r>
          </w:p>
        </w:tc>
        <w:tc>
          <w:tcPr>
            <w:tcW w:w="1375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363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24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9,05</w:t>
            </w:r>
          </w:p>
        </w:tc>
        <w:tc>
          <w:tcPr>
            <w:tcW w:w="1929" w:type="dxa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color w:val="000000" w:themeColor="text1"/>
                <w:sz w:val="22"/>
              </w:rPr>
            </w:pPr>
            <w:r w:rsidRPr="00C81C92">
              <w:rPr>
                <w:color w:val="000000" w:themeColor="text1"/>
                <w:sz w:val="22"/>
              </w:rPr>
              <w:t>9,47</w:t>
            </w:r>
          </w:p>
        </w:tc>
        <w:tc>
          <w:tcPr>
            <w:tcW w:w="1728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90,53</w:t>
            </w:r>
          </w:p>
        </w:tc>
      </w:tr>
      <w:tr w:rsidR="000F1377" w:rsidRPr="00C81C92" w:rsidTr="000F1377">
        <w:trPr>
          <w:trHeight w:val="377"/>
        </w:trPr>
        <w:tc>
          <w:tcPr>
            <w:tcW w:w="1807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T10</w:t>
            </w:r>
          </w:p>
        </w:tc>
        <w:tc>
          <w:tcPr>
            <w:tcW w:w="1375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363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1,76</w:t>
            </w:r>
          </w:p>
        </w:tc>
        <w:tc>
          <w:tcPr>
            <w:tcW w:w="1929" w:type="dxa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color w:val="000000" w:themeColor="text1"/>
                <w:sz w:val="22"/>
              </w:rPr>
            </w:pPr>
            <w:r w:rsidRPr="00C81C92">
              <w:rPr>
                <w:color w:val="000000" w:themeColor="text1"/>
                <w:sz w:val="22"/>
              </w:rPr>
              <w:t>11,85</w:t>
            </w:r>
          </w:p>
        </w:tc>
        <w:tc>
          <w:tcPr>
            <w:tcW w:w="1728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88,15</w:t>
            </w:r>
          </w:p>
        </w:tc>
      </w:tr>
      <w:tr w:rsidR="000F1377" w:rsidRPr="00C81C92" w:rsidTr="000F1377">
        <w:trPr>
          <w:trHeight w:val="392"/>
        </w:trPr>
        <w:tc>
          <w:tcPr>
            <w:tcW w:w="1807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T11</w:t>
            </w:r>
          </w:p>
        </w:tc>
        <w:tc>
          <w:tcPr>
            <w:tcW w:w="1375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363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324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5,32</w:t>
            </w:r>
          </w:p>
        </w:tc>
        <w:tc>
          <w:tcPr>
            <w:tcW w:w="1929" w:type="dxa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color w:val="000000" w:themeColor="text1"/>
                <w:sz w:val="22"/>
              </w:rPr>
            </w:pPr>
            <w:r w:rsidRPr="00C81C92">
              <w:rPr>
                <w:color w:val="000000" w:themeColor="text1"/>
                <w:sz w:val="22"/>
              </w:rPr>
              <w:t>11,37</w:t>
            </w:r>
          </w:p>
        </w:tc>
        <w:tc>
          <w:tcPr>
            <w:tcW w:w="1728" w:type="dxa"/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88,63</w:t>
            </w:r>
          </w:p>
        </w:tc>
      </w:tr>
      <w:tr w:rsidR="000F1377" w:rsidRPr="00C81C92" w:rsidTr="000F1377">
        <w:trPr>
          <w:trHeight w:val="80"/>
        </w:trPr>
        <w:tc>
          <w:tcPr>
            <w:tcW w:w="1807" w:type="dxa"/>
            <w:tcBorders>
              <w:bottom w:val="single" w:sz="2" w:space="0" w:color="000000" w:themeColor="text1"/>
            </w:tcBorders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T12</w:t>
            </w:r>
          </w:p>
        </w:tc>
        <w:tc>
          <w:tcPr>
            <w:tcW w:w="1375" w:type="dxa"/>
            <w:tcBorders>
              <w:bottom w:val="single" w:sz="2" w:space="0" w:color="000000" w:themeColor="text1"/>
            </w:tcBorders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363" w:type="dxa"/>
            <w:tcBorders>
              <w:bottom w:val="single" w:sz="2" w:space="0" w:color="000000" w:themeColor="text1"/>
            </w:tcBorders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324" w:type="dxa"/>
            <w:tcBorders>
              <w:bottom w:val="single" w:sz="2" w:space="0" w:color="000000" w:themeColor="text1"/>
            </w:tcBorders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8,93</w:t>
            </w:r>
          </w:p>
        </w:tc>
        <w:tc>
          <w:tcPr>
            <w:tcW w:w="1929" w:type="dxa"/>
            <w:tcBorders>
              <w:bottom w:val="single" w:sz="2" w:space="0" w:color="000000" w:themeColor="text1"/>
            </w:tcBorders>
          </w:tcPr>
          <w:p w:rsidR="000F1377" w:rsidRPr="00C81C92" w:rsidRDefault="000F1377" w:rsidP="00625B57">
            <w:pPr>
              <w:spacing w:line="360" w:lineRule="auto"/>
              <w:jc w:val="center"/>
              <w:rPr>
                <w:color w:val="000000" w:themeColor="text1"/>
                <w:sz w:val="22"/>
              </w:rPr>
            </w:pPr>
            <w:r w:rsidRPr="00C81C92">
              <w:rPr>
                <w:color w:val="000000" w:themeColor="text1"/>
                <w:sz w:val="22"/>
              </w:rPr>
              <w:t>10,72</w:t>
            </w:r>
          </w:p>
        </w:tc>
        <w:tc>
          <w:tcPr>
            <w:tcW w:w="1728" w:type="dxa"/>
            <w:tcBorders>
              <w:bottom w:val="single" w:sz="2" w:space="0" w:color="000000" w:themeColor="text1"/>
            </w:tcBorders>
            <w:shd w:val="clear" w:color="auto" w:fill="auto"/>
          </w:tcPr>
          <w:p w:rsidR="000F1377" w:rsidRPr="00C81C92" w:rsidRDefault="000F1377" w:rsidP="00625B57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89,28</w:t>
            </w:r>
          </w:p>
        </w:tc>
      </w:tr>
    </w:tbl>
    <w:p w:rsidR="00A42A9F" w:rsidRDefault="00625B57" w:rsidP="000F1377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2"/>
          <w:szCs w:val="24"/>
        </w:rPr>
        <w:tab/>
      </w:r>
      <w:r w:rsidR="004F54A4">
        <w:rPr>
          <w:sz w:val="24"/>
          <w:szCs w:val="24"/>
        </w:rPr>
        <w:t>De acordo com os dados obtidos,</w:t>
      </w:r>
      <w:r w:rsidRPr="004A4C3C">
        <w:rPr>
          <w:sz w:val="24"/>
          <w:szCs w:val="24"/>
        </w:rPr>
        <w:t xml:space="preserve"> verificou-se que os tratamentos</w:t>
      </w:r>
      <w:r w:rsidR="004A4C3C" w:rsidRPr="004A4C3C">
        <w:rPr>
          <w:sz w:val="24"/>
          <w:szCs w:val="24"/>
        </w:rPr>
        <w:t xml:space="preserve"> que apresentaram maior índice de solubilidade de sólidos e menores rendimentos foram os tratamentos: T8 de 40 minutos de tratamento hidrotérmico e 6% de sólidos de biomassa de casca de arroz e com rendimento sólido de </w:t>
      </w:r>
      <w:r w:rsidR="004A4C3C" w:rsidRPr="004A4C3C">
        <w:rPr>
          <w:rFonts w:eastAsia="Calibri"/>
          <w:color w:val="000000"/>
          <w:sz w:val="24"/>
          <w:szCs w:val="24"/>
        </w:rPr>
        <w:t>89,68</w:t>
      </w:r>
      <w:r w:rsidR="00A726E1">
        <w:rPr>
          <w:rFonts w:eastAsia="Calibri"/>
          <w:color w:val="000000"/>
          <w:sz w:val="24"/>
          <w:szCs w:val="24"/>
        </w:rPr>
        <w:t xml:space="preserve">% </w:t>
      </w:r>
      <w:r w:rsidR="004A4C3C">
        <w:rPr>
          <w:rFonts w:eastAsia="Calibri"/>
          <w:color w:val="000000"/>
          <w:sz w:val="24"/>
          <w:szCs w:val="24"/>
        </w:rPr>
        <w:t>e 10,32</w:t>
      </w:r>
      <w:r w:rsidR="00A726E1">
        <w:rPr>
          <w:rFonts w:eastAsia="Calibri"/>
          <w:color w:val="000000"/>
          <w:sz w:val="24"/>
          <w:szCs w:val="24"/>
        </w:rPr>
        <w:t xml:space="preserve">% </w:t>
      </w:r>
      <w:r w:rsidR="004A4C3C">
        <w:rPr>
          <w:rFonts w:eastAsia="Calibri"/>
          <w:color w:val="000000"/>
          <w:sz w:val="24"/>
          <w:szCs w:val="24"/>
        </w:rPr>
        <w:t xml:space="preserve">de sólido solubilizado em 100 </w:t>
      </w:r>
      <w:r w:rsidR="004F54A4">
        <w:rPr>
          <w:rFonts w:eastAsia="Calibri"/>
          <w:color w:val="000000"/>
          <w:sz w:val="24"/>
          <w:szCs w:val="24"/>
        </w:rPr>
        <w:t>mL</w:t>
      </w:r>
      <w:r w:rsidR="004A4C3C">
        <w:rPr>
          <w:rFonts w:eastAsia="Calibri"/>
          <w:color w:val="000000"/>
          <w:sz w:val="24"/>
          <w:szCs w:val="24"/>
        </w:rPr>
        <w:t xml:space="preserve"> de água destilada</w:t>
      </w:r>
      <w:r w:rsidR="004E41CC">
        <w:rPr>
          <w:rFonts w:eastAsia="Calibri"/>
          <w:color w:val="000000"/>
          <w:sz w:val="24"/>
          <w:szCs w:val="24"/>
        </w:rPr>
        <w:t xml:space="preserve">; </w:t>
      </w:r>
      <w:r w:rsidR="004E41CC" w:rsidRPr="004A4C3C">
        <w:rPr>
          <w:sz w:val="24"/>
          <w:szCs w:val="24"/>
        </w:rPr>
        <w:t>T</w:t>
      </w:r>
      <w:r w:rsidR="004E41CC">
        <w:rPr>
          <w:sz w:val="24"/>
          <w:szCs w:val="24"/>
        </w:rPr>
        <w:t xml:space="preserve">10 de </w:t>
      </w:r>
      <w:proofErr w:type="gramStart"/>
      <w:r w:rsidR="004E41CC">
        <w:rPr>
          <w:sz w:val="24"/>
          <w:szCs w:val="24"/>
        </w:rPr>
        <w:t>60</w:t>
      </w:r>
      <w:proofErr w:type="gramEnd"/>
      <w:r w:rsidR="004E41CC" w:rsidRPr="004A4C3C">
        <w:rPr>
          <w:sz w:val="24"/>
          <w:szCs w:val="24"/>
        </w:rPr>
        <w:t xml:space="preserve"> </w:t>
      </w:r>
      <w:proofErr w:type="gramStart"/>
      <w:r w:rsidR="004E41CC" w:rsidRPr="004A4C3C">
        <w:rPr>
          <w:sz w:val="24"/>
          <w:szCs w:val="24"/>
        </w:rPr>
        <w:t>minutos</w:t>
      </w:r>
      <w:proofErr w:type="gramEnd"/>
      <w:r w:rsidR="004E41CC" w:rsidRPr="004A4C3C">
        <w:rPr>
          <w:sz w:val="24"/>
          <w:szCs w:val="24"/>
        </w:rPr>
        <w:t xml:space="preserve"> de tratamento hidrotérmico </w:t>
      </w:r>
      <w:r w:rsidR="004E41CC">
        <w:rPr>
          <w:sz w:val="24"/>
          <w:szCs w:val="24"/>
        </w:rPr>
        <w:t>e 2</w:t>
      </w:r>
      <w:r w:rsidR="004E41CC" w:rsidRPr="004A4C3C">
        <w:rPr>
          <w:sz w:val="24"/>
          <w:szCs w:val="24"/>
        </w:rPr>
        <w:t xml:space="preserve">% de sólidos de biomassa de casca de arroz e com rendimento sólido de </w:t>
      </w:r>
      <w:r w:rsidR="004E41CC">
        <w:rPr>
          <w:rFonts w:eastAsia="Calibri"/>
          <w:color w:val="000000"/>
          <w:sz w:val="24"/>
          <w:szCs w:val="24"/>
        </w:rPr>
        <w:t>88,15</w:t>
      </w:r>
      <w:r w:rsidR="00A726E1">
        <w:rPr>
          <w:rFonts w:eastAsia="Calibri"/>
          <w:color w:val="000000"/>
          <w:sz w:val="24"/>
          <w:szCs w:val="24"/>
        </w:rPr>
        <w:t xml:space="preserve">% </w:t>
      </w:r>
      <w:r w:rsidR="004E41CC">
        <w:rPr>
          <w:rFonts w:eastAsia="Calibri"/>
          <w:color w:val="000000"/>
          <w:sz w:val="24"/>
          <w:szCs w:val="24"/>
        </w:rPr>
        <w:t>e 11,85</w:t>
      </w:r>
      <w:r w:rsidR="00A726E1">
        <w:rPr>
          <w:rFonts w:eastAsia="Calibri"/>
          <w:color w:val="000000"/>
          <w:sz w:val="24"/>
          <w:szCs w:val="24"/>
        </w:rPr>
        <w:t>%</w:t>
      </w:r>
      <w:r w:rsidR="004E41CC">
        <w:rPr>
          <w:rFonts w:eastAsia="Calibri"/>
          <w:color w:val="000000"/>
          <w:sz w:val="24"/>
          <w:szCs w:val="24"/>
        </w:rPr>
        <w:t xml:space="preserve"> de sólido solubilizado em 100 </w:t>
      </w:r>
      <w:r w:rsidR="004F54A4">
        <w:rPr>
          <w:rFonts w:eastAsia="Calibri"/>
          <w:color w:val="000000"/>
          <w:sz w:val="24"/>
          <w:szCs w:val="24"/>
        </w:rPr>
        <w:t>mL</w:t>
      </w:r>
      <w:r w:rsidR="004E41CC">
        <w:rPr>
          <w:rFonts w:eastAsia="Calibri"/>
          <w:color w:val="000000"/>
          <w:sz w:val="24"/>
          <w:szCs w:val="24"/>
        </w:rPr>
        <w:t xml:space="preserve"> de água destilada; </w:t>
      </w:r>
      <w:r w:rsidR="004E41CC" w:rsidRPr="004A4C3C">
        <w:rPr>
          <w:sz w:val="24"/>
          <w:szCs w:val="24"/>
        </w:rPr>
        <w:t>T</w:t>
      </w:r>
      <w:r w:rsidR="004E41CC">
        <w:rPr>
          <w:sz w:val="24"/>
          <w:szCs w:val="24"/>
        </w:rPr>
        <w:t>11 de 60</w:t>
      </w:r>
      <w:r w:rsidR="004E41CC" w:rsidRPr="004A4C3C">
        <w:rPr>
          <w:sz w:val="24"/>
          <w:szCs w:val="24"/>
        </w:rPr>
        <w:t xml:space="preserve"> minutos de tratamento hidrotérmico e 6% de sólidos de biomassa de casca de arroz e com rendimento sólido de </w:t>
      </w:r>
      <w:r w:rsidR="004E41CC">
        <w:rPr>
          <w:rFonts w:eastAsia="Calibri"/>
          <w:color w:val="000000"/>
          <w:sz w:val="24"/>
          <w:szCs w:val="24"/>
        </w:rPr>
        <w:t>88,63</w:t>
      </w:r>
      <w:r w:rsidR="00A726E1">
        <w:rPr>
          <w:rFonts w:eastAsia="Calibri"/>
          <w:color w:val="000000"/>
          <w:sz w:val="24"/>
          <w:szCs w:val="24"/>
        </w:rPr>
        <w:t>%</w:t>
      </w:r>
      <w:r w:rsidR="004E41CC">
        <w:rPr>
          <w:rFonts w:eastAsia="Calibri"/>
          <w:color w:val="000000"/>
          <w:sz w:val="24"/>
          <w:szCs w:val="24"/>
        </w:rPr>
        <w:t xml:space="preserve"> e 11,37</w:t>
      </w:r>
      <w:r w:rsidR="00A726E1">
        <w:rPr>
          <w:rFonts w:eastAsia="Calibri"/>
          <w:color w:val="000000"/>
          <w:sz w:val="24"/>
          <w:szCs w:val="24"/>
        </w:rPr>
        <w:t>%</w:t>
      </w:r>
      <w:r w:rsidR="004E41CC">
        <w:rPr>
          <w:rFonts w:eastAsia="Calibri"/>
          <w:color w:val="000000"/>
          <w:sz w:val="24"/>
          <w:szCs w:val="24"/>
        </w:rPr>
        <w:t xml:space="preserve"> de sólido solubilizado em 100 </w:t>
      </w:r>
      <w:r w:rsidR="004F54A4">
        <w:rPr>
          <w:rFonts w:eastAsia="Calibri"/>
          <w:color w:val="000000"/>
          <w:sz w:val="24"/>
          <w:szCs w:val="24"/>
        </w:rPr>
        <w:t>mL</w:t>
      </w:r>
      <w:r w:rsidR="004E41CC">
        <w:rPr>
          <w:rFonts w:eastAsia="Calibri"/>
          <w:color w:val="000000"/>
          <w:sz w:val="24"/>
          <w:szCs w:val="24"/>
        </w:rPr>
        <w:t xml:space="preserve"> de água destilada;</w:t>
      </w:r>
      <w:r w:rsidR="004A4C3C" w:rsidRPr="004A4C3C">
        <w:rPr>
          <w:sz w:val="24"/>
          <w:szCs w:val="24"/>
        </w:rPr>
        <w:t xml:space="preserve"> </w:t>
      </w:r>
      <w:r w:rsidR="004E41CC" w:rsidRPr="004A4C3C">
        <w:rPr>
          <w:sz w:val="24"/>
          <w:szCs w:val="24"/>
        </w:rPr>
        <w:t>T</w:t>
      </w:r>
      <w:r w:rsidR="004E41CC">
        <w:rPr>
          <w:sz w:val="24"/>
          <w:szCs w:val="24"/>
        </w:rPr>
        <w:t>12 de 6</w:t>
      </w:r>
      <w:r w:rsidR="004E41CC" w:rsidRPr="004A4C3C">
        <w:rPr>
          <w:sz w:val="24"/>
          <w:szCs w:val="24"/>
        </w:rPr>
        <w:t xml:space="preserve">0 minutos de tratamento hidrotérmico </w:t>
      </w:r>
      <w:r w:rsidR="004E41CC">
        <w:rPr>
          <w:sz w:val="24"/>
          <w:szCs w:val="24"/>
        </w:rPr>
        <w:t>e 10</w:t>
      </w:r>
      <w:r w:rsidR="004E41CC" w:rsidRPr="004A4C3C">
        <w:rPr>
          <w:sz w:val="24"/>
          <w:szCs w:val="24"/>
        </w:rPr>
        <w:t xml:space="preserve">% de sólidos de biomassa de casca de arroz e com </w:t>
      </w:r>
      <w:r w:rsidR="004E41CC" w:rsidRPr="004A4C3C">
        <w:rPr>
          <w:sz w:val="24"/>
          <w:szCs w:val="24"/>
        </w:rPr>
        <w:lastRenderedPageBreak/>
        <w:t xml:space="preserve">rendimento sólido de </w:t>
      </w:r>
      <w:r w:rsidR="004E41CC">
        <w:rPr>
          <w:rFonts w:eastAsia="Calibri"/>
          <w:color w:val="000000"/>
          <w:sz w:val="24"/>
          <w:szCs w:val="24"/>
        </w:rPr>
        <w:t>89,2</w:t>
      </w:r>
      <w:r w:rsidR="004E41CC" w:rsidRPr="004A4C3C">
        <w:rPr>
          <w:rFonts w:eastAsia="Calibri"/>
          <w:color w:val="000000"/>
          <w:sz w:val="24"/>
          <w:szCs w:val="24"/>
        </w:rPr>
        <w:t>8</w:t>
      </w:r>
      <w:r w:rsidR="00A726E1">
        <w:rPr>
          <w:rFonts w:eastAsia="Calibri"/>
          <w:color w:val="000000"/>
          <w:sz w:val="24"/>
          <w:szCs w:val="24"/>
        </w:rPr>
        <w:t>%</w:t>
      </w:r>
      <w:r w:rsidR="004E41CC">
        <w:rPr>
          <w:rFonts w:eastAsia="Calibri"/>
          <w:color w:val="000000"/>
          <w:sz w:val="24"/>
          <w:szCs w:val="24"/>
        </w:rPr>
        <w:t xml:space="preserve"> e 10,72</w:t>
      </w:r>
      <w:r w:rsidR="00A726E1">
        <w:rPr>
          <w:rFonts w:eastAsia="Calibri"/>
          <w:color w:val="000000"/>
          <w:sz w:val="24"/>
          <w:szCs w:val="24"/>
        </w:rPr>
        <w:t>%</w:t>
      </w:r>
      <w:r w:rsidR="004E41CC">
        <w:rPr>
          <w:rFonts w:eastAsia="Calibri"/>
          <w:color w:val="000000"/>
          <w:sz w:val="24"/>
          <w:szCs w:val="24"/>
        </w:rPr>
        <w:t xml:space="preserve"> de sólido solubilizado em 100 </w:t>
      </w:r>
      <w:r w:rsidR="004F54A4">
        <w:rPr>
          <w:rFonts w:eastAsia="Calibri"/>
          <w:color w:val="000000"/>
          <w:sz w:val="24"/>
          <w:szCs w:val="24"/>
        </w:rPr>
        <w:t>mL</w:t>
      </w:r>
      <w:r w:rsidR="004E41CC">
        <w:rPr>
          <w:rFonts w:eastAsia="Calibri"/>
          <w:color w:val="000000"/>
          <w:sz w:val="24"/>
          <w:szCs w:val="24"/>
        </w:rPr>
        <w:t xml:space="preserve"> de água destilada</w:t>
      </w:r>
      <w:r w:rsidR="00125234">
        <w:rPr>
          <w:rFonts w:eastAsia="Calibri"/>
          <w:color w:val="000000"/>
          <w:sz w:val="24"/>
          <w:szCs w:val="24"/>
        </w:rPr>
        <w:t xml:space="preserve">. Contudo nota-se a eficiência do tratamento hidrotérmico nos melhores tempos e concentrações para obtenção de licor para quantificação de compostos fenólicos. </w:t>
      </w:r>
      <w:r w:rsidRPr="004A4C3C">
        <w:rPr>
          <w:sz w:val="24"/>
          <w:szCs w:val="24"/>
        </w:rPr>
        <w:t xml:space="preserve"> </w:t>
      </w:r>
    </w:p>
    <w:p w:rsidR="00125234" w:rsidRPr="00125234" w:rsidRDefault="00125234" w:rsidP="00125234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25234">
        <w:rPr>
          <w:sz w:val="24"/>
          <w:szCs w:val="24"/>
        </w:rPr>
        <w:t>.3</w:t>
      </w:r>
      <w:r>
        <w:rPr>
          <w:sz w:val="24"/>
          <w:szCs w:val="24"/>
        </w:rPr>
        <w:t xml:space="preserve"> </w:t>
      </w:r>
      <w:r w:rsidRPr="00125234">
        <w:rPr>
          <w:sz w:val="24"/>
          <w:szCs w:val="24"/>
        </w:rPr>
        <w:t>QUANTIFICAÇÕES</w:t>
      </w:r>
      <w:r>
        <w:rPr>
          <w:sz w:val="24"/>
          <w:szCs w:val="24"/>
        </w:rPr>
        <w:t xml:space="preserve"> DE COMPOSTOS FENÓLICOS</w:t>
      </w:r>
    </w:p>
    <w:p w:rsidR="00125234" w:rsidRDefault="00125234" w:rsidP="00125234">
      <w:pPr>
        <w:spacing w:after="240" w:line="360" w:lineRule="auto"/>
        <w:ind w:firstLine="708"/>
        <w:jc w:val="both"/>
        <w:rPr>
          <w:sz w:val="24"/>
          <w:szCs w:val="24"/>
        </w:rPr>
      </w:pPr>
      <w:r w:rsidRPr="00125234">
        <w:rPr>
          <w:sz w:val="24"/>
          <w:szCs w:val="24"/>
        </w:rPr>
        <w:t xml:space="preserve">Para que pudesse ser realizada </w:t>
      </w:r>
      <w:r>
        <w:rPr>
          <w:sz w:val="24"/>
          <w:szCs w:val="24"/>
        </w:rPr>
        <w:t xml:space="preserve">a </w:t>
      </w:r>
      <w:r w:rsidRPr="00125234">
        <w:rPr>
          <w:sz w:val="24"/>
          <w:szCs w:val="24"/>
        </w:rPr>
        <w:t xml:space="preserve">quantificação dos compostos </w:t>
      </w:r>
      <w:r>
        <w:rPr>
          <w:sz w:val="24"/>
          <w:szCs w:val="24"/>
        </w:rPr>
        <w:t xml:space="preserve">fenólicos propostos foi necessário à construção da curva padrão </w:t>
      </w:r>
      <w:r w:rsidRPr="00125234">
        <w:rPr>
          <w:sz w:val="24"/>
          <w:szCs w:val="24"/>
        </w:rPr>
        <w:t xml:space="preserve">de ácido gálico </w:t>
      </w:r>
      <w:r>
        <w:rPr>
          <w:sz w:val="24"/>
          <w:szCs w:val="24"/>
        </w:rPr>
        <w:t xml:space="preserve">como mostrado na </w:t>
      </w:r>
      <w:r w:rsidR="004F54A4">
        <w:rPr>
          <w:sz w:val="24"/>
          <w:szCs w:val="24"/>
        </w:rPr>
        <w:t>F</w:t>
      </w:r>
      <w:r>
        <w:rPr>
          <w:sz w:val="24"/>
          <w:szCs w:val="24"/>
        </w:rPr>
        <w:t>igura 1</w:t>
      </w:r>
      <w:r w:rsidR="000210B1">
        <w:rPr>
          <w:sz w:val="24"/>
          <w:szCs w:val="24"/>
        </w:rPr>
        <w:t>.</w:t>
      </w:r>
    </w:p>
    <w:p w:rsidR="000210B1" w:rsidRPr="004A4C3C" w:rsidRDefault="000210B1" w:rsidP="000210B1">
      <w:pPr>
        <w:spacing w:line="360" w:lineRule="auto"/>
        <w:jc w:val="center"/>
        <w:rPr>
          <w:sz w:val="24"/>
          <w:szCs w:val="24"/>
        </w:rPr>
      </w:pPr>
      <w:r w:rsidRPr="000210B1">
        <w:rPr>
          <w:sz w:val="22"/>
          <w:szCs w:val="24"/>
        </w:rPr>
        <w:t>Figura 1- Curva padrão de ácido gálico para determinação de compostos fenólicos.</w:t>
      </w:r>
      <w:r>
        <w:rPr>
          <w:noProof/>
        </w:rPr>
        <w:drawing>
          <wp:inline distT="0" distB="0" distL="0" distR="0" wp14:anchorId="69593FCB" wp14:editId="1FF146DC">
            <wp:extent cx="4176584" cy="2397211"/>
            <wp:effectExtent l="0" t="0" r="14605" b="2222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210B1" w:rsidRDefault="000210B1" w:rsidP="000210B1">
      <w:pPr>
        <w:spacing w:after="240" w:line="360" w:lineRule="auto"/>
        <w:jc w:val="center"/>
        <w:rPr>
          <w:sz w:val="22"/>
          <w:szCs w:val="22"/>
        </w:rPr>
      </w:pPr>
      <w:r w:rsidRPr="00A20FD7">
        <w:rPr>
          <w:sz w:val="22"/>
          <w:szCs w:val="22"/>
        </w:rPr>
        <w:t>Fonte: Próprios autores, (2018).</w:t>
      </w:r>
    </w:p>
    <w:p w:rsidR="00FC64FA" w:rsidRDefault="00FC64FA" w:rsidP="00FC64FA">
      <w:pPr>
        <w:spacing w:after="240" w:line="360" w:lineRule="auto"/>
        <w:ind w:firstLine="708"/>
        <w:jc w:val="both"/>
        <w:rPr>
          <w:sz w:val="24"/>
          <w:szCs w:val="24"/>
        </w:rPr>
      </w:pPr>
      <w:r w:rsidRPr="00FC64FA">
        <w:rPr>
          <w:sz w:val="24"/>
          <w:szCs w:val="24"/>
        </w:rPr>
        <w:t>Os resultados obtidos para compostos fenólicos</w:t>
      </w:r>
      <w:r>
        <w:rPr>
          <w:sz w:val="24"/>
          <w:szCs w:val="24"/>
        </w:rPr>
        <w:t xml:space="preserve"> </w:t>
      </w:r>
      <w:r w:rsidRPr="00FC64FA">
        <w:rPr>
          <w:sz w:val="24"/>
          <w:szCs w:val="24"/>
        </w:rPr>
        <w:t>totais</w:t>
      </w:r>
      <w:r>
        <w:rPr>
          <w:sz w:val="24"/>
          <w:szCs w:val="24"/>
        </w:rPr>
        <w:t xml:space="preserve"> foram calculados a partir da equação gerada pela curva padrão e da </w:t>
      </w:r>
      <w:r w:rsidRPr="00FC64FA">
        <w:rPr>
          <w:sz w:val="24"/>
          <w:szCs w:val="24"/>
        </w:rPr>
        <w:t>leitura da absor</w:t>
      </w:r>
      <w:r w:rsidR="006B0419">
        <w:rPr>
          <w:sz w:val="24"/>
          <w:szCs w:val="24"/>
        </w:rPr>
        <w:t>b</w:t>
      </w:r>
      <w:r w:rsidR="000F1377">
        <w:rPr>
          <w:sz w:val="24"/>
          <w:szCs w:val="24"/>
        </w:rPr>
        <w:t>ância em</w:t>
      </w:r>
      <w:r w:rsidR="006B0419">
        <w:rPr>
          <w:sz w:val="24"/>
          <w:szCs w:val="24"/>
        </w:rPr>
        <w:t xml:space="preserve"> 750</w:t>
      </w:r>
      <w:r w:rsidR="000F1377">
        <w:rPr>
          <w:sz w:val="24"/>
          <w:szCs w:val="24"/>
        </w:rPr>
        <w:t xml:space="preserve"> </w:t>
      </w:r>
      <w:proofErr w:type="spellStart"/>
      <w:r w:rsidR="000F1377">
        <w:rPr>
          <w:sz w:val="24"/>
          <w:szCs w:val="24"/>
        </w:rPr>
        <w:t>nm</w:t>
      </w:r>
      <w:proofErr w:type="spellEnd"/>
      <w:r w:rsidRPr="00FC64F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C64FA">
        <w:rPr>
          <w:sz w:val="24"/>
          <w:szCs w:val="24"/>
        </w:rPr>
        <w:t>sendo os resultados expressos em miligrama de ácido</w:t>
      </w:r>
      <w:r>
        <w:rPr>
          <w:sz w:val="24"/>
          <w:szCs w:val="24"/>
        </w:rPr>
        <w:t xml:space="preserve"> </w:t>
      </w:r>
      <w:proofErr w:type="gramStart"/>
      <w:r w:rsidRPr="00FC64FA">
        <w:rPr>
          <w:sz w:val="24"/>
          <w:szCs w:val="24"/>
        </w:rPr>
        <w:t>gálico.</w:t>
      </w:r>
      <w:proofErr w:type="gramEnd"/>
      <w:r w:rsidRPr="00FC64FA">
        <w:rPr>
          <w:sz w:val="24"/>
          <w:szCs w:val="24"/>
        </w:rPr>
        <w:t>100 g</w:t>
      </w:r>
      <w:r w:rsidRPr="00FC64FA">
        <w:rPr>
          <w:sz w:val="24"/>
          <w:szCs w:val="24"/>
          <w:vertAlign w:val="superscript"/>
        </w:rPr>
        <w:t>–1</w:t>
      </w:r>
      <w:r w:rsidRPr="00FC64FA">
        <w:rPr>
          <w:sz w:val="24"/>
          <w:szCs w:val="24"/>
        </w:rPr>
        <w:t xml:space="preserve"> de amostra</w:t>
      </w:r>
      <w:r>
        <w:rPr>
          <w:sz w:val="24"/>
          <w:szCs w:val="24"/>
        </w:rPr>
        <w:t>, para todos os 12 tratamentos hidrotérmicos, como expresso na Tabela 4</w:t>
      </w:r>
      <w:r w:rsidRPr="00FC64F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81C92" w:rsidRDefault="00C81C92" w:rsidP="00C81C92">
      <w:pPr>
        <w:spacing w:line="360" w:lineRule="auto"/>
        <w:jc w:val="both"/>
        <w:rPr>
          <w:sz w:val="24"/>
          <w:szCs w:val="24"/>
        </w:rPr>
      </w:pPr>
      <w:r>
        <w:rPr>
          <w:sz w:val="22"/>
          <w:szCs w:val="24"/>
        </w:rPr>
        <w:t>Tabela 4</w:t>
      </w:r>
      <w:r w:rsidRPr="00C81C92">
        <w:rPr>
          <w:sz w:val="22"/>
          <w:szCs w:val="24"/>
        </w:rPr>
        <w:t xml:space="preserve">. Teores de compostos fenólicos totais </w:t>
      </w:r>
      <w:r>
        <w:rPr>
          <w:sz w:val="22"/>
          <w:szCs w:val="24"/>
        </w:rPr>
        <w:t>dos licores obtidos nos tratamentos hidrotérmicos.</w:t>
      </w:r>
    </w:p>
    <w:tbl>
      <w:tblPr>
        <w:tblW w:w="5000" w:type="pct"/>
        <w:tblBorders>
          <w:top w:val="single" w:sz="4" w:space="0" w:color="7F7F7F"/>
          <w:bottom w:val="single" w:sz="4" w:space="0" w:color="7F7F7F"/>
        </w:tblBorders>
        <w:tblLook w:val="06A0" w:firstRow="1" w:lastRow="0" w:firstColumn="1" w:lastColumn="0" w:noHBand="1" w:noVBand="1"/>
      </w:tblPr>
      <w:tblGrid>
        <w:gridCol w:w="2070"/>
        <w:gridCol w:w="1580"/>
        <w:gridCol w:w="1857"/>
        <w:gridCol w:w="4114"/>
      </w:tblGrid>
      <w:tr w:rsidR="00C81C92" w:rsidRPr="00C81C92" w:rsidTr="007C1D03">
        <w:tc>
          <w:tcPr>
            <w:tcW w:w="107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6B11A3" w:rsidRPr="00C81C92" w:rsidRDefault="006B11A3" w:rsidP="004F54A4">
            <w:pPr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Tratamentos</w:t>
            </w:r>
          </w:p>
        </w:tc>
        <w:tc>
          <w:tcPr>
            <w:tcW w:w="821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6B11A3" w:rsidRPr="00C81C92" w:rsidRDefault="006B11A3" w:rsidP="004F54A4">
            <w:pPr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Tempo (min)</w:t>
            </w:r>
          </w:p>
        </w:tc>
        <w:tc>
          <w:tcPr>
            <w:tcW w:w="965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6B11A3" w:rsidRPr="00C81C92" w:rsidRDefault="006B11A3" w:rsidP="00381177">
            <w:pPr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Conc. de sólidos (%)</w:t>
            </w:r>
          </w:p>
        </w:tc>
        <w:tc>
          <w:tcPr>
            <w:tcW w:w="2138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F557C6" w:rsidRPr="00C81C92" w:rsidRDefault="00F557C6" w:rsidP="00381177">
            <w:pPr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Fenólicos Totais</w:t>
            </w:r>
          </w:p>
          <w:p w:rsidR="006B11A3" w:rsidRPr="00C81C92" w:rsidRDefault="00F557C6" w:rsidP="00381177">
            <w:pPr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mg</w:t>
            </w:r>
            <w:proofErr w:type="gramEnd"/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 xml:space="preserve"> ácido gálico.100g</w:t>
            </w:r>
            <w:r w:rsidR="00381177">
              <w:rPr>
                <w:rFonts w:eastAsia="Calibri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-1</w:t>
            </w:r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</w:tr>
      <w:tr w:rsidR="00C81C92" w:rsidRPr="00C81C92" w:rsidTr="007C1D03">
        <w:tc>
          <w:tcPr>
            <w:tcW w:w="1076" w:type="pct"/>
            <w:tcBorders>
              <w:top w:val="single" w:sz="2" w:space="0" w:color="000000" w:themeColor="text1"/>
            </w:tcBorders>
            <w:shd w:val="clear" w:color="auto" w:fill="auto"/>
          </w:tcPr>
          <w:p w:rsidR="00F557C6" w:rsidRPr="00C81C92" w:rsidRDefault="00C81C92" w:rsidP="007C1D03">
            <w:pPr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T</w:t>
            </w:r>
            <w:r w:rsidR="00F557C6"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21" w:type="pct"/>
            <w:tcBorders>
              <w:top w:val="single" w:sz="2" w:space="0" w:color="000000" w:themeColor="text1"/>
            </w:tcBorders>
            <w:shd w:val="clear" w:color="auto" w:fill="auto"/>
          </w:tcPr>
          <w:p w:rsidR="00F557C6" w:rsidRPr="00C81C92" w:rsidRDefault="00F557C6" w:rsidP="007C1D03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965" w:type="pct"/>
            <w:tcBorders>
              <w:top w:val="single" w:sz="2" w:space="0" w:color="000000" w:themeColor="text1"/>
            </w:tcBorders>
            <w:shd w:val="clear" w:color="auto" w:fill="auto"/>
          </w:tcPr>
          <w:p w:rsidR="00F557C6" w:rsidRPr="00C81C92" w:rsidRDefault="00F557C6" w:rsidP="007C1D03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38" w:type="pct"/>
            <w:tcBorders>
              <w:top w:val="single" w:sz="2" w:space="0" w:color="000000" w:themeColor="text1"/>
            </w:tcBorders>
            <w:shd w:val="clear" w:color="auto" w:fill="auto"/>
          </w:tcPr>
          <w:p w:rsidR="00F557C6" w:rsidRPr="00C81C92" w:rsidRDefault="00F557C6" w:rsidP="00F557C6">
            <w:pPr>
              <w:jc w:val="center"/>
              <w:rPr>
                <w:color w:val="000000" w:themeColor="text1"/>
                <w:sz w:val="22"/>
              </w:rPr>
            </w:pPr>
            <w:r w:rsidRPr="00C81C92">
              <w:rPr>
                <w:color w:val="000000" w:themeColor="text1"/>
                <w:sz w:val="22"/>
              </w:rPr>
              <w:t>2434,42</w:t>
            </w:r>
          </w:p>
        </w:tc>
      </w:tr>
      <w:tr w:rsidR="00C81C92" w:rsidRPr="00C81C92" w:rsidTr="007C1D03">
        <w:tc>
          <w:tcPr>
            <w:tcW w:w="1076" w:type="pct"/>
            <w:shd w:val="clear" w:color="auto" w:fill="auto"/>
          </w:tcPr>
          <w:p w:rsidR="00F557C6" w:rsidRPr="00C81C92" w:rsidRDefault="00C81C92" w:rsidP="007C1D03">
            <w:pPr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T</w:t>
            </w:r>
            <w:r w:rsidR="00F557C6"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21" w:type="pct"/>
            <w:shd w:val="clear" w:color="auto" w:fill="auto"/>
          </w:tcPr>
          <w:p w:rsidR="00F557C6" w:rsidRPr="00C81C92" w:rsidRDefault="00F557C6" w:rsidP="007C1D03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965" w:type="pct"/>
            <w:shd w:val="clear" w:color="auto" w:fill="auto"/>
          </w:tcPr>
          <w:p w:rsidR="00F557C6" w:rsidRPr="00C81C92" w:rsidRDefault="00F557C6" w:rsidP="007C1D03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38" w:type="pct"/>
            <w:shd w:val="clear" w:color="auto" w:fill="auto"/>
          </w:tcPr>
          <w:p w:rsidR="00F557C6" w:rsidRPr="00C81C92" w:rsidRDefault="00F557C6" w:rsidP="00F557C6">
            <w:pPr>
              <w:jc w:val="center"/>
              <w:rPr>
                <w:color w:val="000000" w:themeColor="text1"/>
                <w:sz w:val="22"/>
              </w:rPr>
            </w:pPr>
            <w:r w:rsidRPr="00C81C92">
              <w:rPr>
                <w:color w:val="000000" w:themeColor="text1"/>
                <w:sz w:val="22"/>
              </w:rPr>
              <w:t>862,43</w:t>
            </w:r>
          </w:p>
        </w:tc>
      </w:tr>
      <w:tr w:rsidR="00C81C92" w:rsidRPr="00C81C92" w:rsidTr="007C1D03">
        <w:tc>
          <w:tcPr>
            <w:tcW w:w="1076" w:type="pct"/>
            <w:shd w:val="clear" w:color="auto" w:fill="auto"/>
          </w:tcPr>
          <w:p w:rsidR="00F557C6" w:rsidRPr="00C81C92" w:rsidRDefault="00C81C92" w:rsidP="007C1D03">
            <w:pPr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T</w:t>
            </w:r>
            <w:r w:rsidR="00F557C6"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21" w:type="pct"/>
            <w:shd w:val="clear" w:color="auto" w:fill="auto"/>
          </w:tcPr>
          <w:p w:rsidR="00F557C6" w:rsidRPr="00C81C92" w:rsidRDefault="00F557C6" w:rsidP="007C1D03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965" w:type="pct"/>
            <w:shd w:val="clear" w:color="auto" w:fill="auto"/>
          </w:tcPr>
          <w:p w:rsidR="00F557C6" w:rsidRPr="00C81C92" w:rsidRDefault="00F557C6" w:rsidP="007C1D03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138" w:type="pct"/>
            <w:shd w:val="clear" w:color="auto" w:fill="auto"/>
          </w:tcPr>
          <w:p w:rsidR="00F557C6" w:rsidRPr="00C81C92" w:rsidRDefault="00F557C6" w:rsidP="00F557C6">
            <w:pPr>
              <w:jc w:val="center"/>
              <w:rPr>
                <w:color w:val="000000" w:themeColor="text1"/>
                <w:sz w:val="22"/>
              </w:rPr>
            </w:pPr>
            <w:r w:rsidRPr="00C81C92">
              <w:rPr>
                <w:color w:val="000000" w:themeColor="text1"/>
                <w:sz w:val="22"/>
              </w:rPr>
              <w:t>620,40</w:t>
            </w:r>
          </w:p>
        </w:tc>
      </w:tr>
      <w:tr w:rsidR="00C81C92" w:rsidRPr="00C81C92" w:rsidTr="007C1D03">
        <w:tc>
          <w:tcPr>
            <w:tcW w:w="1076" w:type="pct"/>
            <w:shd w:val="clear" w:color="auto" w:fill="auto"/>
          </w:tcPr>
          <w:p w:rsidR="00F557C6" w:rsidRPr="00C81C92" w:rsidRDefault="00C81C92" w:rsidP="007C1D03">
            <w:pPr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T</w:t>
            </w:r>
            <w:r w:rsidR="00F557C6"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21" w:type="pct"/>
            <w:shd w:val="clear" w:color="auto" w:fill="auto"/>
          </w:tcPr>
          <w:p w:rsidR="00F557C6" w:rsidRPr="00C81C92" w:rsidRDefault="00F557C6" w:rsidP="007C1D03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27,5</w:t>
            </w:r>
          </w:p>
        </w:tc>
        <w:tc>
          <w:tcPr>
            <w:tcW w:w="965" w:type="pct"/>
            <w:shd w:val="clear" w:color="auto" w:fill="auto"/>
          </w:tcPr>
          <w:p w:rsidR="00F557C6" w:rsidRPr="00C81C92" w:rsidRDefault="00F557C6" w:rsidP="007C1D03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38" w:type="pct"/>
            <w:shd w:val="clear" w:color="auto" w:fill="auto"/>
          </w:tcPr>
          <w:p w:rsidR="00F557C6" w:rsidRPr="00C81C92" w:rsidRDefault="00F557C6" w:rsidP="00F557C6">
            <w:pPr>
              <w:jc w:val="center"/>
              <w:rPr>
                <w:color w:val="000000" w:themeColor="text1"/>
                <w:sz w:val="22"/>
              </w:rPr>
            </w:pPr>
            <w:r w:rsidRPr="00C81C92">
              <w:rPr>
                <w:color w:val="000000" w:themeColor="text1"/>
                <w:sz w:val="22"/>
              </w:rPr>
              <w:t>3056,96</w:t>
            </w:r>
          </w:p>
        </w:tc>
      </w:tr>
      <w:tr w:rsidR="00C81C92" w:rsidRPr="00C81C92" w:rsidTr="007C1D03">
        <w:tc>
          <w:tcPr>
            <w:tcW w:w="1076" w:type="pct"/>
            <w:shd w:val="clear" w:color="auto" w:fill="auto"/>
          </w:tcPr>
          <w:p w:rsidR="00F557C6" w:rsidRPr="00C81C92" w:rsidRDefault="00C81C92" w:rsidP="007C1D03">
            <w:pPr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T</w:t>
            </w:r>
            <w:r w:rsidR="00F557C6"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21" w:type="pct"/>
            <w:shd w:val="clear" w:color="auto" w:fill="auto"/>
          </w:tcPr>
          <w:p w:rsidR="00F557C6" w:rsidRPr="00C81C92" w:rsidRDefault="00F557C6" w:rsidP="007C1D03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27,5</w:t>
            </w:r>
          </w:p>
        </w:tc>
        <w:tc>
          <w:tcPr>
            <w:tcW w:w="965" w:type="pct"/>
            <w:shd w:val="clear" w:color="auto" w:fill="auto"/>
          </w:tcPr>
          <w:p w:rsidR="00F557C6" w:rsidRPr="00C81C92" w:rsidRDefault="00F557C6" w:rsidP="007C1D03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38" w:type="pct"/>
            <w:shd w:val="clear" w:color="auto" w:fill="auto"/>
          </w:tcPr>
          <w:p w:rsidR="00F557C6" w:rsidRPr="00C81C92" w:rsidRDefault="00F557C6" w:rsidP="00F557C6">
            <w:pPr>
              <w:jc w:val="center"/>
              <w:rPr>
                <w:color w:val="000000" w:themeColor="text1"/>
                <w:sz w:val="22"/>
              </w:rPr>
            </w:pPr>
            <w:r w:rsidRPr="00C81C92">
              <w:rPr>
                <w:color w:val="000000" w:themeColor="text1"/>
                <w:sz w:val="22"/>
              </w:rPr>
              <w:t>1847,40</w:t>
            </w:r>
          </w:p>
        </w:tc>
      </w:tr>
      <w:tr w:rsidR="00C81C92" w:rsidRPr="00C81C92" w:rsidTr="007C1D03">
        <w:tc>
          <w:tcPr>
            <w:tcW w:w="1076" w:type="pct"/>
            <w:shd w:val="clear" w:color="auto" w:fill="auto"/>
          </w:tcPr>
          <w:p w:rsidR="00F557C6" w:rsidRPr="00C81C92" w:rsidRDefault="00C81C92" w:rsidP="007C1D03">
            <w:pPr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lastRenderedPageBreak/>
              <w:t>T</w:t>
            </w:r>
            <w:r w:rsidR="00F557C6"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21" w:type="pct"/>
            <w:shd w:val="clear" w:color="auto" w:fill="auto"/>
          </w:tcPr>
          <w:p w:rsidR="00F557C6" w:rsidRPr="00C81C92" w:rsidRDefault="00F557C6" w:rsidP="007C1D03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27,5</w:t>
            </w:r>
          </w:p>
        </w:tc>
        <w:tc>
          <w:tcPr>
            <w:tcW w:w="965" w:type="pct"/>
            <w:shd w:val="clear" w:color="auto" w:fill="auto"/>
          </w:tcPr>
          <w:p w:rsidR="00F557C6" w:rsidRPr="00C81C92" w:rsidRDefault="00F557C6" w:rsidP="007C1D03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138" w:type="pct"/>
            <w:shd w:val="clear" w:color="auto" w:fill="auto"/>
          </w:tcPr>
          <w:p w:rsidR="00F557C6" w:rsidRPr="00C81C92" w:rsidRDefault="00F557C6" w:rsidP="00F557C6">
            <w:pPr>
              <w:jc w:val="center"/>
              <w:rPr>
                <w:color w:val="000000" w:themeColor="text1"/>
                <w:sz w:val="22"/>
              </w:rPr>
            </w:pPr>
            <w:r w:rsidRPr="00C81C92">
              <w:rPr>
                <w:color w:val="000000" w:themeColor="text1"/>
                <w:sz w:val="22"/>
              </w:rPr>
              <w:t>1029,95</w:t>
            </w:r>
          </w:p>
        </w:tc>
      </w:tr>
      <w:tr w:rsidR="00C81C92" w:rsidRPr="00C81C92" w:rsidTr="007C1D03">
        <w:tc>
          <w:tcPr>
            <w:tcW w:w="1076" w:type="pct"/>
            <w:shd w:val="clear" w:color="auto" w:fill="auto"/>
          </w:tcPr>
          <w:p w:rsidR="00F557C6" w:rsidRPr="00C81C92" w:rsidRDefault="00C81C92" w:rsidP="007C1D03">
            <w:pPr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T</w:t>
            </w:r>
            <w:r w:rsidR="00F557C6"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21" w:type="pct"/>
            <w:shd w:val="clear" w:color="auto" w:fill="auto"/>
          </w:tcPr>
          <w:p w:rsidR="00F557C6" w:rsidRPr="00C81C92" w:rsidRDefault="00F557C6" w:rsidP="007C1D03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965" w:type="pct"/>
            <w:shd w:val="clear" w:color="auto" w:fill="auto"/>
          </w:tcPr>
          <w:p w:rsidR="00F557C6" w:rsidRPr="00C81C92" w:rsidRDefault="00F557C6" w:rsidP="007C1D03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38" w:type="pct"/>
            <w:shd w:val="clear" w:color="auto" w:fill="auto"/>
          </w:tcPr>
          <w:p w:rsidR="00F557C6" w:rsidRPr="00C81C92" w:rsidRDefault="00F557C6" w:rsidP="00F557C6">
            <w:pPr>
              <w:jc w:val="center"/>
              <w:rPr>
                <w:color w:val="000000" w:themeColor="text1"/>
                <w:sz w:val="22"/>
              </w:rPr>
            </w:pPr>
            <w:r w:rsidRPr="00C81C92">
              <w:rPr>
                <w:color w:val="000000" w:themeColor="text1"/>
                <w:sz w:val="22"/>
              </w:rPr>
              <w:t>6010,03</w:t>
            </w:r>
          </w:p>
        </w:tc>
      </w:tr>
      <w:tr w:rsidR="00C81C92" w:rsidRPr="00C81C92" w:rsidTr="007C1D03">
        <w:tc>
          <w:tcPr>
            <w:tcW w:w="1076" w:type="pct"/>
            <w:shd w:val="clear" w:color="auto" w:fill="auto"/>
          </w:tcPr>
          <w:p w:rsidR="00F557C6" w:rsidRPr="00C81C92" w:rsidRDefault="00C81C92" w:rsidP="007C1D03">
            <w:pPr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T8</w:t>
            </w:r>
          </w:p>
        </w:tc>
        <w:tc>
          <w:tcPr>
            <w:tcW w:w="821" w:type="pct"/>
            <w:shd w:val="clear" w:color="auto" w:fill="auto"/>
          </w:tcPr>
          <w:p w:rsidR="00F557C6" w:rsidRPr="00C81C92" w:rsidRDefault="00F557C6" w:rsidP="007C1D03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965" w:type="pct"/>
            <w:shd w:val="clear" w:color="auto" w:fill="auto"/>
          </w:tcPr>
          <w:p w:rsidR="00F557C6" w:rsidRPr="00C81C92" w:rsidRDefault="00F557C6" w:rsidP="007C1D03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38" w:type="pct"/>
            <w:shd w:val="clear" w:color="auto" w:fill="auto"/>
          </w:tcPr>
          <w:p w:rsidR="00F557C6" w:rsidRPr="00C81C92" w:rsidRDefault="00F557C6" w:rsidP="00F557C6">
            <w:pPr>
              <w:jc w:val="center"/>
              <w:rPr>
                <w:color w:val="000000" w:themeColor="text1"/>
                <w:sz w:val="22"/>
              </w:rPr>
            </w:pPr>
            <w:r w:rsidRPr="00C81C92">
              <w:rPr>
                <w:color w:val="000000" w:themeColor="text1"/>
                <w:sz w:val="22"/>
              </w:rPr>
              <w:t>1570,40</w:t>
            </w:r>
          </w:p>
        </w:tc>
      </w:tr>
      <w:tr w:rsidR="00C81C92" w:rsidRPr="00C81C92" w:rsidTr="007C1D03">
        <w:tc>
          <w:tcPr>
            <w:tcW w:w="1076" w:type="pct"/>
            <w:shd w:val="clear" w:color="auto" w:fill="auto"/>
          </w:tcPr>
          <w:p w:rsidR="00F557C6" w:rsidRPr="00C81C92" w:rsidRDefault="00C81C92" w:rsidP="007C1D03">
            <w:pPr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T</w:t>
            </w:r>
            <w:r w:rsidR="00F557C6"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21" w:type="pct"/>
            <w:shd w:val="clear" w:color="auto" w:fill="auto"/>
          </w:tcPr>
          <w:p w:rsidR="00F557C6" w:rsidRPr="00C81C92" w:rsidRDefault="00F557C6" w:rsidP="007C1D03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965" w:type="pct"/>
            <w:shd w:val="clear" w:color="auto" w:fill="auto"/>
          </w:tcPr>
          <w:p w:rsidR="00F557C6" w:rsidRPr="00C81C92" w:rsidRDefault="00F557C6" w:rsidP="007C1D03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138" w:type="pct"/>
            <w:shd w:val="clear" w:color="auto" w:fill="auto"/>
          </w:tcPr>
          <w:p w:rsidR="00F557C6" w:rsidRPr="00C81C92" w:rsidRDefault="00F557C6" w:rsidP="00F557C6">
            <w:pPr>
              <w:jc w:val="center"/>
              <w:rPr>
                <w:color w:val="000000" w:themeColor="text1"/>
                <w:sz w:val="22"/>
              </w:rPr>
            </w:pPr>
            <w:r w:rsidRPr="00C81C92">
              <w:rPr>
                <w:color w:val="000000" w:themeColor="text1"/>
                <w:sz w:val="22"/>
              </w:rPr>
              <w:t>1389,14</w:t>
            </w:r>
          </w:p>
        </w:tc>
      </w:tr>
      <w:tr w:rsidR="00C81C92" w:rsidRPr="00C81C92" w:rsidTr="007C1D03">
        <w:tc>
          <w:tcPr>
            <w:tcW w:w="1076" w:type="pct"/>
            <w:shd w:val="clear" w:color="auto" w:fill="auto"/>
          </w:tcPr>
          <w:p w:rsidR="00F557C6" w:rsidRPr="00C81C92" w:rsidRDefault="00C81C92" w:rsidP="007C1D03">
            <w:pPr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T</w:t>
            </w:r>
            <w:r w:rsidR="00F557C6"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1" w:type="pct"/>
            <w:shd w:val="clear" w:color="auto" w:fill="auto"/>
          </w:tcPr>
          <w:p w:rsidR="00F557C6" w:rsidRPr="00C81C92" w:rsidRDefault="00F557C6" w:rsidP="007C1D03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965" w:type="pct"/>
            <w:shd w:val="clear" w:color="auto" w:fill="auto"/>
          </w:tcPr>
          <w:p w:rsidR="00F557C6" w:rsidRPr="00C81C92" w:rsidRDefault="00F557C6" w:rsidP="007C1D03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38" w:type="pct"/>
            <w:shd w:val="clear" w:color="auto" w:fill="auto"/>
          </w:tcPr>
          <w:p w:rsidR="00F557C6" w:rsidRPr="00C81C92" w:rsidRDefault="00F557C6" w:rsidP="00F557C6">
            <w:pPr>
              <w:jc w:val="center"/>
              <w:rPr>
                <w:color w:val="000000" w:themeColor="text1"/>
                <w:sz w:val="22"/>
              </w:rPr>
            </w:pPr>
            <w:r w:rsidRPr="00C81C92">
              <w:rPr>
                <w:color w:val="000000" w:themeColor="text1"/>
                <w:sz w:val="22"/>
              </w:rPr>
              <w:t>5670,63</w:t>
            </w:r>
          </w:p>
        </w:tc>
      </w:tr>
      <w:tr w:rsidR="00C81C92" w:rsidRPr="00C81C92" w:rsidTr="007C1D03">
        <w:tc>
          <w:tcPr>
            <w:tcW w:w="1076" w:type="pct"/>
            <w:shd w:val="clear" w:color="auto" w:fill="auto"/>
          </w:tcPr>
          <w:p w:rsidR="00F557C6" w:rsidRPr="00C81C92" w:rsidRDefault="00C81C92" w:rsidP="007C1D03">
            <w:pPr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T</w:t>
            </w:r>
            <w:r w:rsidR="00F557C6"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21" w:type="pct"/>
            <w:shd w:val="clear" w:color="auto" w:fill="auto"/>
          </w:tcPr>
          <w:p w:rsidR="00F557C6" w:rsidRPr="00C81C92" w:rsidRDefault="00F557C6" w:rsidP="007C1D03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965" w:type="pct"/>
            <w:shd w:val="clear" w:color="auto" w:fill="auto"/>
          </w:tcPr>
          <w:p w:rsidR="00F557C6" w:rsidRPr="00C81C92" w:rsidRDefault="00F557C6" w:rsidP="007C1D03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38" w:type="pct"/>
            <w:shd w:val="clear" w:color="auto" w:fill="auto"/>
          </w:tcPr>
          <w:p w:rsidR="00F557C6" w:rsidRPr="00C81C92" w:rsidRDefault="00F557C6" w:rsidP="00F557C6">
            <w:pPr>
              <w:jc w:val="center"/>
              <w:rPr>
                <w:color w:val="000000" w:themeColor="text1"/>
                <w:sz w:val="22"/>
              </w:rPr>
            </w:pPr>
            <w:r w:rsidRPr="00C81C92">
              <w:rPr>
                <w:color w:val="000000" w:themeColor="text1"/>
                <w:sz w:val="22"/>
              </w:rPr>
              <w:t>2132,12</w:t>
            </w:r>
          </w:p>
        </w:tc>
      </w:tr>
      <w:tr w:rsidR="00C81C92" w:rsidRPr="00C81C92" w:rsidTr="007C1D03">
        <w:trPr>
          <w:trHeight w:val="80"/>
        </w:trPr>
        <w:tc>
          <w:tcPr>
            <w:tcW w:w="1076" w:type="pct"/>
            <w:tcBorders>
              <w:bottom w:val="single" w:sz="2" w:space="0" w:color="000000" w:themeColor="text1"/>
            </w:tcBorders>
            <w:shd w:val="clear" w:color="auto" w:fill="auto"/>
          </w:tcPr>
          <w:p w:rsidR="00F557C6" w:rsidRPr="00C81C92" w:rsidRDefault="00C81C92" w:rsidP="007C1D03">
            <w:pPr>
              <w:spacing w:line="360" w:lineRule="auto"/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T</w:t>
            </w:r>
            <w:r w:rsidR="00F557C6" w:rsidRPr="00C81C92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21" w:type="pct"/>
            <w:tcBorders>
              <w:bottom w:val="single" w:sz="2" w:space="0" w:color="000000" w:themeColor="text1"/>
            </w:tcBorders>
            <w:shd w:val="clear" w:color="auto" w:fill="auto"/>
          </w:tcPr>
          <w:p w:rsidR="00F557C6" w:rsidRPr="00C81C92" w:rsidRDefault="00F557C6" w:rsidP="007C1D03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965" w:type="pct"/>
            <w:tcBorders>
              <w:bottom w:val="single" w:sz="2" w:space="0" w:color="000000" w:themeColor="text1"/>
            </w:tcBorders>
            <w:shd w:val="clear" w:color="auto" w:fill="auto"/>
          </w:tcPr>
          <w:p w:rsidR="00F557C6" w:rsidRPr="00C81C92" w:rsidRDefault="00F557C6" w:rsidP="007C1D03">
            <w:pPr>
              <w:spacing w:line="360" w:lineRule="auto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81C92">
              <w:rPr>
                <w:rFonts w:eastAsia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138" w:type="pct"/>
            <w:tcBorders>
              <w:bottom w:val="single" w:sz="2" w:space="0" w:color="000000" w:themeColor="text1"/>
            </w:tcBorders>
            <w:shd w:val="clear" w:color="auto" w:fill="auto"/>
          </w:tcPr>
          <w:p w:rsidR="00F557C6" w:rsidRPr="00C81C92" w:rsidRDefault="00F557C6" w:rsidP="00F557C6">
            <w:pPr>
              <w:jc w:val="center"/>
              <w:rPr>
                <w:color w:val="000000" w:themeColor="text1"/>
                <w:sz w:val="22"/>
              </w:rPr>
            </w:pPr>
            <w:r w:rsidRPr="00C81C92">
              <w:rPr>
                <w:color w:val="000000" w:themeColor="text1"/>
                <w:sz w:val="22"/>
              </w:rPr>
              <w:t>1268,95</w:t>
            </w:r>
          </w:p>
        </w:tc>
      </w:tr>
    </w:tbl>
    <w:p w:rsidR="006B11A3" w:rsidRDefault="00C81C92" w:rsidP="00C81C92">
      <w:pPr>
        <w:spacing w:after="240" w:line="360" w:lineRule="auto"/>
        <w:jc w:val="both"/>
        <w:rPr>
          <w:sz w:val="22"/>
          <w:szCs w:val="22"/>
        </w:rPr>
      </w:pPr>
      <w:r w:rsidRPr="00A20FD7">
        <w:rPr>
          <w:sz w:val="22"/>
          <w:szCs w:val="22"/>
        </w:rPr>
        <w:t>Fonte: Próprios autores, (2018).</w:t>
      </w:r>
    </w:p>
    <w:p w:rsidR="00FC64FA" w:rsidRPr="00FC64FA" w:rsidRDefault="00C81C92" w:rsidP="003F4DC1">
      <w:pPr>
        <w:spacing w:after="240" w:line="360" w:lineRule="auto"/>
        <w:jc w:val="both"/>
        <w:rPr>
          <w:sz w:val="24"/>
          <w:szCs w:val="24"/>
        </w:rPr>
      </w:pPr>
      <w:r>
        <w:rPr>
          <w:sz w:val="22"/>
          <w:szCs w:val="22"/>
        </w:rPr>
        <w:tab/>
        <w:t>Com base nesses resultados observou-se que os teores de compostos fenólicos entre os tratamentos variaram de forma considerável, observ</w:t>
      </w:r>
      <w:r w:rsidR="00381177">
        <w:rPr>
          <w:sz w:val="22"/>
          <w:szCs w:val="22"/>
        </w:rPr>
        <w:t>ou</w:t>
      </w:r>
      <w:r>
        <w:rPr>
          <w:sz w:val="22"/>
          <w:szCs w:val="22"/>
        </w:rPr>
        <w:t>-se que os tratamentos T4</w:t>
      </w:r>
      <w:r w:rsidR="0093604B">
        <w:rPr>
          <w:sz w:val="22"/>
          <w:szCs w:val="22"/>
        </w:rPr>
        <w:t>, T7 e T10 obtiveram maiores teores de fenóis, sendo que estes valores</w:t>
      </w:r>
      <w:r w:rsidR="001B3DF0">
        <w:rPr>
          <w:sz w:val="22"/>
          <w:szCs w:val="22"/>
        </w:rPr>
        <w:t>, não</w:t>
      </w:r>
      <w:r w:rsidR="0093604B">
        <w:rPr>
          <w:sz w:val="22"/>
          <w:szCs w:val="22"/>
        </w:rPr>
        <w:t xml:space="preserve"> estão de acordo com os tratamentos que apresentaram os melhores rendimentos, com exceção do</w:t>
      </w:r>
      <w:r w:rsidR="001B3DF0">
        <w:rPr>
          <w:sz w:val="22"/>
          <w:szCs w:val="22"/>
        </w:rPr>
        <w:t xml:space="preserve"> tra</w:t>
      </w:r>
      <w:r w:rsidR="0093604B">
        <w:rPr>
          <w:sz w:val="22"/>
          <w:szCs w:val="22"/>
        </w:rPr>
        <w:t>tamento T10 que apresentou melhor rendimento sólido e concentração de sólido solubilizado</w:t>
      </w:r>
      <w:r w:rsidR="00381177">
        <w:rPr>
          <w:sz w:val="22"/>
          <w:szCs w:val="22"/>
        </w:rPr>
        <w:t xml:space="preserve">, com elevada concentração </w:t>
      </w:r>
      <w:r w:rsidR="001B3DF0">
        <w:rPr>
          <w:sz w:val="22"/>
          <w:szCs w:val="22"/>
        </w:rPr>
        <w:t xml:space="preserve">de fenóis </w:t>
      </w:r>
      <w:r w:rsidR="00381177">
        <w:rPr>
          <w:sz w:val="22"/>
          <w:szCs w:val="22"/>
        </w:rPr>
        <w:t>(</w:t>
      </w:r>
      <w:r w:rsidR="001B3DF0" w:rsidRPr="00C81C92">
        <w:rPr>
          <w:color w:val="000000" w:themeColor="text1"/>
          <w:sz w:val="22"/>
        </w:rPr>
        <w:t>5670,63</w:t>
      </w:r>
      <w:r w:rsidR="00D737A9">
        <w:rPr>
          <w:color w:val="000000" w:themeColor="text1"/>
          <w:sz w:val="22"/>
        </w:rPr>
        <w:t xml:space="preserve"> </w:t>
      </w:r>
      <w:proofErr w:type="gramStart"/>
      <w:r w:rsidR="001B3DF0" w:rsidRPr="001B3DF0">
        <w:rPr>
          <w:color w:val="000000" w:themeColor="text1"/>
          <w:sz w:val="22"/>
        </w:rPr>
        <w:t>mg</w:t>
      </w:r>
      <w:proofErr w:type="gramEnd"/>
      <w:r w:rsidR="001B3DF0" w:rsidRPr="001B3DF0">
        <w:rPr>
          <w:color w:val="000000" w:themeColor="text1"/>
          <w:sz w:val="22"/>
        </w:rPr>
        <w:t xml:space="preserve"> ácido gálico.100 g</w:t>
      </w:r>
      <w:r w:rsidR="00381177">
        <w:rPr>
          <w:color w:val="000000" w:themeColor="text1"/>
          <w:sz w:val="22"/>
          <w:vertAlign w:val="superscript"/>
        </w:rPr>
        <w:t>-1</w:t>
      </w:r>
      <w:r w:rsidR="00381177">
        <w:rPr>
          <w:color w:val="000000" w:themeColor="text1"/>
          <w:sz w:val="22"/>
        </w:rPr>
        <w:t>)</w:t>
      </w:r>
      <w:r w:rsidR="00A726E1">
        <w:rPr>
          <w:color w:val="000000" w:themeColor="text1"/>
          <w:sz w:val="22"/>
        </w:rPr>
        <w:t xml:space="preserve">. </w:t>
      </w:r>
    </w:p>
    <w:p w:rsidR="00E07604" w:rsidRPr="00D737A9" w:rsidRDefault="0012462E" w:rsidP="00D737A9">
      <w:pPr>
        <w:tabs>
          <w:tab w:val="left" w:pos="1290"/>
        </w:tabs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proofErr w:type="gramStart"/>
      <w:r w:rsidR="00555769">
        <w:rPr>
          <w:b/>
          <w:sz w:val="24"/>
          <w:szCs w:val="24"/>
        </w:rPr>
        <w:t>CONSIDERAÇÕES FINAIS)</w:t>
      </w:r>
      <w:proofErr w:type="gramEnd"/>
      <w:r w:rsidRPr="00001E41">
        <w:rPr>
          <w:b/>
          <w:sz w:val="24"/>
          <w:szCs w:val="24"/>
        </w:rPr>
        <w:t xml:space="preserve"> </w:t>
      </w:r>
    </w:p>
    <w:p w:rsidR="00555769" w:rsidRDefault="00E07604" w:rsidP="00D737A9">
      <w:pPr>
        <w:tabs>
          <w:tab w:val="left" w:pos="567"/>
          <w:tab w:val="left" w:pos="1290"/>
        </w:tabs>
        <w:spacing w:after="24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3F4DC1">
        <w:rPr>
          <w:sz w:val="24"/>
          <w:szCs w:val="24"/>
        </w:rPr>
        <w:t xml:space="preserve">As variáveis independentes </w:t>
      </w:r>
      <w:r w:rsidR="003F4DC1" w:rsidRPr="003F4DC1">
        <w:rPr>
          <w:sz w:val="24"/>
          <w:szCs w:val="24"/>
        </w:rPr>
        <w:t>tempo</w:t>
      </w:r>
      <w:r w:rsidR="003F4DC1">
        <w:rPr>
          <w:sz w:val="24"/>
          <w:szCs w:val="24"/>
        </w:rPr>
        <w:t xml:space="preserve"> e concentração de sólidos</w:t>
      </w:r>
      <w:proofErr w:type="gramEnd"/>
      <w:r w:rsidR="003F4DC1" w:rsidRPr="003F4DC1">
        <w:rPr>
          <w:sz w:val="24"/>
          <w:szCs w:val="24"/>
        </w:rPr>
        <w:t>,</w:t>
      </w:r>
      <w:r w:rsidR="003F4DC1">
        <w:rPr>
          <w:sz w:val="24"/>
          <w:szCs w:val="24"/>
        </w:rPr>
        <w:t xml:space="preserve"> </w:t>
      </w:r>
      <w:r w:rsidR="003F4DC1" w:rsidRPr="003F4DC1">
        <w:rPr>
          <w:sz w:val="24"/>
          <w:szCs w:val="24"/>
        </w:rPr>
        <w:t>e a interação das mesmas influenciaram de maneira</w:t>
      </w:r>
      <w:r w:rsidR="003F4DC1">
        <w:rPr>
          <w:sz w:val="24"/>
          <w:szCs w:val="24"/>
        </w:rPr>
        <w:t xml:space="preserve"> considerável</w:t>
      </w:r>
      <w:r w:rsidR="003F4DC1" w:rsidRPr="003F4DC1">
        <w:rPr>
          <w:sz w:val="24"/>
          <w:szCs w:val="24"/>
        </w:rPr>
        <w:t xml:space="preserve"> os resultados obtidos para as características</w:t>
      </w:r>
      <w:r w:rsidR="003F4DC1">
        <w:rPr>
          <w:sz w:val="24"/>
          <w:szCs w:val="24"/>
        </w:rPr>
        <w:t xml:space="preserve"> </w:t>
      </w:r>
      <w:r w:rsidR="003F4DC1" w:rsidRPr="003F4DC1">
        <w:rPr>
          <w:sz w:val="24"/>
          <w:szCs w:val="24"/>
        </w:rPr>
        <w:t>avaliadas, no qual a</w:t>
      </w:r>
      <w:r w:rsidR="003F4DC1">
        <w:rPr>
          <w:sz w:val="24"/>
          <w:szCs w:val="24"/>
        </w:rPr>
        <w:t xml:space="preserve"> </w:t>
      </w:r>
      <w:r w:rsidR="003F4DC1" w:rsidRPr="003F4DC1">
        <w:rPr>
          <w:sz w:val="24"/>
          <w:szCs w:val="24"/>
        </w:rPr>
        <w:t>influência da</w:t>
      </w:r>
      <w:r w:rsidR="003F4DC1">
        <w:rPr>
          <w:sz w:val="24"/>
          <w:szCs w:val="24"/>
        </w:rPr>
        <w:t xml:space="preserve"> concentração de sólidos solubilizados</w:t>
      </w:r>
      <w:r>
        <w:rPr>
          <w:sz w:val="24"/>
          <w:szCs w:val="24"/>
        </w:rPr>
        <w:t xml:space="preserve"> e rendimento sólido possibilitou a quantificação dos compostos fenólicos</w:t>
      </w:r>
      <w:r w:rsidR="003F4DC1" w:rsidRPr="003F4DC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F4DC1" w:rsidRPr="003F4DC1">
        <w:rPr>
          <w:sz w:val="24"/>
          <w:szCs w:val="24"/>
        </w:rPr>
        <w:t>Não se ob</w:t>
      </w:r>
      <w:r>
        <w:rPr>
          <w:sz w:val="24"/>
          <w:szCs w:val="24"/>
        </w:rPr>
        <w:t>servou, dentre as variáveis aplicada</w:t>
      </w:r>
      <w:r w:rsidR="003F4DC1" w:rsidRPr="003F4DC1">
        <w:rPr>
          <w:sz w:val="24"/>
          <w:szCs w:val="24"/>
        </w:rPr>
        <w:t>s, aquel</w:t>
      </w:r>
      <w:r>
        <w:rPr>
          <w:sz w:val="24"/>
          <w:szCs w:val="24"/>
        </w:rPr>
        <w:t>a</w:t>
      </w:r>
      <w:r w:rsidR="003F4DC1" w:rsidRPr="003F4DC1">
        <w:rPr>
          <w:sz w:val="24"/>
          <w:szCs w:val="24"/>
        </w:rPr>
        <w:t xml:space="preserve"> que apresentasse o mesmo</w:t>
      </w:r>
      <w:r>
        <w:rPr>
          <w:sz w:val="24"/>
          <w:szCs w:val="24"/>
        </w:rPr>
        <w:t xml:space="preserve"> </w:t>
      </w:r>
      <w:r w:rsidR="003F4DC1" w:rsidRPr="003F4DC1">
        <w:rPr>
          <w:sz w:val="24"/>
          <w:szCs w:val="24"/>
        </w:rPr>
        <w:t>comportamento para todas as características avaliadas,</w:t>
      </w:r>
      <w:r>
        <w:rPr>
          <w:sz w:val="24"/>
          <w:szCs w:val="24"/>
        </w:rPr>
        <w:t xml:space="preserve"> </w:t>
      </w:r>
      <w:r w:rsidR="003F4DC1" w:rsidRPr="003F4DC1">
        <w:rPr>
          <w:sz w:val="24"/>
          <w:szCs w:val="24"/>
        </w:rPr>
        <w:t xml:space="preserve">pois os </w:t>
      </w:r>
      <w:r>
        <w:rPr>
          <w:sz w:val="24"/>
          <w:szCs w:val="24"/>
        </w:rPr>
        <w:t>tempos e as concentrações</w:t>
      </w:r>
      <w:r w:rsidR="003F4DC1" w:rsidRPr="003F4DC1">
        <w:rPr>
          <w:sz w:val="24"/>
          <w:szCs w:val="24"/>
        </w:rPr>
        <w:t xml:space="preserve"> exerceram influências distintas em cada</w:t>
      </w:r>
      <w:r>
        <w:rPr>
          <w:sz w:val="24"/>
          <w:szCs w:val="24"/>
        </w:rPr>
        <w:t xml:space="preserve"> tratamento.</w:t>
      </w:r>
      <w:r w:rsidR="003F4DC1" w:rsidRPr="003F4DC1">
        <w:rPr>
          <w:sz w:val="24"/>
          <w:szCs w:val="24"/>
        </w:rPr>
        <w:t xml:space="preserve"> Porém, os tratamentos </w:t>
      </w:r>
      <w:r>
        <w:rPr>
          <w:sz w:val="24"/>
          <w:szCs w:val="24"/>
        </w:rPr>
        <w:t>hidro</w:t>
      </w:r>
      <w:r w:rsidR="003F4DC1" w:rsidRPr="003F4DC1">
        <w:rPr>
          <w:sz w:val="24"/>
          <w:szCs w:val="24"/>
        </w:rPr>
        <w:t>térmicos</w:t>
      </w:r>
      <w:r>
        <w:rPr>
          <w:sz w:val="24"/>
          <w:szCs w:val="24"/>
        </w:rPr>
        <w:t xml:space="preserve"> realizados a 120 °C por 15 a 60 minutos possibilitaram diferente</w:t>
      </w:r>
      <w:r w:rsidR="000E6673">
        <w:rPr>
          <w:sz w:val="24"/>
          <w:szCs w:val="24"/>
        </w:rPr>
        <w:t>s comportamentos</w:t>
      </w:r>
      <w:r w:rsidR="000F1377">
        <w:rPr>
          <w:sz w:val="24"/>
          <w:szCs w:val="24"/>
        </w:rPr>
        <w:t xml:space="preserve"> </w:t>
      </w:r>
      <w:r w:rsidR="000E6673">
        <w:rPr>
          <w:sz w:val="24"/>
          <w:szCs w:val="24"/>
        </w:rPr>
        <w:t>nas</w:t>
      </w:r>
      <w:r w:rsidR="003F4DC1" w:rsidRPr="003F4DC1">
        <w:rPr>
          <w:sz w:val="24"/>
          <w:szCs w:val="24"/>
        </w:rPr>
        <w:t xml:space="preserve"> retenções </w:t>
      </w:r>
      <w:r w:rsidR="000E6673">
        <w:rPr>
          <w:sz w:val="24"/>
          <w:szCs w:val="24"/>
        </w:rPr>
        <w:t>d</w:t>
      </w:r>
      <w:r w:rsidR="003F4DC1" w:rsidRPr="003F4DC1">
        <w:rPr>
          <w:sz w:val="24"/>
          <w:szCs w:val="24"/>
        </w:rPr>
        <w:t>os compostos</w:t>
      </w:r>
      <w:r>
        <w:rPr>
          <w:sz w:val="24"/>
          <w:szCs w:val="24"/>
        </w:rPr>
        <w:t xml:space="preserve"> </w:t>
      </w:r>
      <w:r w:rsidR="000900BF">
        <w:rPr>
          <w:sz w:val="24"/>
          <w:szCs w:val="24"/>
        </w:rPr>
        <w:t>fenóis totais determinados</w:t>
      </w:r>
      <w:r w:rsidR="00D737A9">
        <w:rPr>
          <w:sz w:val="24"/>
          <w:szCs w:val="24"/>
        </w:rPr>
        <w:t>.</w:t>
      </w:r>
    </w:p>
    <w:p w:rsidR="0012462E" w:rsidRDefault="0012462E" w:rsidP="00D737A9">
      <w:pPr>
        <w:tabs>
          <w:tab w:val="left" w:pos="1290"/>
        </w:tabs>
        <w:spacing w:after="240"/>
        <w:jc w:val="both"/>
        <w:rPr>
          <w:sz w:val="24"/>
          <w:szCs w:val="28"/>
        </w:rPr>
      </w:pPr>
      <w:r w:rsidRPr="00001E41">
        <w:rPr>
          <w:b/>
          <w:sz w:val="24"/>
          <w:szCs w:val="24"/>
        </w:rPr>
        <w:t>REFERÊNCIAS</w:t>
      </w:r>
    </w:p>
    <w:p w:rsidR="001B082F" w:rsidRPr="001B082F" w:rsidRDefault="001B082F" w:rsidP="0063484F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 w:rsidRPr="001B082F">
        <w:rPr>
          <w:sz w:val="24"/>
          <w:szCs w:val="28"/>
        </w:rPr>
        <w:t xml:space="preserve">ANGELO, P. M.; JORGE, N. Compostos fenólicos em alimentos-uma breve revisão. </w:t>
      </w:r>
      <w:r w:rsidRPr="001B082F">
        <w:rPr>
          <w:b/>
          <w:sz w:val="24"/>
          <w:szCs w:val="28"/>
        </w:rPr>
        <w:t>Revista do Instituto Adolfo Lutz</w:t>
      </w:r>
      <w:r w:rsidRPr="001B082F">
        <w:rPr>
          <w:sz w:val="24"/>
          <w:szCs w:val="28"/>
        </w:rPr>
        <w:t xml:space="preserve"> </w:t>
      </w:r>
      <w:r w:rsidRPr="001B082F">
        <w:rPr>
          <w:b/>
          <w:sz w:val="24"/>
          <w:szCs w:val="28"/>
        </w:rPr>
        <w:t>(Impresso)</w:t>
      </w:r>
      <w:r w:rsidRPr="001B082F">
        <w:rPr>
          <w:sz w:val="24"/>
          <w:szCs w:val="28"/>
        </w:rPr>
        <w:t>, v. 66, n. 1, p. 01-09, 2007.</w:t>
      </w:r>
    </w:p>
    <w:p w:rsidR="001B082F" w:rsidRDefault="001B082F" w:rsidP="0063484F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bookmarkStart w:id="0" w:name="_GoBack"/>
      <w:r w:rsidRPr="001B082F">
        <w:rPr>
          <w:sz w:val="24"/>
          <w:szCs w:val="28"/>
        </w:rPr>
        <w:t>BASTOS, Deborah H.</w:t>
      </w:r>
      <w:r w:rsidR="0063484F">
        <w:rPr>
          <w:sz w:val="24"/>
          <w:szCs w:val="28"/>
        </w:rPr>
        <w:t xml:space="preserve"> </w:t>
      </w:r>
      <w:r w:rsidRPr="001B082F">
        <w:rPr>
          <w:sz w:val="24"/>
          <w:szCs w:val="28"/>
        </w:rPr>
        <w:t xml:space="preserve">M et al. Mecanismos de ação de compostos bioativos dos alimentos no contexto de processos inflamatórios relacionados à obesidade. Arquivos Brasileiros de </w:t>
      </w:r>
      <w:r w:rsidRPr="001B082F">
        <w:rPr>
          <w:b/>
          <w:sz w:val="24"/>
          <w:szCs w:val="28"/>
        </w:rPr>
        <w:t>Endocrinologia &amp; Metabologia</w:t>
      </w:r>
      <w:r w:rsidRPr="001B082F">
        <w:rPr>
          <w:sz w:val="24"/>
          <w:szCs w:val="28"/>
        </w:rPr>
        <w:t>, v. 53, n. 5, p. 646-656, 2009.</w:t>
      </w:r>
    </w:p>
    <w:bookmarkEnd w:id="0"/>
    <w:p w:rsidR="00D174DC" w:rsidRDefault="00D174DC" w:rsidP="0063484F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 w:rsidRPr="00D174DC">
        <w:rPr>
          <w:sz w:val="24"/>
          <w:szCs w:val="28"/>
        </w:rPr>
        <w:lastRenderedPageBreak/>
        <w:t xml:space="preserve">DELLA, Viviana </w:t>
      </w:r>
      <w:proofErr w:type="spellStart"/>
      <w:r w:rsidRPr="00D174DC">
        <w:rPr>
          <w:sz w:val="24"/>
          <w:szCs w:val="28"/>
        </w:rPr>
        <w:t>Possamai</w:t>
      </w:r>
      <w:proofErr w:type="spellEnd"/>
      <w:r w:rsidRPr="00D174DC">
        <w:rPr>
          <w:sz w:val="24"/>
          <w:szCs w:val="28"/>
        </w:rPr>
        <w:t xml:space="preserve">; KUHN, </w:t>
      </w:r>
      <w:proofErr w:type="spellStart"/>
      <w:r w:rsidRPr="00D174DC">
        <w:rPr>
          <w:sz w:val="24"/>
          <w:szCs w:val="28"/>
        </w:rPr>
        <w:t>Ingeborg</w:t>
      </w:r>
      <w:proofErr w:type="spellEnd"/>
      <w:r w:rsidRPr="00D174DC">
        <w:rPr>
          <w:sz w:val="24"/>
          <w:szCs w:val="28"/>
        </w:rPr>
        <w:t xml:space="preserve">; HOTZA, </w:t>
      </w:r>
      <w:proofErr w:type="spellStart"/>
      <w:r w:rsidRPr="00D174DC">
        <w:rPr>
          <w:sz w:val="24"/>
          <w:szCs w:val="28"/>
        </w:rPr>
        <w:t>Dachamir</w:t>
      </w:r>
      <w:proofErr w:type="spellEnd"/>
      <w:r w:rsidRPr="00D174DC">
        <w:rPr>
          <w:sz w:val="24"/>
          <w:szCs w:val="28"/>
        </w:rPr>
        <w:t xml:space="preserve">. Caracterização de cinza de casca de arroz para uso como matéria-prima na fabricação de refratários de sílica. </w:t>
      </w:r>
      <w:r w:rsidRPr="00D174DC">
        <w:rPr>
          <w:b/>
          <w:sz w:val="24"/>
          <w:szCs w:val="28"/>
        </w:rPr>
        <w:t>Química nova</w:t>
      </w:r>
      <w:r w:rsidRPr="00D174DC">
        <w:rPr>
          <w:sz w:val="24"/>
          <w:szCs w:val="28"/>
        </w:rPr>
        <w:t>, v. 24, n. 6, p. 778-782, 2001.</w:t>
      </w:r>
    </w:p>
    <w:p w:rsidR="000D6738" w:rsidRDefault="000D6738" w:rsidP="0063484F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 w:rsidRPr="000D6738">
        <w:rPr>
          <w:sz w:val="24"/>
          <w:szCs w:val="28"/>
        </w:rPr>
        <w:t xml:space="preserve">DINIZ, J. </w:t>
      </w:r>
      <w:r w:rsidRPr="000D6738">
        <w:rPr>
          <w:b/>
          <w:sz w:val="24"/>
          <w:szCs w:val="28"/>
        </w:rPr>
        <w:t xml:space="preserve">Conversão Térmica de Casca de Arroz à Baixa temperatura: Produção de </w:t>
      </w:r>
      <w:proofErr w:type="spellStart"/>
      <w:r w:rsidRPr="000D6738">
        <w:rPr>
          <w:b/>
          <w:sz w:val="24"/>
          <w:szCs w:val="28"/>
        </w:rPr>
        <w:t>Bioóleo</w:t>
      </w:r>
      <w:proofErr w:type="spellEnd"/>
      <w:r w:rsidRPr="000D6738">
        <w:rPr>
          <w:b/>
          <w:sz w:val="24"/>
          <w:szCs w:val="28"/>
        </w:rPr>
        <w:t xml:space="preserve"> e resíduo </w:t>
      </w:r>
      <w:proofErr w:type="spellStart"/>
      <w:r w:rsidRPr="000D6738">
        <w:rPr>
          <w:b/>
          <w:sz w:val="24"/>
          <w:szCs w:val="28"/>
        </w:rPr>
        <w:t>Sílico</w:t>
      </w:r>
      <w:proofErr w:type="spellEnd"/>
      <w:r w:rsidRPr="000D6738">
        <w:rPr>
          <w:b/>
          <w:sz w:val="24"/>
          <w:szCs w:val="28"/>
        </w:rPr>
        <w:t>-Carbonoso Adsorvente</w:t>
      </w:r>
      <w:r w:rsidRPr="000D6738">
        <w:rPr>
          <w:sz w:val="24"/>
          <w:szCs w:val="28"/>
        </w:rPr>
        <w:t>. 2005. Tese (Doutora</w:t>
      </w:r>
      <w:r>
        <w:rPr>
          <w:sz w:val="24"/>
          <w:szCs w:val="28"/>
        </w:rPr>
        <w:t>do em Química), UFSM, RS, 2005.</w:t>
      </w:r>
    </w:p>
    <w:p w:rsidR="00D52594" w:rsidRPr="00C51241" w:rsidRDefault="00D52594" w:rsidP="0063484F">
      <w:pPr>
        <w:tabs>
          <w:tab w:val="left" w:pos="709"/>
        </w:tabs>
        <w:spacing w:line="360" w:lineRule="auto"/>
        <w:jc w:val="both"/>
        <w:rPr>
          <w:sz w:val="24"/>
          <w:szCs w:val="28"/>
          <w:lang w:val="en-US"/>
        </w:rPr>
      </w:pPr>
      <w:r w:rsidRPr="00D52594">
        <w:rPr>
          <w:sz w:val="24"/>
          <w:szCs w:val="28"/>
        </w:rPr>
        <w:t xml:space="preserve">FERNANDES, A. </w:t>
      </w:r>
      <w:r w:rsidRPr="00D52594">
        <w:rPr>
          <w:b/>
          <w:sz w:val="24"/>
          <w:szCs w:val="28"/>
        </w:rPr>
        <w:t xml:space="preserve">Síntese de </w:t>
      </w:r>
      <w:proofErr w:type="spellStart"/>
      <w:r w:rsidRPr="00D52594">
        <w:rPr>
          <w:b/>
          <w:sz w:val="24"/>
          <w:szCs w:val="28"/>
        </w:rPr>
        <w:t>Zeólita</w:t>
      </w:r>
      <w:proofErr w:type="spellEnd"/>
      <w:r w:rsidRPr="00D52594">
        <w:rPr>
          <w:b/>
          <w:sz w:val="24"/>
          <w:szCs w:val="28"/>
        </w:rPr>
        <w:t xml:space="preserve"> e </w:t>
      </w:r>
      <w:proofErr w:type="spellStart"/>
      <w:r w:rsidRPr="00D52594">
        <w:rPr>
          <w:b/>
          <w:sz w:val="24"/>
          <w:szCs w:val="28"/>
        </w:rPr>
        <w:t>Wolastonita</w:t>
      </w:r>
      <w:proofErr w:type="spellEnd"/>
      <w:r w:rsidRPr="00D52594">
        <w:rPr>
          <w:b/>
          <w:sz w:val="24"/>
          <w:szCs w:val="28"/>
        </w:rPr>
        <w:t xml:space="preserve"> a partir de cinza de casca de arroz</w:t>
      </w:r>
      <w:r w:rsidRPr="00D52594">
        <w:rPr>
          <w:sz w:val="24"/>
          <w:szCs w:val="28"/>
        </w:rPr>
        <w:t xml:space="preserve">. </w:t>
      </w:r>
      <w:r w:rsidRPr="00C51241">
        <w:rPr>
          <w:sz w:val="24"/>
          <w:szCs w:val="28"/>
          <w:lang w:val="en-US"/>
        </w:rPr>
        <w:t>2006.</w:t>
      </w:r>
    </w:p>
    <w:p w:rsidR="00D174DC" w:rsidRPr="00C51241" w:rsidRDefault="00D52594" w:rsidP="0063484F">
      <w:pPr>
        <w:tabs>
          <w:tab w:val="left" w:pos="709"/>
        </w:tabs>
        <w:spacing w:line="360" w:lineRule="auto"/>
        <w:jc w:val="both"/>
        <w:rPr>
          <w:b/>
          <w:sz w:val="24"/>
          <w:szCs w:val="28"/>
          <w:lang w:val="en-US"/>
        </w:rPr>
      </w:pPr>
      <w:proofErr w:type="spellStart"/>
      <w:proofErr w:type="gramStart"/>
      <w:r w:rsidRPr="00C51241">
        <w:rPr>
          <w:sz w:val="24"/>
          <w:szCs w:val="28"/>
          <w:lang w:val="en-US"/>
        </w:rPr>
        <w:t>Tese</w:t>
      </w:r>
      <w:proofErr w:type="spellEnd"/>
      <w:r w:rsidRPr="00C51241">
        <w:rPr>
          <w:sz w:val="24"/>
          <w:szCs w:val="28"/>
          <w:lang w:val="en-US"/>
        </w:rPr>
        <w:t xml:space="preserve"> (</w:t>
      </w:r>
      <w:proofErr w:type="spellStart"/>
      <w:r w:rsidRPr="00C51241">
        <w:rPr>
          <w:sz w:val="24"/>
          <w:szCs w:val="28"/>
          <w:lang w:val="en-US"/>
        </w:rPr>
        <w:t>Doutorado</w:t>
      </w:r>
      <w:proofErr w:type="spellEnd"/>
      <w:r w:rsidRPr="00C51241">
        <w:rPr>
          <w:sz w:val="24"/>
          <w:szCs w:val="28"/>
          <w:lang w:val="en-US"/>
        </w:rPr>
        <w:t xml:space="preserve"> </w:t>
      </w:r>
      <w:proofErr w:type="spellStart"/>
      <w:r w:rsidRPr="00C51241">
        <w:rPr>
          <w:sz w:val="24"/>
          <w:szCs w:val="28"/>
          <w:lang w:val="en-US"/>
        </w:rPr>
        <w:t>em</w:t>
      </w:r>
      <w:proofErr w:type="spellEnd"/>
      <w:r w:rsidRPr="00C51241">
        <w:rPr>
          <w:sz w:val="24"/>
          <w:szCs w:val="28"/>
          <w:lang w:val="en-US"/>
        </w:rPr>
        <w:t xml:space="preserve"> </w:t>
      </w:r>
      <w:proofErr w:type="spellStart"/>
      <w:r w:rsidRPr="00C51241">
        <w:rPr>
          <w:sz w:val="24"/>
          <w:szCs w:val="28"/>
          <w:lang w:val="en-US"/>
        </w:rPr>
        <w:t>Engenharia</w:t>
      </w:r>
      <w:proofErr w:type="spellEnd"/>
      <w:r w:rsidRPr="00C51241">
        <w:rPr>
          <w:sz w:val="24"/>
          <w:szCs w:val="28"/>
          <w:lang w:val="en-US"/>
        </w:rPr>
        <w:t>).</w:t>
      </w:r>
      <w:proofErr w:type="gramEnd"/>
      <w:r w:rsidRPr="00C51241">
        <w:rPr>
          <w:sz w:val="24"/>
          <w:szCs w:val="28"/>
          <w:lang w:val="en-US"/>
        </w:rPr>
        <w:t xml:space="preserve"> USP, São Paulo, SP, 2006.</w:t>
      </w:r>
      <w:r w:rsidRPr="00C51241">
        <w:rPr>
          <w:sz w:val="24"/>
          <w:szCs w:val="28"/>
          <w:lang w:val="en-US"/>
        </w:rPr>
        <w:cr/>
      </w:r>
      <w:proofErr w:type="gramStart"/>
      <w:r w:rsidR="00D174DC" w:rsidRPr="00C51241">
        <w:rPr>
          <w:sz w:val="24"/>
          <w:szCs w:val="28"/>
          <w:lang w:val="en-US"/>
        </w:rPr>
        <w:t>Food and Agriculture Organization of the United Nations Statistics – FAOSTAT.</w:t>
      </w:r>
      <w:proofErr w:type="gramEnd"/>
      <w:r w:rsidR="00D174DC" w:rsidRPr="00C51241">
        <w:rPr>
          <w:sz w:val="24"/>
          <w:szCs w:val="28"/>
          <w:lang w:val="en-US"/>
        </w:rPr>
        <w:t xml:space="preserve"> </w:t>
      </w:r>
      <w:r w:rsidR="00D174DC" w:rsidRPr="00C51241">
        <w:rPr>
          <w:b/>
          <w:sz w:val="24"/>
          <w:szCs w:val="28"/>
          <w:lang w:val="en-US"/>
        </w:rPr>
        <w:t>Food and</w:t>
      </w:r>
    </w:p>
    <w:p w:rsidR="00D174DC" w:rsidRPr="00C51241" w:rsidRDefault="00D174DC" w:rsidP="0063484F">
      <w:pPr>
        <w:tabs>
          <w:tab w:val="left" w:pos="709"/>
        </w:tabs>
        <w:spacing w:line="360" w:lineRule="auto"/>
        <w:jc w:val="both"/>
        <w:rPr>
          <w:sz w:val="24"/>
          <w:szCs w:val="28"/>
          <w:lang w:val="en-US"/>
        </w:rPr>
      </w:pPr>
      <w:proofErr w:type="gramStart"/>
      <w:r w:rsidRPr="00C51241">
        <w:rPr>
          <w:b/>
          <w:sz w:val="24"/>
          <w:szCs w:val="28"/>
          <w:lang w:val="en-US"/>
        </w:rPr>
        <w:t>Agricultural commodities production</w:t>
      </w:r>
      <w:r w:rsidRPr="00C51241">
        <w:rPr>
          <w:sz w:val="24"/>
          <w:szCs w:val="28"/>
          <w:lang w:val="en-US"/>
        </w:rPr>
        <w:t>.</w:t>
      </w:r>
      <w:proofErr w:type="gramEnd"/>
      <w:r w:rsidRPr="00C51241">
        <w:rPr>
          <w:sz w:val="24"/>
          <w:szCs w:val="28"/>
          <w:lang w:val="en-US"/>
        </w:rPr>
        <w:t xml:space="preserve"> [2014]. </w:t>
      </w:r>
      <w:proofErr w:type="spellStart"/>
      <w:r w:rsidRPr="00C51241">
        <w:rPr>
          <w:sz w:val="24"/>
          <w:szCs w:val="28"/>
          <w:lang w:val="en-US"/>
        </w:rPr>
        <w:t>Disponível</w:t>
      </w:r>
      <w:proofErr w:type="spellEnd"/>
      <w:r w:rsidRPr="00C51241">
        <w:rPr>
          <w:sz w:val="24"/>
          <w:szCs w:val="28"/>
          <w:lang w:val="en-US"/>
        </w:rPr>
        <w:t xml:space="preserve"> </w:t>
      </w:r>
      <w:proofErr w:type="spellStart"/>
      <w:r w:rsidRPr="00C51241">
        <w:rPr>
          <w:sz w:val="24"/>
          <w:szCs w:val="28"/>
          <w:lang w:val="en-US"/>
        </w:rPr>
        <w:t>em</w:t>
      </w:r>
      <w:proofErr w:type="spellEnd"/>
      <w:r w:rsidRPr="00C51241">
        <w:rPr>
          <w:sz w:val="24"/>
          <w:szCs w:val="28"/>
          <w:lang w:val="en-US"/>
        </w:rPr>
        <w:t>:</w:t>
      </w:r>
    </w:p>
    <w:p w:rsidR="00D174DC" w:rsidRPr="00C51241" w:rsidRDefault="00D174DC" w:rsidP="0063484F">
      <w:pPr>
        <w:tabs>
          <w:tab w:val="left" w:pos="709"/>
        </w:tabs>
        <w:spacing w:line="360" w:lineRule="auto"/>
        <w:jc w:val="both"/>
        <w:rPr>
          <w:sz w:val="24"/>
          <w:szCs w:val="28"/>
          <w:lang w:val="en-US"/>
        </w:rPr>
      </w:pPr>
      <w:r w:rsidRPr="00C51241">
        <w:rPr>
          <w:sz w:val="24"/>
          <w:szCs w:val="28"/>
          <w:lang w:val="en-US"/>
        </w:rPr>
        <w:t xml:space="preserve">&lt;http://faostat.fao.org/site/339/default.aspx&gt;. </w:t>
      </w:r>
      <w:proofErr w:type="spellStart"/>
      <w:r w:rsidRPr="00C51241">
        <w:rPr>
          <w:sz w:val="24"/>
          <w:szCs w:val="28"/>
          <w:lang w:val="en-US"/>
        </w:rPr>
        <w:t>Acesso</w:t>
      </w:r>
      <w:proofErr w:type="spellEnd"/>
      <w:r w:rsidRPr="00C51241">
        <w:rPr>
          <w:sz w:val="24"/>
          <w:szCs w:val="28"/>
          <w:lang w:val="en-US"/>
        </w:rPr>
        <w:t xml:space="preserve"> </w:t>
      </w:r>
      <w:proofErr w:type="spellStart"/>
      <w:r w:rsidRPr="00C51241">
        <w:rPr>
          <w:sz w:val="24"/>
          <w:szCs w:val="28"/>
          <w:lang w:val="en-US"/>
        </w:rPr>
        <w:t>em</w:t>
      </w:r>
      <w:proofErr w:type="spellEnd"/>
      <w:r w:rsidRPr="00C51241">
        <w:rPr>
          <w:sz w:val="24"/>
          <w:szCs w:val="28"/>
          <w:lang w:val="en-US"/>
        </w:rPr>
        <w:t xml:space="preserve">: 21 </w:t>
      </w:r>
      <w:proofErr w:type="spellStart"/>
      <w:r w:rsidRPr="00C51241">
        <w:rPr>
          <w:sz w:val="24"/>
          <w:szCs w:val="28"/>
          <w:lang w:val="en-US"/>
        </w:rPr>
        <w:t>junho</w:t>
      </w:r>
      <w:proofErr w:type="spellEnd"/>
      <w:r w:rsidRPr="00C51241">
        <w:rPr>
          <w:sz w:val="24"/>
          <w:szCs w:val="28"/>
          <w:lang w:val="en-US"/>
        </w:rPr>
        <w:t xml:space="preserve"> de 2018.</w:t>
      </w:r>
    </w:p>
    <w:p w:rsidR="00787D4C" w:rsidRPr="00C51241" w:rsidRDefault="00787D4C" w:rsidP="0063484F">
      <w:pPr>
        <w:tabs>
          <w:tab w:val="left" w:pos="709"/>
        </w:tabs>
        <w:spacing w:line="360" w:lineRule="auto"/>
        <w:jc w:val="both"/>
        <w:rPr>
          <w:sz w:val="24"/>
          <w:szCs w:val="28"/>
          <w:lang w:val="en-US"/>
        </w:rPr>
      </w:pPr>
      <w:proofErr w:type="gramStart"/>
      <w:r w:rsidRPr="00C51241">
        <w:rPr>
          <w:sz w:val="24"/>
          <w:szCs w:val="28"/>
          <w:lang w:val="en-US"/>
        </w:rPr>
        <w:t>GEORGÉ, S.; BRAT, P.; ALTER, P.; AMIOT, M. J. Rapid determination of polyphenols and vitamin C in plant derived products.</w:t>
      </w:r>
      <w:proofErr w:type="gramEnd"/>
      <w:r w:rsidRPr="00C51241">
        <w:rPr>
          <w:sz w:val="24"/>
          <w:szCs w:val="28"/>
          <w:lang w:val="en-US"/>
        </w:rPr>
        <w:t xml:space="preserve"> </w:t>
      </w:r>
      <w:proofErr w:type="gramStart"/>
      <w:r w:rsidRPr="00C51241">
        <w:rPr>
          <w:b/>
          <w:sz w:val="24"/>
          <w:szCs w:val="28"/>
          <w:lang w:val="en-US"/>
        </w:rPr>
        <w:t>Journal of Agricultural and Food Chemistry</w:t>
      </w:r>
      <w:r w:rsidRPr="00C51241">
        <w:rPr>
          <w:sz w:val="24"/>
          <w:szCs w:val="28"/>
          <w:lang w:val="en-US"/>
        </w:rPr>
        <w:t>, Easton, v. 53, n. 5, p. 1370-1373, 2005.</w:t>
      </w:r>
      <w:proofErr w:type="gramEnd"/>
    </w:p>
    <w:p w:rsidR="00787D4C" w:rsidRPr="00787D4C" w:rsidRDefault="00787D4C" w:rsidP="0063484F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 w:rsidRPr="00787D4C">
        <w:rPr>
          <w:sz w:val="24"/>
          <w:szCs w:val="28"/>
        </w:rPr>
        <w:t xml:space="preserve">INSTITUTO ADOLFO LUTZ [2008]. </w:t>
      </w:r>
      <w:r w:rsidRPr="00787D4C">
        <w:rPr>
          <w:b/>
          <w:sz w:val="24"/>
          <w:szCs w:val="28"/>
        </w:rPr>
        <w:t>Métodos físico-químicos para análise de alimentos</w:t>
      </w:r>
      <w:r w:rsidRPr="00787D4C">
        <w:rPr>
          <w:sz w:val="24"/>
          <w:szCs w:val="28"/>
        </w:rPr>
        <w:t xml:space="preserve">. São Paulo: </w:t>
      </w:r>
      <w:proofErr w:type="spellStart"/>
      <w:r w:rsidRPr="00787D4C">
        <w:rPr>
          <w:sz w:val="24"/>
          <w:szCs w:val="28"/>
        </w:rPr>
        <w:t>Intituto</w:t>
      </w:r>
      <w:proofErr w:type="spellEnd"/>
      <w:r w:rsidRPr="00787D4C">
        <w:rPr>
          <w:sz w:val="24"/>
          <w:szCs w:val="28"/>
        </w:rPr>
        <w:t xml:space="preserve"> Adolfo Lutz,</w:t>
      </w:r>
      <w:r>
        <w:rPr>
          <w:sz w:val="24"/>
          <w:szCs w:val="28"/>
        </w:rPr>
        <w:t xml:space="preserve"> </w:t>
      </w:r>
      <w:r w:rsidRPr="00787D4C">
        <w:rPr>
          <w:sz w:val="24"/>
          <w:szCs w:val="28"/>
        </w:rPr>
        <w:t>2008. 1020p. Disponível em: &lt;http:www.ial.sp.gov.br/index.html&gt;</w:t>
      </w:r>
    </w:p>
    <w:p w:rsidR="00787D4C" w:rsidRPr="00D174DC" w:rsidRDefault="00787D4C" w:rsidP="0063484F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Acesso em: 21 jun. 2018</w:t>
      </w:r>
      <w:r w:rsidRPr="00787D4C">
        <w:rPr>
          <w:sz w:val="24"/>
          <w:szCs w:val="28"/>
        </w:rPr>
        <w:t>.</w:t>
      </w:r>
    </w:p>
    <w:p w:rsidR="00D174DC" w:rsidRDefault="00D174DC" w:rsidP="0063484F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 w:rsidRPr="00D174DC">
        <w:rPr>
          <w:sz w:val="24"/>
          <w:szCs w:val="28"/>
        </w:rPr>
        <w:t xml:space="preserve">LORENZETT, Daniel </w:t>
      </w:r>
      <w:proofErr w:type="spellStart"/>
      <w:r w:rsidRPr="00D174DC">
        <w:rPr>
          <w:sz w:val="24"/>
          <w:szCs w:val="28"/>
        </w:rPr>
        <w:t>Benitti</w:t>
      </w:r>
      <w:proofErr w:type="spellEnd"/>
      <w:r w:rsidRPr="00D174DC">
        <w:rPr>
          <w:sz w:val="24"/>
          <w:szCs w:val="28"/>
        </w:rPr>
        <w:t xml:space="preserve">; NEUHAUS, Mauricio; SCHWAB, Natalia Teixeira. Gestão de resíduos e a indústria de beneficiamento de arroz. </w:t>
      </w:r>
      <w:r w:rsidRPr="00D174DC">
        <w:rPr>
          <w:b/>
          <w:sz w:val="24"/>
          <w:szCs w:val="28"/>
        </w:rPr>
        <w:t>Revista Gestão Industrial</w:t>
      </w:r>
      <w:r w:rsidRPr="00D174DC">
        <w:rPr>
          <w:sz w:val="24"/>
          <w:szCs w:val="28"/>
        </w:rPr>
        <w:t>, v. 8, n. 1, 2012.</w:t>
      </w:r>
    </w:p>
    <w:p w:rsidR="0037208F" w:rsidRDefault="0037208F" w:rsidP="0063484F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 w:rsidRPr="0037208F">
        <w:rPr>
          <w:sz w:val="24"/>
          <w:szCs w:val="28"/>
        </w:rPr>
        <w:t>MORAIS, M. R; SEYE, O.; FREITAS, K.</w:t>
      </w:r>
      <w:r w:rsidR="0063484F">
        <w:rPr>
          <w:sz w:val="24"/>
          <w:szCs w:val="28"/>
        </w:rPr>
        <w:t xml:space="preserve"> </w:t>
      </w:r>
      <w:r w:rsidRPr="0037208F">
        <w:rPr>
          <w:sz w:val="24"/>
          <w:szCs w:val="28"/>
        </w:rPr>
        <w:t>T.; RODRIGUES, M.; SANTOS, E. C. S.; SOUZA, R. C. R.</w:t>
      </w:r>
      <w:r>
        <w:rPr>
          <w:sz w:val="24"/>
          <w:szCs w:val="28"/>
        </w:rPr>
        <w:t xml:space="preserve"> </w:t>
      </w:r>
      <w:r w:rsidRPr="0037208F">
        <w:rPr>
          <w:b/>
          <w:sz w:val="24"/>
          <w:szCs w:val="28"/>
        </w:rPr>
        <w:t>Obtenção de briquetes de carvão vegetal de cascas de arroz utilizando baixa pressão de</w:t>
      </w:r>
      <w:r>
        <w:rPr>
          <w:b/>
          <w:sz w:val="24"/>
          <w:szCs w:val="28"/>
        </w:rPr>
        <w:t xml:space="preserve"> </w:t>
      </w:r>
      <w:r w:rsidRPr="0037208F">
        <w:rPr>
          <w:b/>
          <w:sz w:val="24"/>
          <w:szCs w:val="28"/>
        </w:rPr>
        <w:t>compactação</w:t>
      </w:r>
      <w:r w:rsidRPr="0037208F">
        <w:rPr>
          <w:sz w:val="24"/>
          <w:szCs w:val="28"/>
        </w:rPr>
        <w:t>. Anais 6° Encontro de energia no meio rural, p. 1-8, 2006. Manaus, 2006</w:t>
      </w:r>
      <w:r w:rsidR="00FF5A3A">
        <w:rPr>
          <w:sz w:val="24"/>
          <w:szCs w:val="28"/>
        </w:rPr>
        <w:t>.</w:t>
      </w:r>
    </w:p>
    <w:p w:rsidR="001B082F" w:rsidRDefault="001B082F" w:rsidP="0063484F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 w:rsidRPr="001B082F">
        <w:rPr>
          <w:sz w:val="24"/>
          <w:szCs w:val="28"/>
        </w:rPr>
        <w:t xml:space="preserve">SÁNCHEZ, C. G. (Org.). </w:t>
      </w:r>
      <w:r w:rsidRPr="00D174DC">
        <w:rPr>
          <w:b/>
          <w:sz w:val="24"/>
          <w:szCs w:val="28"/>
        </w:rPr>
        <w:t>Tecnologia da gaseificação de biomassa</w:t>
      </w:r>
      <w:r w:rsidRPr="001B082F">
        <w:rPr>
          <w:sz w:val="24"/>
          <w:szCs w:val="28"/>
        </w:rPr>
        <w:t>. Campinas, SP: Editora</w:t>
      </w:r>
      <w:r>
        <w:rPr>
          <w:sz w:val="24"/>
          <w:szCs w:val="28"/>
        </w:rPr>
        <w:t xml:space="preserve"> </w:t>
      </w:r>
      <w:r w:rsidRPr="001B082F">
        <w:rPr>
          <w:sz w:val="24"/>
          <w:szCs w:val="28"/>
        </w:rPr>
        <w:t>Átomo, 2010. p. 189.</w:t>
      </w:r>
    </w:p>
    <w:p w:rsidR="00787D4C" w:rsidRPr="00C51241" w:rsidRDefault="00787D4C" w:rsidP="0063484F">
      <w:pPr>
        <w:tabs>
          <w:tab w:val="left" w:pos="709"/>
        </w:tabs>
        <w:spacing w:line="360" w:lineRule="auto"/>
        <w:jc w:val="both"/>
        <w:rPr>
          <w:sz w:val="24"/>
          <w:szCs w:val="28"/>
          <w:lang w:val="en-US"/>
        </w:rPr>
      </w:pPr>
      <w:r w:rsidRPr="00C51241">
        <w:rPr>
          <w:sz w:val="24"/>
          <w:szCs w:val="28"/>
          <w:lang w:val="en-US"/>
        </w:rPr>
        <w:t>SLUITER, A</w:t>
      </w:r>
      <w:r w:rsidR="00FF5A3A" w:rsidRPr="00C51241">
        <w:rPr>
          <w:sz w:val="24"/>
          <w:szCs w:val="28"/>
          <w:lang w:val="en-US"/>
        </w:rPr>
        <w:t>.</w:t>
      </w:r>
      <w:r w:rsidRPr="00C51241">
        <w:rPr>
          <w:sz w:val="24"/>
          <w:szCs w:val="28"/>
          <w:lang w:val="en-US"/>
        </w:rPr>
        <w:t xml:space="preserve"> et al. Determination of ash in biomass. </w:t>
      </w:r>
      <w:r w:rsidRPr="00C51241">
        <w:rPr>
          <w:b/>
          <w:sz w:val="24"/>
          <w:szCs w:val="28"/>
          <w:lang w:val="en-US"/>
        </w:rPr>
        <w:t>National renewable energy laboratory</w:t>
      </w:r>
      <w:r w:rsidRPr="00C51241">
        <w:rPr>
          <w:sz w:val="24"/>
          <w:szCs w:val="28"/>
          <w:lang w:val="en-US"/>
        </w:rPr>
        <w:t>, [</w:t>
      </w:r>
      <w:proofErr w:type="spellStart"/>
      <w:r w:rsidRPr="00C51241">
        <w:rPr>
          <w:sz w:val="24"/>
          <w:szCs w:val="28"/>
          <w:lang w:val="en-US"/>
        </w:rPr>
        <w:t>s.l</w:t>
      </w:r>
      <w:proofErr w:type="spellEnd"/>
      <w:r w:rsidRPr="00C51241">
        <w:rPr>
          <w:sz w:val="24"/>
          <w:szCs w:val="28"/>
          <w:lang w:val="en-US"/>
        </w:rPr>
        <w:t>], [</w:t>
      </w:r>
      <w:proofErr w:type="spellStart"/>
      <w:r w:rsidRPr="00C51241">
        <w:rPr>
          <w:sz w:val="24"/>
          <w:szCs w:val="28"/>
          <w:lang w:val="en-US"/>
        </w:rPr>
        <w:t>s.l</w:t>
      </w:r>
      <w:proofErr w:type="spellEnd"/>
      <w:r w:rsidRPr="00C51241">
        <w:rPr>
          <w:sz w:val="24"/>
          <w:szCs w:val="28"/>
          <w:lang w:val="en-US"/>
        </w:rPr>
        <w:t xml:space="preserve">], p. 1-5, 2008.   </w:t>
      </w:r>
    </w:p>
    <w:p w:rsidR="00787D4C" w:rsidRPr="00C51241" w:rsidRDefault="00787D4C" w:rsidP="0063484F">
      <w:pPr>
        <w:tabs>
          <w:tab w:val="left" w:pos="709"/>
        </w:tabs>
        <w:spacing w:line="360" w:lineRule="auto"/>
        <w:jc w:val="both"/>
        <w:rPr>
          <w:sz w:val="24"/>
          <w:szCs w:val="28"/>
          <w:lang w:val="en-US"/>
        </w:rPr>
      </w:pPr>
      <w:r w:rsidRPr="00C51241">
        <w:rPr>
          <w:sz w:val="24"/>
          <w:szCs w:val="28"/>
          <w:lang w:val="en-US"/>
        </w:rPr>
        <w:t>SLUITER, A</w:t>
      </w:r>
      <w:r w:rsidR="00FF5A3A" w:rsidRPr="00C51241">
        <w:rPr>
          <w:sz w:val="24"/>
          <w:szCs w:val="28"/>
          <w:lang w:val="en-US"/>
        </w:rPr>
        <w:t>.</w:t>
      </w:r>
      <w:r w:rsidRPr="00C51241">
        <w:rPr>
          <w:sz w:val="24"/>
          <w:szCs w:val="28"/>
          <w:lang w:val="en-US"/>
        </w:rPr>
        <w:t xml:space="preserve"> et al. Determination of total solids in biomass and total dissolved solids in liquid process samples. </w:t>
      </w:r>
      <w:r w:rsidRPr="00C51241">
        <w:rPr>
          <w:b/>
          <w:sz w:val="24"/>
          <w:szCs w:val="28"/>
          <w:lang w:val="en-US"/>
        </w:rPr>
        <w:t xml:space="preserve">National Renewable Energy Laboratory </w:t>
      </w:r>
      <w:r w:rsidRPr="00C51241">
        <w:rPr>
          <w:sz w:val="24"/>
          <w:szCs w:val="28"/>
          <w:lang w:val="en-US"/>
        </w:rPr>
        <w:t>[</w:t>
      </w:r>
      <w:proofErr w:type="spellStart"/>
      <w:r w:rsidRPr="00C51241">
        <w:rPr>
          <w:sz w:val="24"/>
          <w:szCs w:val="28"/>
          <w:lang w:val="en-US"/>
        </w:rPr>
        <w:t>s.l</w:t>
      </w:r>
      <w:proofErr w:type="spellEnd"/>
      <w:r w:rsidRPr="00C51241">
        <w:rPr>
          <w:sz w:val="24"/>
          <w:szCs w:val="28"/>
          <w:lang w:val="en-US"/>
        </w:rPr>
        <w:t>], [</w:t>
      </w:r>
      <w:proofErr w:type="spellStart"/>
      <w:r w:rsidRPr="00C51241">
        <w:rPr>
          <w:sz w:val="24"/>
          <w:szCs w:val="28"/>
          <w:lang w:val="en-US"/>
        </w:rPr>
        <w:t>s.l</w:t>
      </w:r>
      <w:proofErr w:type="spellEnd"/>
      <w:r w:rsidRPr="00C51241">
        <w:rPr>
          <w:sz w:val="24"/>
          <w:szCs w:val="28"/>
          <w:lang w:val="en-US"/>
        </w:rPr>
        <w:t>], p. 1-</w:t>
      </w:r>
      <w:proofErr w:type="gramStart"/>
      <w:r w:rsidRPr="00C51241">
        <w:rPr>
          <w:sz w:val="24"/>
          <w:szCs w:val="28"/>
          <w:lang w:val="en-US"/>
        </w:rPr>
        <w:t>6  2008</w:t>
      </w:r>
      <w:proofErr w:type="gramEnd"/>
      <w:r w:rsidRPr="00C51241">
        <w:rPr>
          <w:sz w:val="24"/>
          <w:szCs w:val="28"/>
          <w:lang w:val="en-US"/>
        </w:rPr>
        <w:t>.</w:t>
      </w:r>
    </w:p>
    <w:p w:rsidR="009B0125" w:rsidRPr="0051155F" w:rsidRDefault="0037208F" w:rsidP="0051155F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 w:rsidRPr="0037208F">
        <w:rPr>
          <w:sz w:val="24"/>
          <w:szCs w:val="28"/>
        </w:rPr>
        <w:t xml:space="preserve">VIEIRA, A. C. </w:t>
      </w:r>
      <w:proofErr w:type="gramStart"/>
      <w:r w:rsidRPr="0037208F">
        <w:rPr>
          <w:sz w:val="24"/>
          <w:szCs w:val="28"/>
        </w:rPr>
        <w:t>et</w:t>
      </w:r>
      <w:proofErr w:type="gramEnd"/>
      <w:r w:rsidRPr="0037208F">
        <w:rPr>
          <w:sz w:val="24"/>
          <w:szCs w:val="28"/>
        </w:rPr>
        <w:t xml:space="preserve"> al. </w:t>
      </w:r>
      <w:r w:rsidRPr="0037208F">
        <w:rPr>
          <w:b/>
          <w:sz w:val="24"/>
          <w:szCs w:val="28"/>
        </w:rPr>
        <w:t>Caracterização da Casca de Arroz para Geração de Energia</w:t>
      </w:r>
      <w:r w:rsidRPr="0037208F">
        <w:rPr>
          <w:sz w:val="24"/>
          <w:szCs w:val="28"/>
        </w:rPr>
        <w:t xml:space="preserve">. Varia </w:t>
      </w:r>
      <w:proofErr w:type="spellStart"/>
      <w:r w:rsidRPr="0037208F">
        <w:rPr>
          <w:sz w:val="24"/>
          <w:szCs w:val="28"/>
        </w:rPr>
        <w:t>Scientia</w:t>
      </w:r>
      <w:proofErr w:type="spellEnd"/>
      <w:r>
        <w:rPr>
          <w:sz w:val="24"/>
          <w:szCs w:val="28"/>
        </w:rPr>
        <w:t xml:space="preserve"> </w:t>
      </w:r>
      <w:r w:rsidRPr="0037208F">
        <w:rPr>
          <w:sz w:val="24"/>
          <w:szCs w:val="28"/>
        </w:rPr>
        <w:t>Agrárias, v. 03, 2013, p. 51-57.</w:t>
      </w:r>
    </w:p>
    <w:sectPr w:rsidR="009B0125" w:rsidRPr="0051155F" w:rsidSect="00D737A9">
      <w:headerReference w:type="default" r:id="rId10"/>
      <w:footerReference w:type="default" r:id="rId11"/>
      <w:pgSz w:w="12240" w:h="15840"/>
      <w:pgMar w:top="1701" w:right="1134" w:bottom="1134" w:left="1701" w:header="720" w:footer="20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04C85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04C851" w16cid:durableId="1F896F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28C" w:rsidRDefault="0046428C" w:rsidP="00392012">
      <w:r>
        <w:separator/>
      </w:r>
    </w:p>
  </w:endnote>
  <w:endnote w:type="continuationSeparator" w:id="0">
    <w:p w:rsidR="0046428C" w:rsidRDefault="0046428C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D03" w:rsidRPr="00D737A9" w:rsidRDefault="00D737A9" w:rsidP="00D737A9">
    <w:pPr>
      <w:pStyle w:val="Rodap"/>
    </w:pPr>
    <w:r>
      <w:rPr>
        <w:noProof/>
      </w:rPr>
      <w:drawing>
        <wp:inline distT="0" distB="0" distL="0" distR="0" wp14:anchorId="66F35552" wp14:editId="201D25F9">
          <wp:extent cx="5867400" cy="581025"/>
          <wp:effectExtent l="0" t="0" r="0" b="952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28C" w:rsidRDefault="0046428C" w:rsidP="00392012">
      <w:r>
        <w:separator/>
      </w:r>
    </w:p>
  </w:footnote>
  <w:footnote w:type="continuationSeparator" w:id="0">
    <w:p w:rsidR="0046428C" w:rsidRDefault="0046428C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7A9" w:rsidRDefault="00D737A9" w:rsidP="00D737A9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8" type="#_x0000_t202" style="position:absolute;margin-left:234.1pt;margin-top:-12.1pt;width:238.6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cAvQIAAMY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" filled="f" fillcolor="#f2f2f2" stroked="f">
          <v:textbox style="mso-next-textbox:#Caixa de Texto 2">
            <w:txbxContent>
              <w:p w:rsidR="00D737A9" w:rsidRPr="001001BB" w:rsidRDefault="00D737A9" w:rsidP="00D737A9">
                <w:pPr>
                  <w:pStyle w:val="Rodap"/>
                  <w:spacing w:line="276" w:lineRule="auto"/>
                  <w:jc w:val="right"/>
                </w:pPr>
                <w:r>
                  <w:t xml:space="preserve">Belém (PA), 28 a 30 </w:t>
                </w:r>
                <w:r w:rsidRPr="001001BB">
                  <w:t xml:space="preserve">de novembro </w:t>
                </w:r>
                <w:r>
                  <w:t xml:space="preserve">de </w:t>
                </w:r>
                <w:proofErr w:type="gramStart"/>
                <w:r w:rsidRPr="001001BB">
                  <w:t>201</w:t>
                </w:r>
                <w:r>
                  <w:t>8</w:t>
                </w:r>
                <w:proofErr w:type="gramEnd"/>
              </w:p>
              <w:p w:rsidR="00D737A9" w:rsidRPr="001001BB" w:rsidRDefault="00D737A9" w:rsidP="00D737A9">
                <w:pPr>
                  <w:pStyle w:val="Rodap"/>
                  <w:tabs>
                    <w:tab w:val="left" w:pos="3802"/>
                    <w:tab w:val="center" w:pos="4535"/>
                  </w:tabs>
                  <w:spacing w:line="276" w:lineRule="auto"/>
                  <w:jc w:val="right"/>
                </w:pPr>
                <w:r w:rsidRPr="001001BB">
                  <w:t>ISSN 2316-7637</w:t>
                </w:r>
              </w:p>
              <w:p w:rsidR="00D737A9" w:rsidRPr="00206969" w:rsidRDefault="00D737A9" w:rsidP="00D737A9">
                <w:pPr>
                  <w:pStyle w:val="Rodap"/>
                  <w:tabs>
                    <w:tab w:val="left" w:pos="3802"/>
                    <w:tab w:val="center" w:pos="4535"/>
                  </w:tabs>
                  <w:spacing w:line="276" w:lineRule="auto"/>
                  <w:jc w:val="right"/>
                  <w:rPr>
                    <w:i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7" type="#_x0000_t202" style="position:absolute;margin-left:-25.95pt;margin-top:-20.35pt;width:187.75pt;height:51.7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dC5iAIAABU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" stroked="f">
          <v:textbox style="mso-next-textbox:#_x0000_s2057;mso-fit-shape-to-text:t">
            <w:txbxContent>
              <w:p w:rsidR="00D737A9" w:rsidRDefault="00D737A9" w:rsidP="00D737A9">
                <w:r w:rsidRPr="004C583D">
                  <w:rPr>
                    <w:noProof/>
                  </w:rPr>
                  <w:drawing>
                    <wp:inline distT="0" distB="0" distL="0" distR="0" wp14:anchorId="43FCB6CE" wp14:editId="50FDD1F4">
                      <wp:extent cx="1786153" cy="565150"/>
                      <wp:effectExtent l="0" t="0" r="5080" b="6350"/>
                      <wp:docPr id="18" name="Imagem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8" descr="C:\Users\Altem\Dropbox\2017\VI Simpósio\Imagens para Site\Imagens do Site\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6153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t xml:space="preserve"> </w:t>
    </w:r>
  </w:p>
  <w:p w:rsidR="00D737A9" w:rsidRDefault="00D737A9" w:rsidP="00D737A9">
    <w:pPr>
      <w:pStyle w:val="Cabealho"/>
      <w:pBdr>
        <w:bottom w:val="single" w:sz="4" w:space="1" w:color="auto"/>
      </w:pBdr>
      <w:rPr>
        <w:noProof/>
      </w:rPr>
    </w:pPr>
  </w:p>
  <w:p w:rsidR="00D737A9" w:rsidRDefault="00D737A9" w:rsidP="00D737A9">
    <w:pPr>
      <w:pStyle w:val="Cabealho"/>
      <w:pBdr>
        <w:bottom w:val="single" w:sz="4" w:space="1" w:color="auto"/>
      </w:pBdr>
    </w:pPr>
  </w:p>
  <w:p w:rsidR="007C1D03" w:rsidRPr="00D737A9" w:rsidRDefault="007C1D03" w:rsidP="00D737A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fael Vitti Mota">
    <w15:presenceInfo w15:providerId="Windows Live" w15:userId="405300ffb20995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9">
      <o:colormru v:ext="edit" colors="#f1ff9f,white,#f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4FA"/>
    <w:rsid w:val="0001355C"/>
    <w:rsid w:val="00015699"/>
    <w:rsid w:val="000210B1"/>
    <w:rsid w:val="00027D99"/>
    <w:rsid w:val="00046262"/>
    <w:rsid w:val="00056CD2"/>
    <w:rsid w:val="00076CED"/>
    <w:rsid w:val="000900BF"/>
    <w:rsid w:val="00094A6D"/>
    <w:rsid w:val="000A2DE2"/>
    <w:rsid w:val="000A66A7"/>
    <w:rsid w:val="000B0814"/>
    <w:rsid w:val="000D6738"/>
    <w:rsid w:val="000E6673"/>
    <w:rsid w:val="000F1377"/>
    <w:rsid w:val="000F7B8F"/>
    <w:rsid w:val="0011530B"/>
    <w:rsid w:val="001179C2"/>
    <w:rsid w:val="00121F29"/>
    <w:rsid w:val="0012462E"/>
    <w:rsid w:val="00125234"/>
    <w:rsid w:val="001268D2"/>
    <w:rsid w:val="00133418"/>
    <w:rsid w:val="00160D2E"/>
    <w:rsid w:val="00195E0E"/>
    <w:rsid w:val="001B082F"/>
    <w:rsid w:val="001B1308"/>
    <w:rsid w:val="001B3370"/>
    <w:rsid w:val="001B3DF0"/>
    <w:rsid w:val="001B6E63"/>
    <w:rsid w:val="001C7011"/>
    <w:rsid w:val="001C79FB"/>
    <w:rsid w:val="00202A94"/>
    <w:rsid w:val="00206969"/>
    <w:rsid w:val="002076EF"/>
    <w:rsid w:val="0021388D"/>
    <w:rsid w:val="002271D6"/>
    <w:rsid w:val="0024156F"/>
    <w:rsid w:val="0024285C"/>
    <w:rsid w:val="002435FA"/>
    <w:rsid w:val="00253593"/>
    <w:rsid w:val="00253D7B"/>
    <w:rsid w:val="002571D5"/>
    <w:rsid w:val="00261E93"/>
    <w:rsid w:val="00270F09"/>
    <w:rsid w:val="00273A6E"/>
    <w:rsid w:val="002A456B"/>
    <w:rsid w:val="002B4C8E"/>
    <w:rsid w:val="002C04FA"/>
    <w:rsid w:val="002C3F9C"/>
    <w:rsid w:val="002F114A"/>
    <w:rsid w:val="002F37D6"/>
    <w:rsid w:val="00314A42"/>
    <w:rsid w:val="003209F3"/>
    <w:rsid w:val="003264DE"/>
    <w:rsid w:val="00330AA8"/>
    <w:rsid w:val="00334ABB"/>
    <w:rsid w:val="0035288A"/>
    <w:rsid w:val="00353EEF"/>
    <w:rsid w:val="0037208F"/>
    <w:rsid w:val="00381177"/>
    <w:rsid w:val="00392012"/>
    <w:rsid w:val="003A4B26"/>
    <w:rsid w:val="003B02AD"/>
    <w:rsid w:val="003B090B"/>
    <w:rsid w:val="003D0994"/>
    <w:rsid w:val="003E1ADB"/>
    <w:rsid w:val="003F4DC1"/>
    <w:rsid w:val="004006AC"/>
    <w:rsid w:val="00400D61"/>
    <w:rsid w:val="00415B8C"/>
    <w:rsid w:val="0042057D"/>
    <w:rsid w:val="00422D99"/>
    <w:rsid w:val="00426873"/>
    <w:rsid w:val="00436326"/>
    <w:rsid w:val="004365F3"/>
    <w:rsid w:val="00445438"/>
    <w:rsid w:val="0046428C"/>
    <w:rsid w:val="004709D3"/>
    <w:rsid w:val="004777CC"/>
    <w:rsid w:val="00497F38"/>
    <w:rsid w:val="004A4C3C"/>
    <w:rsid w:val="004B03F7"/>
    <w:rsid w:val="004C2F30"/>
    <w:rsid w:val="004C52D5"/>
    <w:rsid w:val="004C746A"/>
    <w:rsid w:val="004E41CC"/>
    <w:rsid w:val="004F3394"/>
    <w:rsid w:val="004F54A4"/>
    <w:rsid w:val="004F6258"/>
    <w:rsid w:val="0051155F"/>
    <w:rsid w:val="00511E8F"/>
    <w:rsid w:val="005159DA"/>
    <w:rsid w:val="005225D5"/>
    <w:rsid w:val="00527D6B"/>
    <w:rsid w:val="00555769"/>
    <w:rsid w:val="0055720B"/>
    <w:rsid w:val="005C6204"/>
    <w:rsid w:val="005D71A6"/>
    <w:rsid w:val="005E616C"/>
    <w:rsid w:val="005E6909"/>
    <w:rsid w:val="00603A8C"/>
    <w:rsid w:val="00610CCB"/>
    <w:rsid w:val="00612D68"/>
    <w:rsid w:val="00614FB7"/>
    <w:rsid w:val="0061672B"/>
    <w:rsid w:val="00616DDB"/>
    <w:rsid w:val="006201D8"/>
    <w:rsid w:val="00625B57"/>
    <w:rsid w:val="0063484F"/>
    <w:rsid w:val="0066022A"/>
    <w:rsid w:val="0068555A"/>
    <w:rsid w:val="006B0419"/>
    <w:rsid w:val="006B11A3"/>
    <w:rsid w:val="00707D9F"/>
    <w:rsid w:val="00715A5D"/>
    <w:rsid w:val="007218EB"/>
    <w:rsid w:val="007422FB"/>
    <w:rsid w:val="007452FD"/>
    <w:rsid w:val="00760822"/>
    <w:rsid w:val="0076407B"/>
    <w:rsid w:val="007811EC"/>
    <w:rsid w:val="00787D4C"/>
    <w:rsid w:val="007A7123"/>
    <w:rsid w:val="007B1EDB"/>
    <w:rsid w:val="007C1D03"/>
    <w:rsid w:val="007D15C8"/>
    <w:rsid w:val="007D58F5"/>
    <w:rsid w:val="007E40D8"/>
    <w:rsid w:val="00800CD8"/>
    <w:rsid w:val="00802659"/>
    <w:rsid w:val="008030DD"/>
    <w:rsid w:val="00811FDD"/>
    <w:rsid w:val="00814223"/>
    <w:rsid w:val="0083077E"/>
    <w:rsid w:val="00834BE9"/>
    <w:rsid w:val="00852788"/>
    <w:rsid w:val="00856747"/>
    <w:rsid w:val="00863A0D"/>
    <w:rsid w:val="008644EF"/>
    <w:rsid w:val="008922FD"/>
    <w:rsid w:val="008F146A"/>
    <w:rsid w:val="0090146E"/>
    <w:rsid w:val="00901B6A"/>
    <w:rsid w:val="00930191"/>
    <w:rsid w:val="009331C3"/>
    <w:rsid w:val="0093604B"/>
    <w:rsid w:val="0095437F"/>
    <w:rsid w:val="00961709"/>
    <w:rsid w:val="00970286"/>
    <w:rsid w:val="0097264E"/>
    <w:rsid w:val="009962E6"/>
    <w:rsid w:val="009965FA"/>
    <w:rsid w:val="009B0125"/>
    <w:rsid w:val="009C407A"/>
    <w:rsid w:val="009D5F95"/>
    <w:rsid w:val="009D6FE6"/>
    <w:rsid w:val="009E5010"/>
    <w:rsid w:val="00A126BC"/>
    <w:rsid w:val="00A14A7B"/>
    <w:rsid w:val="00A20FD7"/>
    <w:rsid w:val="00A22AF6"/>
    <w:rsid w:val="00A26486"/>
    <w:rsid w:val="00A42A9F"/>
    <w:rsid w:val="00A522B1"/>
    <w:rsid w:val="00A57710"/>
    <w:rsid w:val="00A63F18"/>
    <w:rsid w:val="00A726E1"/>
    <w:rsid w:val="00A77CA4"/>
    <w:rsid w:val="00A82229"/>
    <w:rsid w:val="00A92240"/>
    <w:rsid w:val="00A9494E"/>
    <w:rsid w:val="00B03F68"/>
    <w:rsid w:val="00B06E1B"/>
    <w:rsid w:val="00B20B23"/>
    <w:rsid w:val="00B259FE"/>
    <w:rsid w:val="00B40020"/>
    <w:rsid w:val="00B55AB2"/>
    <w:rsid w:val="00B64760"/>
    <w:rsid w:val="00B7165F"/>
    <w:rsid w:val="00B864F5"/>
    <w:rsid w:val="00BB2377"/>
    <w:rsid w:val="00BB5D54"/>
    <w:rsid w:val="00BC29A4"/>
    <w:rsid w:val="00BD23D9"/>
    <w:rsid w:val="00BD3FDA"/>
    <w:rsid w:val="00BE10B2"/>
    <w:rsid w:val="00BF4624"/>
    <w:rsid w:val="00BF5246"/>
    <w:rsid w:val="00BF7AD6"/>
    <w:rsid w:val="00C100B9"/>
    <w:rsid w:val="00C15CD1"/>
    <w:rsid w:val="00C35456"/>
    <w:rsid w:val="00C41918"/>
    <w:rsid w:val="00C46A3C"/>
    <w:rsid w:val="00C51241"/>
    <w:rsid w:val="00C70228"/>
    <w:rsid w:val="00C71504"/>
    <w:rsid w:val="00C71785"/>
    <w:rsid w:val="00C775E3"/>
    <w:rsid w:val="00C81C92"/>
    <w:rsid w:val="00C82459"/>
    <w:rsid w:val="00CA71A9"/>
    <w:rsid w:val="00CB7D10"/>
    <w:rsid w:val="00CC0817"/>
    <w:rsid w:val="00CC5C92"/>
    <w:rsid w:val="00CD3E3D"/>
    <w:rsid w:val="00CE45A6"/>
    <w:rsid w:val="00CE4F5C"/>
    <w:rsid w:val="00CE581B"/>
    <w:rsid w:val="00D048E7"/>
    <w:rsid w:val="00D13969"/>
    <w:rsid w:val="00D174DC"/>
    <w:rsid w:val="00D34D39"/>
    <w:rsid w:val="00D40455"/>
    <w:rsid w:val="00D507CA"/>
    <w:rsid w:val="00D52594"/>
    <w:rsid w:val="00D66D9D"/>
    <w:rsid w:val="00D737A9"/>
    <w:rsid w:val="00D8282F"/>
    <w:rsid w:val="00D83956"/>
    <w:rsid w:val="00DA0B68"/>
    <w:rsid w:val="00DA74C8"/>
    <w:rsid w:val="00DB67E5"/>
    <w:rsid w:val="00DC31F5"/>
    <w:rsid w:val="00DD7EC3"/>
    <w:rsid w:val="00E016D8"/>
    <w:rsid w:val="00E05E73"/>
    <w:rsid w:val="00E0707A"/>
    <w:rsid w:val="00E07604"/>
    <w:rsid w:val="00E17AA2"/>
    <w:rsid w:val="00E34F91"/>
    <w:rsid w:val="00E753BE"/>
    <w:rsid w:val="00E76DCA"/>
    <w:rsid w:val="00E85C97"/>
    <w:rsid w:val="00ED5D1D"/>
    <w:rsid w:val="00EE4602"/>
    <w:rsid w:val="00EF1C09"/>
    <w:rsid w:val="00EF273F"/>
    <w:rsid w:val="00F06F8F"/>
    <w:rsid w:val="00F13837"/>
    <w:rsid w:val="00F253D0"/>
    <w:rsid w:val="00F42AEC"/>
    <w:rsid w:val="00F43D66"/>
    <w:rsid w:val="00F44DF9"/>
    <w:rsid w:val="00F47276"/>
    <w:rsid w:val="00F5269B"/>
    <w:rsid w:val="00F528A5"/>
    <w:rsid w:val="00F557C6"/>
    <w:rsid w:val="00F57A02"/>
    <w:rsid w:val="00F62B53"/>
    <w:rsid w:val="00F67AA9"/>
    <w:rsid w:val="00F76C81"/>
    <w:rsid w:val="00F80015"/>
    <w:rsid w:val="00F855F1"/>
    <w:rsid w:val="00FB6399"/>
    <w:rsid w:val="00FC64FA"/>
    <w:rsid w:val="00FE12AD"/>
    <w:rsid w:val="00FE2CCA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o:colormru v:ext="edit" colors="#f1ff9f,white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F44DF9"/>
    <w:rPr>
      <w:color w:val="954F72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8395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C824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8245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8245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24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2459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F44DF9"/>
    <w:rPr>
      <w:color w:val="954F72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8395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C824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8245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8245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24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245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EAN%20-%20DOCUMENTOS\PIBIC%20-%20OFICIAL\CURVA%20PADR&#195;O%20DE%20RUTINA%20e%20&#193;CIDO%20G&#193;LIC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30507243687438584"/>
                  <c:y val="6.3099337748344392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vert="horz"/>
                <a:lstStyle/>
                <a:p>
                  <a:pPr>
                    <a:defRPr/>
                  </a:pPr>
                  <a:endParaRPr lang="pt-BR"/>
                </a:p>
              </c:txPr>
            </c:trendlineLbl>
          </c:trendline>
          <c:xVal>
            <c:numRef>
              <c:f>FENÓIS!$A$2:$A$7</c:f>
              <c:numCache>
                <c:formatCode>General</c:formatCode>
                <c:ptCount val="6"/>
                <c:pt idx="0">
                  <c:v>120</c:v>
                </c:pt>
                <c:pt idx="1">
                  <c:v>100</c:v>
                </c:pt>
                <c:pt idx="2">
                  <c:v>80</c:v>
                </c:pt>
                <c:pt idx="3">
                  <c:v>60</c:v>
                </c:pt>
                <c:pt idx="4">
                  <c:v>40</c:v>
                </c:pt>
                <c:pt idx="5">
                  <c:v>20</c:v>
                </c:pt>
              </c:numCache>
            </c:numRef>
          </c:xVal>
          <c:yVal>
            <c:numRef>
              <c:f>FENÓIS!$B$2:$B$7</c:f>
              <c:numCache>
                <c:formatCode>General</c:formatCode>
                <c:ptCount val="6"/>
                <c:pt idx="0">
                  <c:v>0.73900000000000021</c:v>
                </c:pt>
                <c:pt idx="1">
                  <c:v>0.61500000000000021</c:v>
                </c:pt>
                <c:pt idx="2">
                  <c:v>0.502</c:v>
                </c:pt>
                <c:pt idx="3">
                  <c:v>0.36300000000000016</c:v>
                </c:pt>
                <c:pt idx="4">
                  <c:v>0.23800000000000004</c:v>
                </c:pt>
                <c:pt idx="5">
                  <c:v>0.11600000000000003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365F-4CC0-9528-92E1A4A600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3727872"/>
        <c:axId val="193768832"/>
      </c:scatterChart>
      <c:valAx>
        <c:axId val="193727872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Ácido gálico (µg/mL)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193768832"/>
        <c:crosses val="autoZero"/>
        <c:crossBetween val="midCat"/>
      </c:valAx>
      <c:valAx>
        <c:axId val="19376883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Absorbância (a 750 nm)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19372787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 sz="1100">
          <a:solidFill>
            <a:schemeClr val="dk1"/>
          </a:solidFill>
          <a:latin typeface="Times New Roman" pitchFamily="18" charset="0"/>
          <a:ea typeface="+mn-ea"/>
          <a:cs typeface="Times New Roman" pitchFamily="18" charset="0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9F689-2780-459B-8E60-E81E6E70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9</Pages>
  <Words>2780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17762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Sandro</cp:lastModifiedBy>
  <cp:revision>23</cp:revision>
  <cp:lastPrinted>2015-06-04T18:07:00Z</cp:lastPrinted>
  <dcterms:created xsi:type="dcterms:W3CDTF">2017-09-24T19:09:00Z</dcterms:created>
  <dcterms:modified xsi:type="dcterms:W3CDTF">2018-11-13T00:39:00Z</dcterms:modified>
</cp:coreProperties>
</file>