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F61E93" w14:textId="77777777" w:rsidR="0012462E" w:rsidRPr="004306A6" w:rsidRDefault="00472CC3" w:rsidP="0012462E">
      <w:pPr>
        <w:jc w:val="center"/>
        <w:rPr>
          <w:b/>
          <w:sz w:val="24"/>
          <w:szCs w:val="24"/>
        </w:rPr>
      </w:pPr>
      <w:bookmarkStart w:id="0" w:name="_GoBack"/>
      <w:bookmarkEnd w:id="0"/>
      <w:r>
        <w:rPr>
          <w:b/>
          <w:sz w:val="24"/>
          <w:szCs w:val="24"/>
        </w:rPr>
        <w:t>FORMULAÇÃO E CARACTERIZAÇÃO DE NÉCTAR DE MARACUJÁ SABORIZADO COM FLOR DE CAMOMILA</w:t>
      </w:r>
      <w:r w:rsidR="0012462E" w:rsidRPr="004306A6">
        <w:rPr>
          <w:b/>
          <w:sz w:val="24"/>
          <w:szCs w:val="24"/>
        </w:rPr>
        <w:t xml:space="preserve"> </w:t>
      </w:r>
    </w:p>
    <w:p w14:paraId="1AFFBDE1" w14:textId="77777777" w:rsidR="00472CC3" w:rsidRDefault="00472CC3" w:rsidP="0012462E">
      <w:pPr>
        <w:jc w:val="center"/>
        <w:rPr>
          <w:sz w:val="24"/>
          <w:szCs w:val="24"/>
        </w:rPr>
      </w:pPr>
    </w:p>
    <w:p w14:paraId="6024175C" w14:textId="77777777" w:rsidR="00493114" w:rsidRPr="004F6258" w:rsidRDefault="00493114" w:rsidP="00493114">
      <w:pPr>
        <w:jc w:val="center"/>
        <w:rPr>
          <w:sz w:val="24"/>
          <w:szCs w:val="24"/>
        </w:rPr>
      </w:pPr>
      <w:r>
        <w:rPr>
          <w:sz w:val="24"/>
          <w:szCs w:val="24"/>
        </w:rPr>
        <w:t>Priscilla Andrade Silva</w:t>
      </w:r>
      <w:r>
        <w:rPr>
          <w:sz w:val="24"/>
          <w:szCs w:val="24"/>
          <w:vertAlign w:val="superscript"/>
        </w:rPr>
        <w:t>1</w:t>
      </w:r>
      <w:r>
        <w:rPr>
          <w:sz w:val="24"/>
          <w:szCs w:val="24"/>
        </w:rPr>
        <w:t xml:space="preserve">; Rodrigo de Souza Mota </w:t>
      </w:r>
      <w:r w:rsidRPr="004F6258">
        <w:rPr>
          <w:sz w:val="24"/>
          <w:szCs w:val="24"/>
          <w:vertAlign w:val="superscript"/>
        </w:rPr>
        <w:t>2</w:t>
      </w:r>
      <w:r>
        <w:rPr>
          <w:sz w:val="24"/>
          <w:szCs w:val="24"/>
        </w:rPr>
        <w:t xml:space="preserve">; Rodrigo Cruz silva </w:t>
      </w:r>
      <w:r>
        <w:rPr>
          <w:sz w:val="24"/>
          <w:szCs w:val="24"/>
          <w:vertAlign w:val="superscript"/>
        </w:rPr>
        <w:t>3</w:t>
      </w:r>
      <w:r>
        <w:rPr>
          <w:sz w:val="24"/>
          <w:szCs w:val="24"/>
        </w:rPr>
        <w:t>; Luana da Silva Pinheiro</w:t>
      </w:r>
      <w:r>
        <w:rPr>
          <w:sz w:val="24"/>
          <w:szCs w:val="24"/>
          <w:vertAlign w:val="superscript"/>
        </w:rPr>
        <w:t>4</w:t>
      </w:r>
      <w:r>
        <w:rPr>
          <w:sz w:val="24"/>
          <w:szCs w:val="24"/>
        </w:rPr>
        <w:t xml:space="preserve">; Pamela </w:t>
      </w:r>
      <w:proofErr w:type="spellStart"/>
      <w:r>
        <w:rPr>
          <w:sz w:val="24"/>
          <w:szCs w:val="24"/>
        </w:rPr>
        <w:t>Stephnay</w:t>
      </w:r>
      <w:proofErr w:type="spellEnd"/>
      <w:r>
        <w:rPr>
          <w:sz w:val="24"/>
          <w:szCs w:val="24"/>
        </w:rPr>
        <w:t xml:space="preserve"> </w:t>
      </w:r>
      <w:proofErr w:type="spellStart"/>
      <w:r>
        <w:rPr>
          <w:sz w:val="24"/>
          <w:szCs w:val="24"/>
        </w:rPr>
        <w:t>Jennings</w:t>
      </w:r>
      <w:proofErr w:type="spellEnd"/>
      <w:r>
        <w:rPr>
          <w:sz w:val="24"/>
          <w:szCs w:val="24"/>
        </w:rPr>
        <w:t xml:space="preserve"> Cunha</w:t>
      </w:r>
      <w:r>
        <w:rPr>
          <w:sz w:val="24"/>
          <w:szCs w:val="24"/>
          <w:vertAlign w:val="superscript"/>
        </w:rPr>
        <w:t>5</w:t>
      </w:r>
      <w:r>
        <w:rPr>
          <w:sz w:val="24"/>
          <w:szCs w:val="24"/>
        </w:rPr>
        <w:t>; Fábio Israel Martins Carvalho</w:t>
      </w:r>
      <w:r>
        <w:rPr>
          <w:sz w:val="24"/>
          <w:szCs w:val="24"/>
          <w:vertAlign w:val="superscript"/>
        </w:rPr>
        <w:t>6</w:t>
      </w:r>
      <w:r>
        <w:rPr>
          <w:sz w:val="24"/>
          <w:szCs w:val="24"/>
        </w:rPr>
        <w:t xml:space="preserve"> </w:t>
      </w:r>
      <w:r w:rsidRPr="004F6258">
        <w:rPr>
          <w:sz w:val="24"/>
          <w:szCs w:val="24"/>
        </w:rPr>
        <w:t xml:space="preserve"> </w:t>
      </w:r>
    </w:p>
    <w:p w14:paraId="63A10E38" w14:textId="77777777" w:rsidR="0012462E" w:rsidRPr="004F6258" w:rsidRDefault="0012462E" w:rsidP="0012462E">
      <w:pPr>
        <w:spacing w:line="360" w:lineRule="auto"/>
        <w:jc w:val="center"/>
        <w:rPr>
          <w:sz w:val="24"/>
          <w:szCs w:val="24"/>
        </w:rPr>
      </w:pPr>
    </w:p>
    <w:p w14:paraId="34AB6677" w14:textId="77777777" w:rsidR="0012462E" w:rsidRPr="00E335D9" w:rsidRDefault="0012462E" w:rsidP="0012462E">
      <w:pPr>
        <w:pStyle w:val="Rodap"/>
        <w:jc w:val="center"/>
        <w:rPr>
          <w:color w:val="FF0000"/>
          <w:sz w:val="24"/>
          <w:szCs w:val="24"/>
        </w:rPr>
      </w:pPr>
      <w:r w:rsidRPr="00E335D9">
        <w:rPr>
          <w:sz w:val="24"/>
          <w:szCs w:val="24"/>
          <w:vertAlign w:val="superscript"/>
        </w:rPr>
        <w:t xml:space="preserve">1 </w:t>
      </w:r>
      <w:proofErr w:type="spellStart"/>
      <w:r w:rsidR="00E335D9" w:rsidRPr="00E335D9">
        <w:rPr>
          <w:sz w:val="24"/>
          <w:szCs w:val="24"/>
        </w:rPr>
        <w:t>Dr</w:t>
      </w:r>
      <w:r w:rsidR="00B26785">
        <w:rPr>
          <w:sz w:val="24"/>
          <w:szCs w:val="24"/>
        </w:rPr>
        <w:t>ª</w:t>
      </w:r>
      <w:proofErr w:type="spellEnd"/>
      <w:r w:rsidR="00E335D9" w:rsidRPr="00E335D9">
        <w:rPr>
          <w:sz w:val="24"/>
          <w:szCs w:val="24"/>
        </w:rPr>
        <w:t>.</w:t>
      </w:r>
      <w:r w:rsidR="00E335D9" w:rsidRPr="00E335D9">
        <w:rPr>
          <w:rFonts w:ascii="Helvetica" w:hAnsi="Helvetica" w:cs="Helvetica"/>
          <w:spacing w:val="-10"/>
          <w:shd w:val="clear" w:color="auto" w:fill="FFFFFF"/>
        </w:rPr>
        <w:t xml:space="preserve"> </w:t>
      </w:r>
      <w:r w:rsidR="00B26785">
        <w:rPr>
          <w:spacing w:val="-10"/>
          <w:sz w:val="24"/>
          <w:szCs w:val="24"/>
          <w:shd w:val="clear" w:color="auto" w:fill="FFFFFF"/>
        </w:rPr>
        <w:t>em A</w:t>
      </w:r>
      <w:r w:rsidR="00E335D9" w:rsidRPr="00E335D9">
        <w:rPr>
          <w:spacing w:val="-10"/>
          <w:sz w:val="24"/>
          <w:szCs w:val="24"/>
          <w:shd w:val="clear" w:color="auto" w:fill="FFFFFF"/>
        </w:rPr>
        <w:t>gronomia (Fisiologia e Bioquímica)</w:t>
      </w:r>
      <w:r w:rsidR="00B26785">
        <w:rPr>
          <w:sz w:val="24"/>
          <w:szCs w:val="24"/>
        </w:rPr>
        <w:t xml:space="preserve">. </w:t>
      </w:r>
      <w:r w:rsidR="00E335D9" w:rsidRPr="00E335D9">
        <w:rPr>
          <w:sz w:val="24"/>
          <w:szCs w:val="24"/>
        </w:rPr>
        <w:t>UFRA</w:t>
      </w:r>
      <w:r w:rsidR="00AB7545">
        <w:rPr>
          <w:sz w:val="24"/>
          <w:szCs w:val="24"/>
        </w:rPr>
        <w:t>- Parauapebas</w:t>
      </w:r>
      <w:r w:rsidR="00E335D9">
        <w:rPr>
          <w:sz w:val="24"/>
          <w:szCs w:val="24"/>
        </w:rPr>
        <w:t xml:space="preserve">. </w:t>
      </w:r>
      <w:r w:rsidR="00AB7545">
        <w:rPr>
          <w:sz w:val="24"/>
          <w:szCs w:val="24"/>
        </w:rPr>
        <w:t>prisciandra@yahoo.com.br</w:t>
      </w:r>
    </w:p>
    <w:p w14:paraId="2E86C131" w14:textId="77777777" w:rsidR="0012462E" w:rsidRDefault="0012462E" w:rsidP="0012462E">
      <w:pPr>
        <w:pStyle w:val="Rodap"/>
        <w:jc w:val="center"/>
        <w:rPr>
          <w:sz w:val="24"/>
          <w:szCs w:val="24"/>
        </w:rPr>
      </w:pPr>
      <w:r w:rsidRPr="004F6258">
        <w:rPr>
          <w:sz w:val="24"/>
          <w:szCs w:val="24"/>
          <w:vertAlign w:val="superscript"/>
        </w:rPr>
        <w:t xml:space="preserve">2 </w:t>
      </w:r>
      <w:r w:rsidR="00AB7545">
        <w:rPr>
          <w:sz w:val="24"/>
          <w:szCs w:val="24"/>
        </w:rPr>
        <w:t>Graduando em agronomia</w:t>
      </w:r>
      <w:r w:rsidRPr="004F6258">
        <w:rPr>
          <w:sz w:val="24"/>
          <w:szCs w:val="24"/>
        </w:rPr>
        <w:t>.</w:t>
      </w:r>
      <w:r w:rsidR="00AB7545" w:rsidRPr="00AB7545">
        <w:rPr>
          <w:sz w:val="24"/>
          <w:szCs w:val="24"/>
        </w:rPr>
        <w:t xml:space="preserve"> </w:t>
      </w:r>
      <w:r w:rsidR="00AB7545" w:rsidRPr="00E335D9">
        <w:rPr>
          <w:sz w:val="24"/>
          <w:szCs w:val="24"/>
        </w:rPr>
        <w:t>UFRA</w:t>
      </w:r>
      <w:r w:rsidR="00AB7545">
        <w:rPr>
          <w:sz w:val="24"/>
          <w:szCs w:val="24"/>
        </w:rPr>
        <w:t>- Parauapebas</w:t>
      </w:r>
      <w:r w:rsidR="00B26785">
        <w:rPr>
          <w:sz w:val="24"/>
          <w:szCs w:val="24"/>
        </w:rPr>
        <w:t xml:space="preserve">. </w:t>
      </w:r>
      <w:r w:rsidR="00383B01" w:rsidRPr="00AB7545">
        <w:rPr>
          <w:sz w:val="24"/>
          <w:szCs w:val="24"/>
        </w:rPr>
        <w:t>rodrigodmota@gmail.com</w:t>
      </w:r>
    </w:p>
    <w:p w14:paraId="02AE461A" w14:textId="77777777" w:rsidR="00AB7545" w:rsidRDefault="00AB7545" w:rsidP="00AB7545">
      <w:pPr>
        <w:pStyle w:val="Rodap"/>
        <w:jc w:val="center"/>
        <w:rPr>
          <w:sz w:val="24"/>
          <w:szCs w:val="24"/>
        </w:rPr>
      </w:pPr>
      <w:r>
        <w:rPr>
          <w:sz w:val="24"/>
          <w:szCs w:val="24"/>
          <w:vertAlign w:val="superscript"/>
        </w:rPr>
        <w:t>3</w:t>
      </w:r>
      <w:r w:rsidRPr="004F6258">
        <w:rPr>
          <w:sz w:val="24"/>
          <w:szCs w:val="24"/>
          <w:vertAlign w:val="superscript"/>
        </w:rPr>
        <w:t xml:space="preserve"> </w:t>
      </w:r>
      <w:r>
        <w:rPr>
          <w:sz w:val="24"/>
          <w:szCs w:val="24"/>
        </w:rPr>
        <w:t>Graduando em agronomia</w:t>
      </w:r>
      <w:r w:rsidRPr="004F6258">
        <w:rPr>
          <w:sz w:val="24"/>
          <w:szCs w:val="24"/>
        </w:rPr>
        <w:t>.</w:t>
      </w:r>
      <w:r w:rsidRPr="00AB7545">
        <w:rPr>
          <w:sz w:val="24"/>
          <w:szCs w:val="24"/>
        </w:rPr>
        <w:t xml:space="preserve"> </w:t>
      </w:r>
      <w:r w:rsidRPr="00E335D9">
        <w:rPr>
          <w:sz w:val="24"/>
          <w:szCs w:val="24"/>
        </w:rPr>
        <w:t>UFRA</w:t>
      </w:r>
      <w:r>
        <w:rPr>
          <w:sz w:val="24"/>
          <w:szCs w:val="24"/>
        </w:rPr>
        <w:t>- Parauapebas</w:t>
      </w:r>
      <w:r w:rsidR="00B26785">
        <w:rPr>
          <w:sz w:val="24"/>
          <w:szCs w:val="24"/>
        </w:rPr>
        <w:t xml:space="preserve">. </w:t>
      </w:r>
      <w:r w:rsidR="00383B01" w:rsidRPr="00AB7545">
        <w:rPr>
          <w:sz w:val="24"/>
          <w:szCs w:val="24"/>
        </w:rPr>
        <w:t xml:space="preserve">rodriigocruz@hotmail.com </w:t>
      </w:r>
    </w:p>
    <w:p w14:paraId="72C409FE" w14:textId="77777777" w:rsidR="00AB7545" w:rsidRDefault="00AB7545" w:rsidP="00AB7545">
      <w:pPr>
        <w:pStyle w:val="Rodap"/>
        <w:jc w:val="center"/>
        <w:rPr>
          <w:sz w:val="24"/>
          <w:szCs w:val="24"/>
        </w:rPr>
      </w:pPr>
      <w:r>
        <w:rPr>
          <w:sz w:val="24"/>
          <w:szCs w:val="24"/>
          <w:vertAlign w:val="superscript"/>
        </w:rPr>
        <w:t>4</w:t>
      </w:r>
      <w:r w:rsidRPr="004F6258">
        <w:rPr>
          <w:sz w:val="24"/>
          <w:szCs w:val="24"/>
          <w:vertAlign w:val="superscript"/>
        </w:rPr>
        <w:t xml:space="preserve"> </w:t>
      </w:r>
      <w:r>
        <w:rPr>
          <w:sz w:val="24"/>
          <w:szCs w:val="24"/>
        </w:rPr>
        <w:t>Graduando em agronomia</w:t>
      </w:r>
      <w:r w:rsidRPr="004F6258">
        <w:rPr>
          <w:sz w:val="24"/>
          <w:szCs w:val="24"/>
        </w:rPr>
        <w:t>.</w:t>
      </w:r>
      <w:r w:rsidRPr="00AB7545">
        <w:rPr>
          <w:sz w:val="24"/>
          <w:szCs w:val="24"/>
        </w:rPr>
        <w:t xml:space="preserve"> </w:t>
      </w:r>
      <w:r w:rsidRPr="00E335D9">
        <w:rPr>
          <w:sz w:val="24"/>
          <w:szCs w:val="24"/>
        </w:rPr>
        <w:t>UFRA</w:t>
      </w:r>
      <w:r>
        <w:rPr>
          <w:sz w:val="24"/>
          <w:szCs w:val="24"/>
        </w:rPr>
        <w:t>- Parauapebas</w:t>
      </w:r>
      <w:r w:rsidRPr="00AB7545">
        <w:rPr>
          <w:sz w:val="24"/>
          <w:szCs w:val="24"/>
        </w:rPr>
        <w:t>.</w:t>
      </w:r>
      <w:r w:rsidR="00B26785">
        <w:rPr>
          <w:sz w:val="24"/>
          <w:szCs w:val="24"/>
        </w:rPr>
        <w:t xml:space="preserve"> </w:t>
      </w:r>
      <w:r w:rsidRPr="00AB7545">
        <w:rPr>
          <w:sz w:val="24"/>
          <w:szCs w:val="24"/>
        </w:rPr>
        <w:t>luulupinheiro@hotmail.com</w:t>
      </w:r>
    </w:p>
    <w:p w14:paraId="65C0381B" w14:textId="77777777" w:rsidR="00AB7545" w:rsidRDefault="00AB7545" w:rsidP="00AB7545">
      <w:pPr>
        <w:pStyle w:val="Rodap"/>
        <w:jc w:val="center"/>
        <w:rPr>
          <w:sz w:val="24"/>
          <w:szCs w:val="24"/>
        </w:rPr>
      </w:pPr>
      <w:r>
        <w:rPr>
          <w:sz w:val="24"/>
          <w:szCs w:val="24"/>
          <w:vertAlign w:val="superscript"/>
        </w:rPr>
        <w:t xml:space="preserve">5 </w:t>
      </w:r>
      <w:r>
        <w:rPr>
          <w:sz w:val="24"/>
          <w:szCs w:val="24"/>
        </w:rPr>
        <w:t>Graduando em agronomia</w:t>
      </w:r>
      <w:r w:rsidRPr="004F6258">
        <w:rPr>
          <w:sz w:val="24"/>
          <w:szCs w:val="24"/>
        </w:rPr>
        <w:t>.</w:t>
      </w:r>
      <w:r w:rsidRPr="00AB7545">
        <w:rPr>
          <w:sz w:val="24"/>
          <w:szCs w:val="24"/>
        </w:rPr>
        <w:t xml:space="preserve"> </w:t>
      </w:r>
      <w:r w:rsidRPr="00E335D9">
        <w:rPr>
          <w:sz w:val="24"/>
          <w:szCs w:val="24"/>
        </w:rPr>
        <w:t>UFRA</w:t>
      </w:r>
      <w:r>
        <w:rPr>
          <w:sz w:val="24"/>
          <w:szCs w:val="24"/>
        </w:rPr>
        <w:t>- Belém</w:t>
      </w:r>
      <w:r w:rsidRPr="00127CC5">
        <w:rPr>
          <w:sz w:val="24"/>
          <w:szCs w:val="24"/>
        </w:rPr>
        <w:t>.</w:t>
      </w:r>
      <w:r w:rsidR="00B26785">
        <w:rPr>
          <w:sz w:val="24"/>
          <w:szCs w:val="24"/>
        </w:rPr>
        <w:t xml:space="preserve"> </w:t>
      </w:r>
      <w:r w:rsidRPr="00127CC5">
        <w:rPr>
          <w:sz w:val="24"/>
          <w:szCs w:val="24"/>
        </w:rPr>
        <w:t>pamelajennings18@hotmail.com</w:t>
      </w:r>
    </w:p>
    <w:p w14:paraId="1A3544B2" w14:textId="77777777" w:rsidR="00AB7545" w:rsidRDefault="00950987" w:rsidP="00AB7545">
      <w:pPr>
        <w:pStyle w:val="Rodap"/>
        <w:jc w:val="center"/>
        <w:rPr>
          <w:sz w:val="24"/>
          <w:szCs w:val="24"/>
        </w:rPr>
      </w:pPr>
      <w:r>
        <w:rPr>
          <w:sz w:val="24"/>
          <w:szCs w:val="24"/>
          <w:vertAlign w:val="superscript"/>
        </w:rPr>
        <w:t>6</w:t>
      </w:r>
      <w:r>
        <w:rPr>
          <w:sz w:val="24"/>
          <w:szCs w:val="24"/>
        </w:rPr>
        <w:t xml:space="preserve">Dr. em Química. </w:t>
      </w:r>
      <w:r w:rsidR="00AB7545" w:rsidRPr="00E335D9">
        <w:rPr>
          <w:sz w:val="24"/>
          <w:szCs w:val="24"/>
        </w:rPr>
        <w:t>UFRA</w:t>
      </w:r>
      <w:r w:rsidR="00AB7545">
        <w:rPr>
          <w:sz w:val="24"/>
          <w:szCs w:val="24"/>
        </w:rPr>
        <w:t xml:space="preserve">- </w:t>
      </w:r>
      <w:r w:rsidR="00B26785">
        <w:rPr>
          <w:sz w:val="24"/>
          <w:szCs w:val="24"/>
        </w:rPr>
        <w:t>Parauapebas</w:t>
      </w:r>
      <w:r w:rsidR="00AB7545" w:rsidRPr="00AB7545">
        <w:rPr>
          <w:sz w:val="24"/>
          <w:szCs w:val="24"/>
        </w:rPr>
        <w:t>.</w:t>
      </w:r>
      <w:r w:rsidR="00B26785">
        <w:rPr>
          <w:sz w:val="24"/>
          <w:szCs w:val="24"/>
        </w:rPr>
        <w:t>fabioimc</w:t>
      </w:r>
      <w:r w:rsidR="00AB7545" w:rsidRPr="00AB7545">
        <w:rPr>
          <w:sz w:val="24"/>
          <w:szCs w:val="24"/>
        </w:rPr>
        <w:t>@</w:t>
      </w:r>
      <w:r w:rsidR="00B26785">
        <w:rPr>
          <w:sz w:val="24"/>
          <w:szCs w:val="24"/>
        </w:rPr>
        <w:t>yahoo</w:t>
      </w:r>
      <w:r w:rsidR="00AB7545" w:rsidRPr="00AB7545">
        <w:rPr>
          <w:sz w:val="24"/>
          <w:szCs w:val="24"/>
        </w:rPr>
        <w:t>.com</w:t>
      </w:r>
      <w:r w:rsidR="00B26785">
        <w:rPr>
          <w:sz w:val="24"/>
          <w:szCs w:val="24"/>
        </w:rPr>
        <w:t>.br</w:t>
      </w:r>
    </w:p>
    <w:p w14:paraId="08990ED3" w14:textId="77777777" w:rsidR="0012462E" w:rsidRDefault="0012462E" w:rsidP="0012462E">
      <w:pPr>
        <w:jc w:val="center"/>
        <w:rPr>
          <w:b/>
          <w:sz w:val="24"/>
          <w:szCs w:val="24"/>
        </w:rPr>
      </w:pPr>
    </w:p>
    <w:p w14:paraId="72DA63EE" w14:textId="77777777" w:rsidR="0012462E" w:rsidRDefault="0012462E" w:rsidP="0012462E">
      <w:pPr>
        <w:jc w:val="center"/>
        <w:rPr>
          <w:b/>
          <w:sz w:val="24"/>
          <w:szCs w:val="24"/>
        </w:rPr>
      </w:pPr>
      <w:r w:rsidRPr="004F6258">
        <w:rPr>
          <w:b/>
          <w:sz w:val="24"/>
          <w:szCs w:val="24"/>
        </w:rPr>
        <w:t xml:space="preserve">RESUMO </w:t>
      </w:r>
    </w:p>
    <w:p w14:paraId="3F3892E7" w14:textId="77777777" w:rsidR="00534005" w:rsidRDefault="00534005" w:rsidP="00534005">
      <w:pPr>
        <w:autoSpaceDE w:val="0"/>
        <w:autoSpaceDN w:val="0"/>
        <w:adjustRightInd w:val="0"/>
        <w:jc w:val="both"/>
        <w:rPr>
          <w:sz w:val="24"/>
          <w:szCs w:val="24"/>
        </w:rPr>
      </w:pPr>
    </w:p>
    <w:p w14:paraId="7868820E" w14:textId="26D7C5A6" w:rsidR="00534005" w:rsidRPr="00534005" w:rsidRDefault="00534005" w:rsidP="00B26785">
      <w:pPr>
        <w:jc w:val="both"/>
        <w:rPr>
          <w:sz w:val="24"/>
          <w:szCs w:val="24"/>
        </w:rPr>
      </w:pPr>
      <w:r w:rsidRPr="00534005">
        <w:rPr>
          <w:sz w:val="24"/>
          <w:szCs w:val="24"/>
        </w:rPr>
        <w:t xml:space="preserve">O maracujá pode ser utilizado para o consumo </w:t>
      </w:r>
      <w:r w:rsidRPr="00534005">
        <w:rPr>
          <w:i/>
          <w:sz w:val="24"/>
          <w:szCs w:val="24"/>
        </w:rPr>
        <w:t>in natura</w:t>
      </w:r>
      <w:r w:rsidRPr="00534005">
        <w:rPr>
          <w:sz w:val="24"/>
          <w:szCs w:val="24"/>
        </w:rPr>
        <w:t>; entretanto, sua maior importância econômica está na utilização para fins industriais, sendo processado para fabricação de suco integral a 14°Brix, néctar e suco concentrado a 50°Brix, além de sorvetes, mousses e bebidas alcoólicas, entre outros</w:t>
      </w:r>
      <w:r w:rsidR="00B26785">
        <w:rPr>
          <w:sz w:val="24"/>
          <w:szCs w:val="24"/>
        </w:rPr>
        <w:t xml:space="preserve">. </w:t>
      </w:r>
      <w:r w:rsidRPr="00534005">
        <w:rPr>
          <w:sz w:val="24"/>
          <w:szCs w:val="24"/>
        </w:rPr>
        <w:t xml:space="preserve">No presente estudo objetivou-se elaborar </w:t>
      </w:r>
      <w:r w:rsidR="00B26785">
        <w:rPr>
          <w:sz w:val="24"/>
          <w:szCs w:val="24"/>
        </w:rPr>
        <w:t>e caracterizar físico-quimicamente um</w:t>
      </w:r>
      <w:r w:rsidRPr="00534005">
        <w:rPr>
          <w:sz w:val="24"/>
          <w:szCs w:val="24"/>
        </w:rPr>
        <w:t xml:space="preserve"> néctar</w:t>
      </w:r>
      <w:r w:rsidR="00B26785">
        <w:rPr>
          <w:sz w:val="24"/>
          <w:szCs w:val="24"/>
        </w:rPr>
        <w:t xml:space="preserve"> artesanal</w:t>
      </w:r>
      <w:r w:rsidRPr="00534005">
        <w:rPr>
          <w:sz w:val="24"/>
          <w:szCs w:val="24"/>
        </w:rPr>
        <w:t xml:space="preserve"> </w:t>
      </w:r>
      <w:proofErr w:type="spellStart"/>
      <w:r w:rsidRPr="00534005">
        <w:rPr>
          <w:sz w:val="24"/>
          <w:szCs w:val="24"/>
        </w:rPr>
        <w:t>saborizado</w:t>
      </w:r>
      <w:proofErr w:type="spellEnd"/>
      <w:r w:rsidRPr="00534005">
        <w:rPr>
          <w:sz w:val="24"/>
          <w:szCs w:val="24"/>
        </w:rPr>
        <w:t xml:space="preserve"> com flor de camomila, produzido a partir dos frutos de maracujá BRS Rubi do Cerrado</w:t>
      </w:r>
      <w:r w:rsidR="00B26785">
        <w:rPr>
          <w:sz w:val="24"/>
          <w:szCs w:val="24"/>
        </w:rPr>
        <w:t xml:space="preserve">, </w:t>
      </w:r>
      <w:r w:rsidR="00120D7F">
        <w:rPr>
          <w:sz w:val="24"/>
          <w:szCs w:val="24"/>
        </w:rPr>
        <w:t xml:space="preserve">produzidos no </w:t>
      </w:r>
      <w:r w:rsidR="00B26785" w:rsidRPr="00534005">
        <w:rPr>
          <w:sz w:val="24"/>
          <w:szCs w:val="24"/>
        </w:rPr>
        <w:t>Centro Tecnológico de Agricultura Familiar</w:t>
      </w:r>
      <w:r w:rsidR="00120D7F">
        <w:rPr>
          <w:sz w:val="24"/>
          <w:szCs w:val="24"/>
        </w:rPr>
        <w:t xml:space="preserve"> de Parauapebas-PA</w:t>
      </w:r>
      <w:r w:rsidRPr="00534005">
        <w:rPr>
          <w:sz w:val="24"/>
          <w:szCs w:val="24"/>
        </w:rPr>
        <w:t>. Para obtenção do seguinte produto: néctar, foram elaboradas duas formulações de polpas diluídas em água (F1: 25% de polpa de fruta e 75% de água; F2: 50% de polpa de fruta e 50% de água). Para a caracterização físico-química do</w:t>
      </w:r>
      <w:r w:rsidR="00B26785">
        <w:rPr>
          <w:sz w:val="24"/>
          <w:szCs w:val="24"/>
        </w:rPr>
        <w:t>s</w:t>
      </w:r>
      <w:r w:rsidRPr="00534005">
        <w:rPr>
          <w:sz w:val="24"/>
          <w:szCs w:val="24"/>
        </w:rPr>
        <w:t xml:space="preserve"> produto</w:t>
      </w:r>
      <w:r w:rsidR="00B26785">
        <w:rPr>
          <w:sz w:val="24"/>
          <w:szCs w:val="24"/>
        </w:rPr>
        <w:t>s</w:t>
      </w:r>
      <w:r w:rsidRPr="00534005">
        <w:rPr>
          <w:sz w:val="24"/>
          <w:szCs w:val="24"/>
        </w:rPr>
        <w:t xml:space="preserve"> artesana</w:t>
      </w:r>
      <w:r w:rsidR="00B26785">
        <w:rPr>
          <w:sz w:val="24"/>
          <w:szCs w:val="24"/>
        </w:rPr>
        <w:t>is</w:t>
      </w:r>
      <w:r w:rsidRPr="00534005">
        <w:rPr>
          <w:sz w:val="24"/>
          <w:szCs w:val="24"/>
        </w:rPr>
        <w:t xml:space="preserve"> elaborados foram realizadas as análises de pH, acidez total </w:t>
      </w:r>
      <w:proofErr w:type="spellStart"/>
      <w:r w:rsidRPr="00534005">
        <w:rPr>
          <w:sz w:val="24"/>
          <w:szCs w:val="24"/>
        </w:rPr>
        <w:t>titulável</w:t>
      </w:r>
      <w:proofErr w:type="spellEnd"/>
      <w:r w:rsidRPr="00534005">
        <w:rPr>
          <w:sz w:val="24"/>
          <w:szCs w:val="24"/>
        </w:rPr>
        <w:t xml:space="preserve">, sólidos solúveis totais, umidade, cinzas, teor de proteínas totais, lipídios, carboidratos e o valor energético total. Os resultados das análises físico-químicas do produto néctar foi submetidos à análise de variância através do teste de </w:t>
      </w:r>
      <w:proofErr w:type="spellStart"/>
      <w:r w:rsidRPr="00534005">
        <w:rPr>
          <w:sz w:val="24"/>
          <w:szCs w:val="24"/>
        </w:rPr>
        <w:t>Tukey</w:t>
      </w:r>
      <w:proofErr w:type="spellEnd"/>
      <w:r w:rsidRPr="00534005">
        <w:rPr>
          <w:sz w:val="24"/>
          <w:szCs w:val="24"/>
        </w:rPr>
        <w:t xml:space="preserve"> a 5% de probabilidade. Para os néctares formulados, os valores de pH, sólidos solúveis totais, acidez total </w:t>
      </w:r>
      <w:proofErr w:type="spellStart"/>
      <w:r w:rsidRPr="00534005">
        <w:rPr>
          <w:sz w:val="24"/>
          <w:szCs w:val="24"/>
        </w:rPr>
        <w:t>titulável</w:t>
      </w:r>
      <w:proofErr w:type="spellEnd"/>
      <w:r w:rsidRPr="00534005">
        <w:rPr>
          <w:sz w:val="24"/>
          <w:szCs w:val="24"/>
        </w:rPr>
        <w:t xml:space="preserve"> e umidade estão de acordo com o padrão de identidade e qualidade de néctar, geleia e doce em massa de maracujá definidos pela Agência Nacional de Vigilância Sanitária. E os teores de cinzas e carboidratos para todos os produtos estão conforme dados da TACO. D</w:t>
      </w:r>
      <w:r w:rsidR="006313C8">
        <w:rPr>
          <w:sz w:val="24"/>
          <w:szCs w:val="24"/>
        </w:rPr>
        <w:t>e</w:t>
      </w:r>
      <w:r w:rsidRPr="00534005">
        <w:rPr>
          <w:sz w:val="24"/>
          <w:szCs w:val="24"/>
        </w:rPr>
        <w:t xml:space="preserve"> acordo com os resultados obtidos, os produtos podem se tornar uma opção de aproveitamento integral dos frutos de maracujá pelo Centro Tecnológico de Agricultura Familiar, além de uma fonte alternativa de geração de renda aos agricultores familiares do município de Parauapebas-PA.</w:t>
      </w:r>
    </w:p>
    <w:p w14:paraId="5A864FE8" w14:textId="77777777" w:rsidR="0012462E" w:rsidRPr="004F6258" w:rsidRDefault="0012462E" w:rsidP="0012462E">
      <w:pPr>
        <w:rPr>
          <w:b/>
          <w:bCs/>
          <w:sz w:val="24"/>
          <w:szCs w:val="24"/>
        </w:rPr>
      </w:pPr>
    </w:p>
    <w:p w14:paraId="6DB454F0" w14:textId="77777777" w:rsidR="0012462E" w:rsidRPr="007601E5" w:rsidRDefault="0012462E" w:rsidP="007601E5">
      <w:pPr>
        <w:jc w:val="both"/>
        <w:rPr>
          <w:bCs/>
          <w:sz w:val="24"/>
          <w:szCs w:val="24"/>
        </w:rPr>
      </w:pPr>
      <w:r w:rsidRPr="004F6258">
        <w:rPr>
          <w:b/>
          <w:bCs/>
          <w:sz w:val="24"/>
          <w:szCs w:val="24"/>
        </w:rPr>
        <w:t xml:space="preserve">Palavras-chave: </w:t>
      </w:r>
      <w:proofErr w:type="spellStart"/>
      <w:r w:rsidR="00120D7F">
        <w:rPr>
          <w:bCs/>
          <w:sz w:val="24"/>
          <w:szCs w:val="24"/>
        </w:rPr>
        <w:t>Saborização</w:t>
      </w:r>
      <w:proofErr w:type="spellEnd"/>
      <w:r w:rsidR="007601E5" w:rsidRPr="007601E5">
        <w:rPr>
          <w:bCs/>
          <w:sz w:val="24"/>
          <w:szCs w:val="24"/>
        </w:rPr>
        <w:t xml:space="preserve">. </w:t>
      </w:r>
      <w:r w:rsidR="00120D7F">
        <w:rPr>
          <w:bCs/>
          <w:sz w:val="24"/>
          <w:szCs w:val="24"/>
        </w:rPr>
        <w:t>Produto artesanal. Agricultura familiar.</w:t>
      </w:r>
    </w:p>
    <w:p w14:paraId="3A2B7D57" w14:textId="77777777" w:rsidR="0012462E" w:rsidRDefault="0012462E" w:rsidP="0012462E">
      <w:pPr>
        <w:rPr>
          <w:sz w:val="24"/>
          <w:szCs w:val="24"/>
        </w:rPr>
      </w:pPr>
      <w:r w:rsidRPr="004F6258">
        <w:rPr>
          <w:b/>
          <w:sz w:val="24"/>
          <w:szCs w:val="24"/>
        </w:rPr>
        <w:t>Área de Interesse do Simpósio</w:t>
      </w:r>
      <w:r w:rsidRPr="004F6258">
        <w:rPr>
          <w:sz w:val="24"/>
          <w:szCs w:val="24"/>
        </w:rPr>
        <w:t xml:space="preserve">: </w:t>
      </w:r>
      <w:r w:rsidR="007601E5">
        <w:rPr>
          <w:sz w:val="24"/>
          <w:szCs w:val="24"/>
        </w:rPr>
        <w:t>Ciências e Tecnologias de Alimentos</w:t>
      </w:r>
    </w:p>
    <w:p w14:paraId="317439B7" w14:textId="77777777" w:rsidR="0012462E" w:rsidRDefault="0012462E" w:rsidP="0012462E">
      <w:pPr>
        <w:jc w:val="center"/>
        <w:rPr>
          <w:sz w:val="24"/>
          <w:szCs w:val="28"/>
        </w:rPr>
      </w:pPr>
    </w:p>
    <w:p w14:paraId="52D6E36B" w14:textId="77777777" w:rsidR="000F373C" w:rsidRDefault="000F373C" w:rsidP="0012462E">
      <w:pPr>
        <w:jc w:val="center"/>
        <w:rPr>
          <w:sz w:val="24"/>
          <w:szCs w:val="28"/>
        </w:rPr>
      </w:pPr>
    </w:p>
    <w:p w14:paraId="18DF53B8" w14:textId="77777777" w:rsidR="0012462E" w:rsidRPr="00001E41" w:rsidRDefault="0012462E" w:rsidP="0012462E">
      <w:pPr>
        <w:tabs>
          <w:tab w:val="left" w:pos="1290"/>
        </w:tabs>
        <w:spacing w:after="360"/>
        <w:jc w:val="both"/>
        <w:rPr>
          <w:color w:val="FF0000"/>
          <w:sz w:val="24"/>
          <w:szCs w:val="28"/>
        </w:rPr>
      </w:pPr>
      <w:r>
        <w:rPr>
          <w:b/>
          <w:sz w:val="24"/>
          <w:szCs w:val="24"/>
        </w:rPr>
        <w:t xml:space="preserve">1. </w:t>
      </w:r>
      <w:r w:rsidRPr="00001E41">
        <w:rPr>
          <w:b/>
          <w:sz w:val="24"/>
          <w:szCs w:val="24"/>
        </w:rPr>
        <w:t xml:space="preserve">INTRODUÇÃO </w:t>
      </w:r>
    </w:p>
    <w:p w14:paraId="4A9B7723" w14:textId="594EBCB3" w:rsidR="007601E5" w:rsidRPr="007601E5" w:rsidRDefault="0012462E" w:rsidP="007917D9">
      <w:pPr>
        <w:tabs>
          <w:tab w:val="left" w:pos="709"/>
        </w:tabs>
        <w:spacing w:line="360" w:lineRule="auto"/>
        <w:jc w:val="both"/>
        <w:rPr>
          <w:sz w:val="24"/>
          <w:szCs w:val="24"/>
        </w:rPr>
      </w:pPr>
      <w:r>
        <w:rPr>
          <w:sz w:val="24"/>
          <w:szCs w:val="28"/>
        </w:rPr>
        <w:lastRenderedPageBreak/>
        <w:tab/>
      </w:r>
      <w:r w:rsidR="007601E5" w:rsidRPr="007601E5">
        <w:rPr>
          <w:sz w:val="24"/>
          <w:szCs w:val="24"/>
        </w:rPr>
        <w:t xml:space="preserve">O maracujá pertence à família </w:t>
      </w:r>
      <w:proofErr w:type="spellStart"/>
      <w:r w:rsidR="007601E5" w:rsidRPr="007601E5">
        <w:rPr>
          <w:i/>
          <w:sz w:val="24"/>
          <w:szCs w:val="24"/>
        </w:rPr>
        <w:t>Passifloraceae</w:t>
      </w:r>
      <w:proofErr w:type="spellEnd"/>
      <w:r w:rsidR="007601E5" w:rsidRPr="007601E5">
        <w:rPr>
          <w:sz w:val="24"/>
          <w:szCs w:val="24"/>
        </w:rPr>
        <w:t xml:space="preserve">, do gênero </w:t>
      </w:r>
      <w:r w:rsidR="007601E5" w:rsidRPr="007601E5">
        <w:rPr>
          <w:i/>
          <w:sz w:val="24"/>
          <w:szCs w:val="24"/>
        </w:rPr>
        <w:t>Passiflora</w:t>
      </w:r>
      <w:r w:rsidR="007601E5" w:rsidRPr="007601E5">
        <w:rPr>
          <w:sz w:val="24"/>
          <w:szCs w:val="24"/>
        </w:rPr>
        <w:t xml:space="preserve"> apresenta formato variado, chegando a atingir 9 cm de diâmetro, coloração da polpa de cor amarela a laranja, a qual envolve numerosas sementes ovais de coloração escura, e é conhecido popularmente por suas propriedades medicinais e funcionais, atribuídas a composição de aroma e pigmentos, característicos (SEAGRI, 2008).</w:t>
      </w:r>
    </w:p>
    <w:p w14:paraId="3F989EAA" w14:textId="0482668C" w:rsidR="00E3525B" w:rsidRDefault="007601E5" w:rsidP="006313C8">
      <w:pPr>
        <w:tabs>
          <w:tab w:val="left" w:pos="709"/>
        </w:tabs>
        <w:spacing w:line="360" w:lineRule="auto"/>
        <w:jc w:val="both"/>
        <w:rPr>
          <w:bCs/>
          <w:sz w:val="24"/>
          <w:szCs w:val="24"/>
        </w:rPr>
      </w:pPr>
      <w:r>
        <w:rPr>
          <w:szCs w:val="24"/>
        </w:rPr>
        <w:tab/>
      </w:r>
      <w:r w:rsidR="00E3525B" w:rsidRPr="00E3525B">
        <w:rPr>
          <w:bCs/>
          <w:sz w:val="24"/>
          <w:szCs w:val="24"/>
        </w:rPr>
        <w:t xml:space="preserve">Estudos têm demonstrado efeitos benéficos do consumo de frutas, os quais têm sido atribuídos à presença de nutrientes, como as vitaminas A, C e </w:t>
      </w:r>
      <w:proofErr w:type="spellStart"/>
      <w:r w:rsidR="00E3525B" w:rsidRPr="00E3525B">
        <w:rPr>
          <w:bCs/>
          <w:sz w:val="24"/>
          <w:szCs w:val="24"/>
        </w:rPr>
        <w:t>E</w:t>
      </w:r>
      <w:proofErr w:type="spellEnd"/>
      <w:r w:rsidR="00E3525B" w:rsidRPr="00E3525B">
        <w:rPr>
          <w:bCs/>
          <w:sz w:val="24"/>
          <w:szCs w:val="24"/>
        </w:rPr>
        <w:t xml:space="preserve"> (SILVA et al., 2012; GAO et al., 2012; WANG et al., 2012), e principalmente ao conteúdo de compostos bioativos encontrados nos vegetais (FLORES et al., 2012; LI et al., 2013). O desenvolvimento de novos produtos com elevadas proporções de frutas em suas formulações e</w:t>
      </w:r>
      <w:r w:rsidR="00E3525B">
        <w:rPr>
          <w:bCs/>
          <w:sz w:val="24"/>
          <w:szCs w:val="24"/>
        </w:rPr>
        <w:t xml:space="preserve"> </w:t>
      </w:r>
      <w:r w:rsidR="00E3525B" w:rsidRPr="00E3525B">
        <w:rPr>
          <w:bCs/>
          <w:sz w:val="24"/>
          <w:szCs w:val="24"/>
        </w:rPr>
        <w:t>com boas propriedades funcionais e nutricionais contribui para diversificar as possibilidades de mercado, principalmente, se os produtos forem atrativos, práticos e com maior vida-de-prateleira (MARTÍN-ESPARZA et al., 2011). Devido à diversidade das frutas existentes no território brasileiro e ao fato de que estas apresentam propriedades adequadas para o processamento, além de propriedades funcionais, como é o caso do maracujá, demonstra-se que este é um mercado que tem potencial de crescimento no Brasil (</w:t>
      </w:r>
      <w:r w:rsidR="00E3525B" w:rsidRPr="00E3525B">
        <w:rPr>
          <w:sz w:val="24"/>
          <w:szCs w:val="24"/>
        </w:rPr>
        <w:t>GARCIA et al., 2017)</w:t>
      </w:r>
      <w:r w:rsidR="00E3525B" w:rsidRPr="00E3525B">
        <w:rPr>
          <w:bCs/>
          <w:sz w:val="24"/>
          <w:szCs w:val="24"/>
        </w:rPr>
        <w:t>.</w:t>
      </w:r>
    </w:p>
    <w:p w14:paraId="6207A7D3" w14:textId="4C3EE09E" w:rsidR="006313C8" w:rsidRDefault="006313C8" w:rsidP="006313C8">
      <w:pPr>
        <w:tabs>
          <w:tab w:val="left" w:pos="709"/>
        </w:tabs>
        <w:spacing w:line="360" w:lineRule="auto"/>
        <w:jc w:val="both"/>
        <w:rPr>
          <w:sz w:val="24"/>
          <w:szCs w:val="24"/>
        </w:rPr>
      </w:pPr>
      <w:r>
        <w:rPr>
          <w:sz w:val="24"/>
          <w:szCs w:val="24"/>
        </w:rPr>
        <w:tab/>
      </w:r>
      <w:r w:rsidRPr="007601E5">
        <w:rPr>
          <w:sz w:val="24"/>
          <w:szCs w:val="24"/>
        </w:rPr>
        <w:t>O desenvolvimento de novos produtos no mercado pode estimular pequenas agroindústrias, aumentando seu potencial produtivo e, competitivo e promovendo o aparecimento de outras empresas do ramo (PRATI et al., 2004).</w:t>
      </w:r>
    </w:p>
    <w:p w14:paraId="2374CFEF" w14:textId="5DF2E8CD" w:rsidR="004B417E" w:rsidRDefault="004B417E" w:rsidP="004B417E">
      <w:pPr>
        <w:spacing w:line="360" w:lineRule="auto"/>
        <w:ind w:firstLine="708"/>
        <w:jc w:val="both"/>
        <w:rPr>
          <w:sz w:val="24"/>
          <w:szCs w:val="24"/>
        </w:rPr>
      </w:pPr>
      <w:r w:rsidRPr="004B417E">
        <w:rPr>
          <w:bCs/>
          <w:sz w:val="24"/>
          <w:szCs w:val="24"/>
        </w:rPr>
        <w:t xml:space="preserve">O mercado brasileiro de bebidas não alcoólicas está em plena expansão já há alguns anos, particularmente o de sucos e néctares de frutas e de bebidas à base de soja. Entretanto, estas últimas vêm sendo associadas a uma característica negativa, quanto à sua composição, pois possuem ao redor de 15 proteínas que podem causar alergias: a P34 e as globulinas 2S, 7S, e 11S, o que é motivo de preocupação para os especialistas. A alergia alimentar é uma reação anormal em relação a algum componente presente no alimento, principalmente proteínas, provocando reações desagradáveis (SILVA et al., 2015). O processo de </w:t>
      </w:r>
      <w:proofErr w:type="spellStart"/>
      <w:r w:rsidRPr="004B417E">
        <w:rPr>
          <w:bCs/>
          <w:sz w:val="24"/>
          <w:szCs w:val="24"/>
        </w:rPr>
        <w:t>saborização</w:t>
      </w:r>
      <w:proofErr w:type="spellEnd"/>
      <w:r w:rsidRPr="004B417E">
        <w:rPr>
          <w:bCs/>
          <w:sz w:val="24"/>
          <w:szCs w:val="24"/>
        </w:rPr>
        <w:t xml:space="preserve"> com frutas e plantas medicinais é desconhecido e surge como uma alternativa no mercado, como o maracujá e a camomila, facilitaria também a inserção deste novo produto desenvolvido, além de, com a incorporação destes às formulações, há-se um ganho em relação ao aporte de substâncias essenciais na dieta humana, dentre as quais poderíamos citar a vitamina C e os carotenoides </w:t>
      </w:r>
      <w:r w:rsidRPr="004B417E">
        <w:rPr>
          <w:bCs/>
          <w:sz w:val="24"/>
          <w:szCs w:val="24"/>
        </w:rPr>
        <w:lastRenderedPageBreak/>
        <w:t xml:space="preserve">(SANTOS et al., 2010; JUNIOR et al. 2007). </w:t>
      </w:r>
      <w:r w:rsidRPr="004B417E">
        <w:rPr>
          <w:sz w:val="24"/>
          <w:szCs w:val="24"/>
        </w:rPr>
        <w:t>Segundo a Instrução Normativa nº 12, de 4 de setembro de 2003, o néctar de maracujá deve conter no mínimo 10% (m/v) de suco ou polpa da respectiva fruta, com a cor variando de amarela a alaranjada (MAPA, 2003a).</w:t>
      </w:r>
    </w:p>
    <w:p w14:paraId="42606F0E" w14:textId="77777777" w:rsidR="006313C8" w:rsidRDefault="006313C8" w:rsidP="006313C8">
      <w:pPr>
        <w:spacing w:line="360" w:lineRule="auto"/>
        <w:ind w:firstLine="708"/>
        <w:jc w:val="both"/>
        <w:rPr>
          <w:sz w:val="24"/>
          <w:szCs w:val="24"/>
        </w:rPr>
      </w:pPr>
      <w:r w:rsidRPr="00A338D9">
        <w:rPr>
          <w:sz w:val="24"/>
          <w:szCs w:val="24"/>
        </w:rPr>
        <w:t>O presente trabalho teve como finalidade desenvolver</w:t>
      </w:r>
      <w:r>
        <w:rPr>
          <w:sz w:val="24"/>
          <w:szCs w:val="24"/>
        </w:rPr>
        <w:t xml:space="preserve"> e caracterizar físico-quimicamente duas formulações de néctar </w:t>
      </w:r>
      <w:r w:rsidRPr="00A338D9">
        <w:rPr>
          <w:sz w:val="24"/>
          <w:szCs w:val="24"/>
        </w:rPr>
        <w:t>a partir do maracujá produzido pelo Centro Tecnológico de Agricultura Familiar de Parauapebas (CETAF-Parauapebas), a utilização dos frutos como uma alternativa para melhor aproveitamento tecnológico dessa matéria-prima, com agregação de valor para as frutas produzidas na região, gerando renda para as populações assistidas pelo mesmo.</w:t>
      </w:r>
    </w:p>
    <w:p w14:paraId="5359B666" w14:textId="77777777" w:rsidR="000F373C" w:rsidRPr="004B417E" w:rsidRDefault="000F373C" w:rsidP="004B417E">
      <w:pPr>
        <w:spacing w:line="360" w:lineRule="auto"/>
        <w:ind w:firstLine="708"/>
        <w:jc w:val="both"/>
        <w:rPr>
          <w:b/>
          <w:bCs/>
          <w:sz w:val="24"/>
          <w:szCs w:val="24"/>
        </w:rPr>
      </w:pPr>
    </w:p>
    <w:p w14:paraId="33B75833" w14:textId="77777777" w:rsidR="004B417E" w:rsidRDefault="0012462E" w:rsidP="004B417E">
      <w:pPr>
        <w:tabs>
          <w:tab w:val="left" w:pos="1290"/>
        </w:tabs>
        <w:spacing w:after="360"/>
        <w:jc w:val="both"/>
        <w:rPr>
          <w:b/>
          <w:sz w:val="24"/>
          <w:szCs w:val="24"/>
        </w:rPr>
      </w:pPr>
      <w:r>
        <w:rPr>
          <w:b/>
          <w:sz w:val="24"/>
          <w:szCs w:val="24"/>
        </w:rPr>
        <w:t xml:space="preserve">2. </w:t>
      </w:r>
      <w:r w:rsidR="004B417E" w:rsidRPr="00001E41">
        <w:rPr>
          <w:b/>
          <w:sz w:val="24"/>
          <w:szCs w:val="24"/>
        </w:rPr>
        <w:t>MATERIAL E MÉTODOS</w:t>
      </w:r>
    </w:p>
    <w:p w14:paraId="1BBF5AA5" w14:textId="77777777" w:rsidR="005B2DA8" w:rsidRDefault="00120D7F" w:rsidP="006313C8">
      <w:pPr>
        <w:tabs>
          <w:tab w:val="left" w:pos="709"/>
        </w:tabs>
        <w:spacing w:line="360" w:lineRule="auto"/>
        <w:jc w:val="both"/>
        <w:rPr>
          <w:bCs/>
          <w:sz w:val="24"/>
          <w:szCs w:val="24"/>
        </w:rPr>
      </w:pPr>
      <w:r>
        <w:rPr>
          <w:sz w:val="24"/>
          <w:szCs w:val="24"/>
        </w:rPr>
        <w:tab/>
      </w:r>
      <w:r w:rsidR="005B2DA8" w:rsidRPr="005B2DA8">
        <w:rPr>
          <w:sz w:val="24"/>
          <w:szCs w:val="24"/>
        </w:rPr>
        <w:t xml:space="preserve">Os frutos de maracujá da cultivar BRS Rubi do Cerrado foram coletados no Centro Tecnológico de Agricultura Familiar de Parauapebas-PA, </w:t>
      </w:r>
      <w:r w:rsidR="005B2DA8" w:rsidRPr="005B2DA8">
        <w:rPr>
          <w:color w:val="222222"/>
          <w:sz w:val="24"/>
          <w:szCs w:val="24"/>
          <w:shd w:val="clear" w:color="auto" w:fill="FFFFFF"/>
        </w:rPr>
        <w:t>com as seguintes coordenadas geográficas:</w:t>
      </w:r>
      <w:r w:rsidR="005B2DA8" w:rsidRPr="005B2DA8">
        <w:rPr>
          <w:sz w:val="24"/>
          <w:szCs w:val="24"/>
        </w:rPr>
        <w:t xml:space="preserve"> </w:t>
      </w:r>
      <w:r w:rsidR="005B2DA8" w:rsidRPr="005B2DA8">
        <w:rPr>
          <w:color w:val="222222"/>
          <w:sz w:val="24"/>
          <w:szCs w:val="24"/>
          <w:shd w:val="clear" w:color="auto" w:fill="FFFFFF"/>
        </w:rPr>
        <w:t>06º 03’ 30” de latitude Sul e 49º 55’ 15” de longitude a Oeste</w:t>
      </w:r>
      <w:r w:rsidR="005B2DA8" w:rsidRPr="005B2DA8">
        <w:rPr>
          <w:sz w:val="24"/>
          <w:szCs w:val="24"/>
        </w:rPr>
        <w:t xml:space="preserve"> colhidos aos 6 meses após plantio.</w:t>
      </w:r>
      <w:bookmarkStart w:id="1" w:name="_Hlk521671909"/>
      <w:r w:rsidR="005B2DA8">
        <w:rPr>
          <w:sz w:val="24"/>
          <w:szCs w:val="24"/>
        </w:rPr>
        <w:t xml:space="preserve"> </w:t>
      </w:r>
      <w:r w:rsidR="005B2DA8" w:rsidRPr="005B2DA8">
        <w:rPr>
          <w:color w:val="000000"/>
          <w:sz w:val="24"/>
          <w:szCs w:val="24"/>
        </w:rPr>
        <w:t>Para a elaboração do produto</w:t>
      </w:r>
      <w:r w:rsidR="005B2DA8">
        <w:rPr>
          <w:color w:val="000000"/>
          <w:sz w:val="24"/>
          <w:szCs w:val="24"/>
        </w:rPr>
        <w:t xml:space="preserve"> artesanal </w:t>
      </w:r>
      <w:r w:rsidR="005B2DA8" w:rsidRPr="005B2DA8">
        <w:rPr>
          <w:color w:val="000000"/>
          <w:sz w:val="24"/>
          <w:szCs w:val="24"/>
        </w:rPr>
        <w:t>néctar</w:t>
      </w:r>
      <w:r w:rsidR="005B2DA8">
        <w:rPr>
          <w:color w:val="000000"/>
          <w:sz w:val="24"/>
          <w:szCs w:val="24"/>
        </w:rPr>
        <w:t xml:space="preserve">, </w:t>
      </w:r>
      <w:r w:rsidR="005B2DA8" w:rsidRPr="005B2DA8">
        <w:rPr>
          <w:color w:val="000000"/>
          <w:sz w:val="24"/>
          <w:szCs w:val="24"/>
        </w:rPr>
        <w:t>foram utilizadas as seguintes matérias primas: polpa extraíd</w:t>
      </w:r>
      <w:r>
        <w:rPr>
          <w:color w:val="000000"/>
          <w:sz w:val="24"/>
          <w:szCs w:val="24"/>
        </w:rPr>
        <w:t>a</w:t>
      </w:r>
      <w:r w:rsidR="005B2DA8" w:rsidRPr="005B2DA8">
        <w:rPr>
          <w:color w:val="000000"/>
          <w:sz w:val="24"/>
          <w:szCs w:val="24"/>
        </w:rPr>
        <w:t xml:space="preserve"> dos frutos de maracujá da cultivar </w:t>
      </w:r>
      <w:r w:rsidR="005B2DA8" w:rsidRPr="005B2DA8">
        <w:rPr>
          <w:sz w:val="24"/>
          <w:szCs w:val="24"/>
        </w:rPr>
        <w:t>BRS Rubi do Cerrado;</w:t>
      </w:r>
      <w:r w:rsidR="005B2DA8" w:rsidRPr="005B2DA8">
        <w:rPr>
          <w:color w:val="000000"/>
          <w:sz w:val="24"/>
          <w:szCs w:val="24"/>
        </w:rPr>
        <w:t xml:space="preserve"> </w:t>
      </w:r>
      <w:r w:rsidR="005B2DA8" w:rsidRPr="005B2DA8">
        <w:rPr>
          <w:bCs/>
          <w:sz w:val="24"/>
          <w:szCs w:val="24"/>
        </w:rPr>
        <w:t>açúcar cristal e flor de camomila desidratada, comercializados nos supermercados de Parauapebas-PA.</w:t>
      </w:r>
    </w:p>
    <w:p w14:paraId="170535AC" w14:textId="77777777" w:rsidR="005B2DA8" w:rsidRDefault="00120D7F" w:rsidP="000F373C">
      <w:pPr>
        <w:spacing w:line="360" w:lineRule="auto"/>
        <w:ind w:right="-261" w:firstLine="708"/>
        <w:jc w:val="both"/>
        <w:rPr>
          <w:sz w:val="24"/>
          <w:szCs w:val="24"/>
        </w:rPr>
      </w:pPr>
      <w:r>
        <w:rPr>
          <w:sz w:val="24"/>
          <w:szCs w:val="24"/>
        </w:rPr>
        <w:t>As formulações</w:t>
      </w:r>
      <w:r w:rsidR="005B2DA8">
        <w:rPr>
          <w:sz w:val="24"/>
          <w:szCs w:val="24"/>
        </w:rPr>
        <w:t xml:space="preserve"> elaborad</w:t>
      </w:r>
      <w:r>
        <w:rPr>
          <w:sz w:val="24"/>
          <w:szCs w:val="24"/>
        </w:rPr>
        <w:t>as de</w:t>
      </w:r>
      <w:r w:rsidR="005B2DA8">
        <w:rPr>
          <w:sz w:val="24"/>
          <w:szCs w:val="24"/>
        </w:rPr>
        <w:t xml:space="preserve"> néctar</w:t>
      </w:r>
      <w:r>
        <w:rPr>
          <w:sz w:val="24"/>
          <w:szCs w:val="24"/>
        </w:rPr>
        <w:t xml:space="preserve"> de maracujá</w:t>
      </w:r>
      <w:r w:rsidR="005B2DA8">
        <w:rPr>
          <w:sz w:val="24"/>
          <w:szCs w:val="24"/>
        </w:rPr>
        <w:t xml:space="preserve"> </w:t>
      </w:r>
      <w:proofErr w:type="spellStart"/>
      <w:r>
        <w:rPr>
          <w:sz w:val="24"/>
          <w:szCs w:val="24"/>
        </w:rPr>
        <w:t>saborizad</w:t>
      </w:r>
      <w:r w:rsidR="00950987">
        <w:rPr>
          <w:sz w:val="24"/>
          <w:szCs w:val="24"/>
        </w:rPr>
        <w:t>as</w:t>
      </w:r>
      <w:proofErr w:type="spellEnd"/>
      <w:r>
        <w:rPr>
          <w:sz w:val="24"/>
          <w:szCs w:val="24"/>
        </w:rPr>
        <w:t xml:space="preserve"> </w:t>
      </w:r>
      <w:r w:rsidR="005B2DA8" w:rsidRPr="005B2DA8">
        <w:rPr>
          <w:sz w:val="24"/>
          <w:szCs w:val="24"/>
        </w:rPr>
        <w:t xml:space="preserve">com </w:t>
      </w:r>
      <w:r>
        <w:rPr>
          <w:sz w:val="24"/>
          <w:szCs w:val="24"/>
        </w:rPr>
        <w:t xml:space="preserve">flor de </w:t>
      </w:r>
      <w:r w:rsidR="005B2DA8" w:rsidRPr="005B2DA8">
        <w:rPr>
          <w:sz w:val="24"/>
          <w:szCs w:val="24"/>
        </w:rPr>
        <w:t>camomila, foram desenvolvid</w:t>
      </w:r>
      <w:r>
        <w:rPr>
          <w:sz w:val="24"/>
          <w:szCs w:val="24"/>
        </w:rPr>
        <w:t>a</w:t>
      </w:r>
      <w:r w:rsidR="005B2DA8" w:rsidRPr="005B2DA8">
        <w:rPr>
          <w:sz w:val="24"/>
          <w:szCs w:val="24"/>
        </w:rPr>
        <w:t xml:space="preserve">s na Universidade Federal Rural da Amazônia, no Campus de Parauapebas Pará, localizada nas coordenadas geodésicas 49°51’19” W latitude, 06°12’58” S longitude, com altitude de 197m (com auxílio do GPS portátil, modelo </w:t>
      </w:r>
      <w:proofErr w:type="spellStart"/>
      <w:r w:rsidR="005B2DA8" w:rsidRPr="005B2DA8">
        <w:rPr>
          <w:sz w:val="24"/>
          <w:szCs w:val="24"/>
        </w:rPr>
        <w:t>eTrex</w:t>
      </w:r>
      <w:proofErr w:type="spellEnd"/>
      <w:r w:rsidR="005B2DA8" w:rsidRPr="005B2DA8">
        <w:rPr>
          <w:sz w:val="24"/>
          <w:szCs w:val="24"/>
        </w:rPr>
        <w:t xml:space="preserve"> 10, marca </w:t>
      </w:r>
      <w:proofErr w:type="spellStart"/>
      <w:r w:rsidR="005B2DA8" w:rsidRPr="005B2DA8">
        <w:rPr>
          <w:sz w:val="24"/>
          <w:szCs w:val="24"/>
        </w:rPr>
        <w:t>Garmin</w:t>
      </w:r>
      <w:proofErr w:type="spellEnd"/>
      <w:r w:rsidR="005B2DA8" w:rsidRPr="005B2DA8">
        <w:rPr>
          <w:sz w:val="24"/>
          <w:szCs w:val="24"/>
        </w:rPr>
        <w:t>), assim como todas as análises físicas</w:t>
      </w:r>
      <w:r>
        <w:rPr>
          <w:sz w:val="24"/>
          <w:szCs w:val="24"/>
        </w:rPr>
        <w:t xml:space="preserve"> e</w:t>
      </w:r>
      <w:r w:rsidR="005B2DA8" w:rsidRPr="005B2DA8">
        <w:rPr>
          <w:sz w:val="24"/>
          <w:szCs w:val="24"/>
        </w:rPr>
        <w:t xml:space="preserve"> químicas</w:t>
      </w:r>
      <w:r>
        <w:rPr>
          <w:sz w:val="24"/>
          <w:szCs w:val="24"/>
        </w:rPr>
        <w:t>.</w:t>
      </w:r>
      <w:r w:rsidR="005B2DA8">
        <w:rPr>
          <w:sz w:val="24"/>
          <w:szCs w:val="24"/>
        </w:rPr>
        <w:t xml:space="preserve"> </w:t>
      </w:r>
      <w:r w:rsidR="005B2DA8" w:rsidRPr="005B2DA8">
        <w:rPr>
          <w:sz w:val="24"/>
          <w:szCs w:val="24"/>
        </w:rPr>
        <w:t>O período de realização do trabalho foi de março a julho</w:t>
      </w:r>
      <w:r w:rsidR="005B2DA8" w:rsidRPr="005B2DA8">
        <w:rPr>
          <w:bCs/>
          <w:sz w:val="24"/>
          <w:szCs w:val="24"/>
        </w:rPr>
        <w:t xml:space="preserve"> 2018</w:t>
      </w:r>
      <w:r w:rsidR="005B2DA8" w:rsidRPr="005B2DA8">
        <w:rPr>
          <w:sz w:val="24"/>
          <w:szCs w:val="24"/>
        </w:rPr>
        <w:t>. Para as formulações de néctar</w:t>
      </w:r>
      <w:r>
        <w:rPr>
          <w:sz w:val="24"/>
          <w:szCs w:val="24"/>
        </w:rPr>
        <w:t xml:space="preserve"> </w:t>
      </w:r>
      <w:r w:rsidR="005B2DA8" w:rsidRPr="005B2DA8">
        <w:rPr>
          <w:sz w:val="24"/>
          <w:szCs w:val="24"/>
        </w:rPr>
        <w:t>de maracujá com camomila adequadas, foram realizados vários testes com diferentes concentrações de cada matéria prima empregada.</w:t>
      </w:r>
    </w:p>
    <w:p w14:paraId="3DE8D722" w14:textId="77777777" w:rsidR="005B2DA8" w:rsidRDefault="005B2DA8" w:rsidP="005B2DA8">
      <w:pPr>
        <w:tabs>
          <w:tab w:val="left" w:pos="9639"/>
        </w:tabs>
        <w:spacing w:line="360" w:lineRule="auto"/>
        <w:ind w:right="4" w:firstLine="709"/>
        <w:contextualSpacing/>
        <w:jc w:val="both"/>
        <w:rPr>
          <w:szCs w:val="24"/>
        </w:rPr>
      </w:pPr>
      <w:r w:rsidRPr="005B2DA8">
        <w:rPr>
          <w:sz w:val="24"/>
          <w:szCs w:val="24"/>
        </w:rPr>
        <w:t xml:space="preserve">Os frutos selecionados foram lavados, </w:t>
      </w:r>
      <w:proofErr w:type="spellStart"/>
      <w:r w:rsidRPr="005B2DA8">
        <w:rPr>
          <w:sz w:val="24"/>
          <w:szCs w:val="24"/>
        </w:rPr>
        <w:t>sanitizados</w:t>
      </w:r>
      <w:proofErr w:type="spellEnd"/>
      <w:r w:rsidRPr="005B2DA8">
        <w:rPr>
          <w:sz w:val="24"/>
          <w:szCs w:val="24"/>
        </w:rPr>
        <w:t xml:space="preserve"> por imersão em solução com hipoclorito de sódio (200 mg/L) durante 15 minutos e novamente imersos em água por 15 minutos, separadamente. Em seguida, as amostras dos frutos foram manualmente separadas da polpa, batidas em liquidificador, peneiradas e </w:t>
      </w:r>
      <w:r w:rsidRPr="005B2DA8">
        <w:rPr>
          <w:color w:val="000000"/>
          <w:sz w:val="24"/>
          <w:szCs w:val="24"/>
        </w:rPr>
        <w:t xml:space="preserve">embaladas em sacos plásticos de polietileno de 1 Kg e congeladas a –20 </w:t>
      </w:r>
      <w:proofErr w:type="spellStart"/>
      <w:r w:rsidRPr="005B2DA8">
        <w:rPr>
          <w:color w:val="000000"/>
          <w:sz w:val="24"/>
          <w:szCs w:val="24"/>
        </w:rPr>
        <w:t>ºC</w:t>
      </w:r>
      <w:proofErr w:type="spellEnd"/>
      <w:r w:rsidRPr="005B2DA8">
        <w:rPr>
          <w:color w:val="000000"/>
          <w:sz w:val="24"/>
          <w:szCs w:val="24"/>
        </w:rPr>
        <w:t xml:space="preserve"> </w:t>
      </w:r>
      <w:r w:rsidRPr="005B2DA8">
        <w:rPr>
          <w:sz w:val="24"/>
          <w:szCs w:val="24"/>
        </w:rPr>
        <w:t>para serem utilizada nas análises físico-químicas e no processamento dos produtos artesanais</w:t>
      </w:r>
      <w:r w:rsidRPr="00826F39">
        <w:rPr>
          <w:szCs w:val="24"/>
        </w:rPr>
        <w:t>.</w:t>
      </w:r>
    </w:p>
    <w:p w14:paraId="2892106A" w14:textId="77777777" w:rsidR="005B2DA8" w:rsidRPr="005B2DA8" w:rsidRDefault="00120D7F" w:rsidP="005B2DA8">
      <w:pPr>
        <w:autoSpaceDE w:val="0"/>
        <w:autoSpaceDN w:val="0"/>
        <w:adjustRightInd w:val="0"/>
        <w:spacing w:line="360" w:lineRule="auto"/>
        <w:ind w:firstLine="708"/>
        <w:jc w:val="both"/>
        <w:rPr>
          <w:sz w:val="24"/>
          <w:szCs w:val="24"/>
        </w:rPr>
      </w:pPr>
      <w:r>
        <w:rPr>
          <w:sz w:val="24"/>
          <w:szCs w:val="24"/>
        </w:rPr>
        <w:lastRenderedPageBreak/>
        <w:t xml:space="preserve">Os </w:t>
      </w:r>
      <w:r w:rsidR="005B2DA8" w:rsidRPr="005B2DA8">
        <w:rPr>
          <w:sz w:val="24"/>
          <w:szCs w:val="24"/>
        </w:rPr>
        <w:t>néctar</w:t>
      </w:r>
      <w:r>
        <w:rPr>
          <w:sz w:val="24"/>
          <w:szCs w:val="24"/>
        </w:rPr>
        <w:t>es</w:t>
      </w:r>
      <w:r w:rsidR="005B2DA8" w:rsidRPr="005B2DA8">
        <w:rPr>
          <w:sz w:val="24"/>
          <w:szCs w:val="24"/>
        </w:rPr>
        <w:t xml:space="preserve"> elaborado</w:t>
      </w:r>
      <w:r>
        <w:rPr>
          <w:sz w:val="24"/>
          <w:szCs w:val="24"/>
        </w:rPr>
        <w:t>s</w:t>
      </w:r>
      <w:r w:rsidR="005B2DA8" w:rsidRPr="005B2DA8">
        <w:rPr>
          <w:sz w:val="24"/>
          <w:szCs w:val="24"/>
        </w:rPr>
        <w:t xml:space="preserve"> </w:t>
      </w:r>
      <w:r>
        <w:rPr>
          <w:sz w:val="24"/>
          <w:szCs w:val="24"/>
        </w:rPr>
        <w:t xml:space="preserve">apresentaram </w:t>
      </w:r>
      <w:r w:rsidR="005B2DA8" w:rsidRPr="005B2DA8">
        <w:rPr>
          <w:sz w:val="24"/>
          <w:szCs w:val="24"/>
        </w:rPr>
        <w:t xml:space="preserve">duas formulações (F1: 25% de polpa de fruta: </w:t>
      </w:r>
      <w:r w:rsidR="005B2DA8" w:rsidRPr="005B2DA8">
        <w:rPr>
          <w:color w:val="000000"/>
          <w:sz w:val="24"/>
          <w:szCs w:val="24"/>
        </w:rPr>
        <w:t>75% de água</w:t>
      </w:r>
      <w:r w:rsidR="005B2DA8" w:rsidRPr="005B2DA8">
        <w:rPr>
          <w:sz w:val="24"/>
          <w:szCs w:val="24"/>
        </w:rPr>
        <w:t xml:space="preserve">; F2: 50% de polpa de fruta: </w:t>
      </w:r>
      <w:r w:rsidR="005B2DA8" w:rsidRPr="005B2DA8">
        <w:rPr>
          <w:color w:val="000000"/>
          <w:sz w:val="24"/>
          <w:szCs w:val="24"/>
        </w:rPr>
        <w:t>50% de água</w:t>
      </w:r>
      <w:r w:rsidR="005B2DA8" w:rsidRPr="005B2DA8">
        <w:rPr>
          <w:sz w:val="24"/>
          <w:szCs w:val="24"/>
        </w:rPr>
        <w:t xml:space="preserve">). Na </w:t>
      </w:r>
      <w:r w:rsidR="005B2DA8" w:rsidRPr="00120D7F">
        <w:rPr>
          <w:sz w:val="24"/>
          <w:szCs w:val="24"/>
        </w:rPr>
        <w:t xml:space="preserve">Figura </w:t>
      </w:r>
      <w:r w:rsidR="008F29EB" w:rsidRPr="00120D7F">
        <w:rPr>
          <w:sz w:val="24"/>
          <w:szCs w:val="24"/>
        </w:rPr>
        <w:t>1</w:t>
      </w:r>
      <w:r w:rsidR="005B2DA8" w:rsidRPr="00120D7F">
        <w:rPr>
          <w:sz w:val="24"/>
          <w:szCs w:val="24"/>
        </w:rPr>
        <w:t xml:space="preserve"> o fluxograma </w:t>
      </w:r>
      <w:r w:rsidR="005B2DA8" w:rsidRPr="005B2DA8">
        <w:rPr>
          <w:sz w:val="24"/>
          <w:szCs w:val="24"/>
        </w:rPr>
        <w:t>do processo do produto</w:t>
      </w:r>
      <w:r w:rsidR="008F29EB">
        <w:rPr>
          <w:sz w:val="24"/>
          <w:szCs w:val="24"/>
        </w:rPr>
        <w:t xml:space="preserve"> artesanal</w:t>
      </w:r>
      <w:r w:rsidR="005B2DA8" w:rsidRPr="005B2DA8">
        <w:rPr>
          <w:sz w:val="24"/>
          <w:szCs w:val="24"/>
        </w:rPr>
        <w:t xml:space="preserve"> está descrito e podem ser visualizadas as etapas realizadas no processamento dos mesmos.</w:t>
      </w:r>
    </w:p>
    <w:p w14:paraId="068C7CEA" w14:textId="77777777" w:rsidR="005B2DA8" w:rsidRPr="005B2DA8" w:rsidRDefault="005B2DA8" w:rsidP="005B2DA8">
      <w:pPr>
        <w:spacing w:line="360" w:lineRule="auto"/>
        <w:ind w:right="-261" w:firstLine="708"/>
        <w:jc w:val="both"/>
        <w:rPr>
          <w:sz w:val="24"/>
          <w:szCs w:val="24"/>
        </w:rPr>
      </w:pPr>
      <w:r w:rsidRPr="005B2DA8">
        <w:rPr>
          <w:color w:val="000000"/>
          <w:sz w:val="24"/>
          <w:szCs w:val="24"/>
        </w:rPr>
        <w:t xml:space="preserve">Para as formulações dos néctares, as polpas diluídas (F1 e F2) foram acrescidas em função do teor de sólidos solúveis, segundo o cálculo, a quantidade de açúcar suficiente para elevar o teor de sólidos para 17 </w:t>
      </w:r>
      <w:proofErr w:type="spellStart"/>
      <w:r w:rsidRPr="005B2DA8">
        <w:rPr>
          <w:color w:val="000000"/>
          <w:sz w:val="24"/>
          <w:szCs w:val="24"/>
        </w:rPr>
        <w:t>ºBrix</w:t>
      </w:r>
      <w:proofErr w:type="spellEnd"/>
      <w:r w:rsidRPr="005B2DA8">
        <w:rPr>
          <w:color w:val="000000"/>
          <w:sz w:val="24"/>
          <w:szCs w:val="24"/>
        </w:rPr>
        <w:t xml:space="preserve"> </w:t>
      </w:r>
      <w:r w:rsidRPr="005B2DA8">
        <w:rPr>
          <w:sz w:val="24"/>
          <w:szCs w:val="24"/>
        </w:rPr>
        <w:t>por balanço de massa.</w:t>
      </w:r>
      <w:r w:rsidRPr="005B2DA8">
        <w:rPr>
          <w:color w:val="000000"/>
          <w:sz w:val="24"/>
          <w:szCs w:val="24"/>
        </w:rPr>
        <w:t xml:space="preserve"> Também foi adicionada às bebidas 0,25% de flor de camomila desidratada. Os néctares foram pasteurizados a 90 °C por 30 segundos, para a limpidez das bebidas foi realizada a </w:t>
      </w:r>
      <w:r w:rsidRPr="005B2DA8">
        <w:rPr>
          <w:sz w:val="24"/>
          <w:szCs w:val="24"/>
        </w:rPr>
        <w:t>filtração</w:t>
      </w:r>
      <w:r w:rsidRPr="005B2DA8">
        <w:rPr>
          <w:color w:val="000000"/>
          <w:sz w:val="24"/>
          <w:szCs w:val="24"/>
        </w:rPr>
        <w:t xml:space="preserve">. </w:t>
      </w:r>
      <w:r w:rsidRPr="005B2DA8">
        <w:rPr>
          <w:sz w:val="24"/>
          <w:szCs w:val="24"/>
        </w:rPr>
        <w:t>Envazados</w:t>
      </w:r>
      <w:r w:rsidRPr="005B2DA8">
        <w:rPr>
          <w:color w:val="000000"/>
          <w:sz w:val="24"/>
          <w:szCs w:val="24"/>
        </w:rPr>
        <w:t xml:space="preserve"> e mantidos sob refrigeração a 8 </w:t>
      </w:r>
      <w:proofErr w:type="spellStart"/>
      <w:r w:rsidRPr="005B2DA8">
        <w:rPr>
          <w:color w:val="000000"/>
          <w:sz w:val="24"/>
          <w:szCs w:val="24"/>
        </w:rPr>
        <w:t>ºC</w:t>
      </w:r>
      <w:proofErr w:type="spellEnd"/>
      <w:r w:rsidRPr="005B2DA8">
        <w:rPr>
          <w:color w:val="000000"/>
          <w:sz w:val="24"/>
          <w:szCs w:val="24"/>
        </w:rPr>
        <w:t xml:space="preserve"> até o momento das análises.</w:t>
      </w:r>
    </w:p>
    <w:p w14:paraId="56A0DEA5" w14:textId="77777777" w:rsidR="00DF6850" w:rsidRPr="00DF6850" w:rsidRDefault="00DF6850" w:rsidP="00DF6850">
      <w:pPr>
        <w:spacing w:line="360" w:lineRule="auto"/>
        <w:ind w:firstLine="708"/>
        <w:jc w:val="both"/>
        <w:rPr>
          <w:bCs/>
          <w:sz w:val="24"/>
          <w:szCs w:val="24"/>
        </w:rPr>
      </w:pPr>
      <w:r w:rsidRPr="00DF6850">
        <w:rPr>
          <w:bCs/>
          <w:sz w:val="24"/>
          <w:szCs w:val="24"/>
        </w:rPr>
        <w:t xml:space="preserve">Calculou-se a quantidade de sacarose suficiente para elevar o teor de sólidos solúveis do néctar 17 </w:t>
      </w:r>
      <w:proofErr w:type="spellStart"/>
      <w:r w:rsidRPr="00DF6850">
        <w:rPr>
          <w:bCs/>
          <w:sz w:val="24"/>
          <w:szCs w:val="24"/>
        </w:rPr>
        <w:t>ºBrix</w:t>
      </w:r>
      <w:proofErr w:type="spellEnd"/>
      <w:r w:rsidRPr="00DF6850">
        <w:rPr>
          <w:bCs/>
          <w:sz w:val="24"/>
          <w:szCs w:val="24"/>
        </w:rPr>
        <w:t xml:space="preserve">, utilizando-se o cálculo de balanço de massa: </w:t>
      </w:r>
      <w:proofErr w:type="spellStart"/>
      <w:r w:rsidRPr="00DF6850">
        <w:rPr>
          <w:bCs/>
          <w:sz w:val="24"/>
          <w:szCs w:val="24"/>
        </w:rPr>
        <w:t>M</w:t>
      </w:r>
      <w:r w:rsidRPr="00DF6850">
        <w:rPr>
          <w:bCs/>
          <w:sz w:val="24"/>
          <w:szCs w:val="24"/>
          <w:vertAlign w:val="subscript"/>
        </w:rPr>
        <w:t>p</w:t>
      </w:r>
      <w:proofErr w:type="spellEnd"/>
      <w:r w:rsidRPr="00DF6850">
        <w:rPr>
          <w:bCs/>
          <w:sz w:val="24"/>
          <w:szCs w:val="24"/>
        </w:rPr>
        <w:t xml:space="preserve"> x </w:t>
      </w:r>
      <w:proofErr w:type="spellStart"/>
      <w:r w:rsidRPr="00DF6850">
        <w:rPr>
          <w:bCs/>
          <w:sz w:val="24"/>
          <w:szCs w:val="24"/>
        </w:rPr>
        <w:t>°Brix</w:t>
      </w:r>
      <w:r w:rsidRPr="00DF6850">
        <w:rPr>
          <w:bCs/>
          <w:sz w:val="24"/>
          <w:szCs w:val="24"/>
          <w:vertAlign w:val="subscript"/>
        </w:rPr>
        <w:t>p</w:t>
      </w:r>
      <w:proofErr w:type="spellEnd"/>
      <w:r w:rsidRPr="00DF6850">
        <w:rPr>
          <w:bCs/>
          <w:sz w:val="24"/>
          <w:szCs w:val="24"/>
        </w:rPr>
        <w:t xml:space="preserve"> + </w:t>
      </w:r>
      <w:proofErr w:type="spellStart"/>
      <w:r w:rsidRPr="00DF6850">
        <w:rPr>
          <w:bCs/>
          <w:sz w:val="24"/>
          <w:szCs w:val="24"/>
        </w:rPr>
        <w:t>M</w:t>
      </w:r>
      <w:r w:rsidRPr="00DF6850">
        <w:rPr>
          <w:bCs/>
          <w:sz w:val="24"/>
          <w:szCs w:val="24"/>
          <w:vertAlign w:val="subscript"/>
        </w:rPr>
        <w:t>a</w:t>
      </w:r>
      <w:proofErr w:type="spellEnd"/>
      <w:r w:rsidRPr="00DF6850">
        <w:rPr>
          <w:bCs/>
          <w:sz w:val="24"/>
          <w:szCs w:val="24"/>
        </w:rPr>
        <w:t xml:space="preserve"> x </w:t>
      </w:r>
      <w:proofErr w:type="spellStart"/>
      <w:r w:rsidRPr="00DF6850">
        <w:rPr>
          <w:bCs/>
          <w:sz w:val="24"/>
          <w:szCs w:val="24"/>
        </w:rPr>
        <w:t>°Brix</w:t>
      </w:r>
      <w:r w:rsidRPr="00DF6850">
        <w:rPr>
          <w:bCs/>
          <w:sz w:val="24"/>
          <w:szCs w:val="24"/>
          <w:vertAlign w:val="subscript"/>
        </w:rPr>
        <w:t>a</w:t>
      </w:r>
      <w:proofErr w:type="spellEnd"/>
      <w:r w:rsidRPr="00DF6850">
        <w:rPr>
          <w:bCs/>
          <w:sz w:val="24"/>
          <w:szCs w:val="24"/>
        </w:rPr>
        <w:t xml:space="preserve"> = </w:t>
      </w:r>
      <w:proofErr w:type="spellStart"/>
      <w:r w:rsidRPr="00DF6850">
        <w:rPr>
          <w:bCs/>
          <w:sz w:val="24"/>
          <w:szCs w:val="24"/>
        </w:rPr>
        <w:t>M</w:t>
      </w:r>
      <w:r w:rsidRPr="00DF6850">
        <w:rPr>
          <w:bCs/>
          <w:sz w:val="24"/>
          <w:szCs w:val="24"/>
          <w:vertAlign w:val="subscript"/>
        </w:rPr>
        <w:t>produto</w:t>
      </w:r>
      <w:proofErr w:type="spellEnd"/>
      <w:r w:rsidRPr="00DF6850">
        <w:rPr>
          <w:bCs/>
          <w:sz w:val="24"/>
          <w:szCs w:val="24"/>
        </w:rPr>
        <w:t xml:space="preserve"> x </w:t>
      </w:r>
      <w:proofErr w:type="spellStart"/>
      <w:r w:rsidRPr="00DF6850">
        <w:rPr>
          <w:bCs/>
          <w:sz w:val="24"/>
          <w:szCs w:val="24"/>
        </w:rPr>
        <w:t>°Brix</w:t>
      </w:r>
      <w:r w:rsidRPr="00DF6850">
        <w:rPr>
          <w:bCs/>
          <w:sz w:val="24"/>
          <w:szCs w:val="24"/>
          <w:vertAlign w:val="subscript"/>
        </w:rPr>
        <w:t>produto</w:t>
      </w:r>
      <w:proofErr w:type="spellEnd"/>
      <w:r w:rsidRPr="00DF6850">
        <w:rPr>
          <w:bCs/>
          <w:sz w:val="24"/>
          <w:szCs w:val="24"/>
          <w:vertAlign w:val="subscript"/>
        </w:rPr>
        <w:t xml:space="preserve">. </w:t>
      </w:r>
      <w:r w:rsidRPr="00DF6850">
        <w:rPr>
          <w:bCs/>
          <w:sz w:val="24"/>
          <w:szCs w:val="24"/>
        </w:rPr>
        <w:t xml:space="preserve">Onde: </w:t>
      </w:r>
      <w:proofErr w:type="spellStart"/>
      <w:r w:rsidRPr="00DF6850">
        <w:rPr>
          <w:bCs/>
          <w:sz w:val="24"/>
          <w:szCs w:val="24"/>
        </w:rPr>
        <w:t>°Brix</w:t>
      </w:r>
      <w:r w:rsidRPr="00DF6850">
        <w:rPr>
          <w:bCs/>
          <w:sz w:val="24"/>
          <w:szCs w:val="24"/>
          <w:vertAlign w:val="subscript"/>
        </w:rPr>
        <w:t>a</w:t>
      </w:r>
      <w:proofErr w:type="spellEnd"/>
      <w:r w:rsidRPr="00DF6850">
        <w:rPr>
          <w:bCs/>
          <w:sz w:val="24"/>
          <w:szCs w:val="24"/>
        </w:rPr>
        <w:t xml:space="preserve">= </w:t>
      </w:r>
      <w:proofErr w:type="spellStart"/>
      <w:r w:rsidRPr="00DF6850">
        <w:rPr>
          <w:bCs/>
          <w:sz w:val="24"/>
          <w:szCs w:val="24"/>
        </w:rPr>
        <w:t>°Brix</w:t>
      </w:r>
      <w:proofErr w:type="spellEnd"/>
      <w:r w:rsidRPr="00DF6850">
        <w:rPr>
          <w:bCs/>
          <w:sz w:val="24"/>
          <w:szCs w:val="24"/>
        </w:rPr>
        <w:t xml:space="preserve"> do açúcar; </w:t>
      </w:r>
      <w:proofErr w:type="spellStart"/>
      <w:r w:rsidRPr="00DF6850">
        <w:rPr>
          <w:bCs/>
          <w:sz w:val="24"/>
          <w:szCs w:val="24"/>
        </w:rPr>
        <w:t>M</w:t>
      </w:r>
      <w:r w:rsidRPr="00DF6850">
        <w:rPr>
          <w:bCs/>
          <w:sz w:val="24"/>
          <w:szCs w:val="24"/>
          <w:vertAlign w:val="subscript"/>
        </w:rPr>
        <w:t>p</w:t>
      </w:r>
      <w:proofErr w:type="spellEnd"/>
      <w:r w:rsidRPr="00DF6850">
        <w:rPr>
          <w:bCs/>
          <w:sz w:val="24"/>
          <w:szCs w:val="24"/>
        </w:rPr>
        <w:t xml:space="preserve"> = massa do produto néctar</w:t>
      </w:r>
    </w:p>
    <w:p w14:paraId="748A3E46" w14:textId="77777777" w:rsidR="005B2DA8" w:rsidRDefault="005B2DA8" w:rsidP="005B2DA8">
      <w:pPr>
        <w:rPr>
          <w:bCs/>
          <w:szCs w:val="24"/>
        </w:rPr>
      </w:pPr>
    </w:p>
    <w:p w14:paraId="7683F791" w14:textId="77777777" w:rsidR="00DF6850" w:rsidRPr="00DF6850" w:rsidRDefault="00DF6850" w:rsidP="00DF6850">
      <w:pPr>
        <w:tabs>
          <w:tab w:val="left" w:pos="9639"/>
        </w:tabs>
        <w:spacing w:line="360" w:lineRule="auto"/>
        <w:ind w:right="4" w:firstLine="709"/>
        <w:contextualSpacing/>
        <w:jc w:val="both"/>
        <w:rPr>
          <w:sz w:val="24"/>
          <w:szCs w:val="24"/>
        </w:rPr>
      </w:pPr>
      <w:r w:rsidRPr="00DF6850">
        <w:rPr>
          <w:sz w:val="24"/>
          <w:szCs w:val="24"/>
        </w:rPr>
        <w:t xml:space="preserve">As seguintes análises foram realizadas em triplicata (n=3) </w:t>
      </w:r>
      <w:r>
        <w:rPr>
          <w:sz w:val="24"/>
          <w:szCs w:val="24"/>
        </w:rPr>
        <w:t>no</w:t>
      </w:r>
      <w:r w:rsidR="00950987">
        <w:rPr>
          <w:sz w:val="24"/>
          <w:szCs w:val="24"/>
        </w:rPr>
        <w:t>s</w:t>
      </w:r>
      <w:r>
        <w:rPr>
          <w:sz w:val="24"/>
          <w:szCs w:val="24"/>
        </w:rPr>
        <w:t xml:space="preserve"> </w:t>
      </w:r>
      <w:r w:rsidR="00950987">
        <w:rPr>
          <w:sz w:val="24"/>
          <w:szCs w:val="24"/>
        </w:rPr>
        <w:t xml:space="preserve">néctares </w:t>
      </w:r>
      <w:r w:rsidRPr="00DF6850">
        <w:rPr>
          <w:sz w:val="24"/>
          <w:szCs w:val="24"/>
        </w:rPr>
        <w:t>artesana</w:t>
      </w:r>
      <w:r w:rsidR="00950987">
        <w:rPr>
          <w:sz w:val="24"/>
          <w:szCs w:val="24"/>
        </w:rPr>
        <w:t>is</w:t>
      </w:r>
      <w:r w:rsidRPr="00DF6850">
        <w:rPr>
          <w:sz w:val="24"/>
          <w:szCs w:val="24"/>
        </w:rPr>
        <w:t xml:space="preserve"> el</w:t>
      </w:r>
      <w:r>
        <w:rPr>
          <w:sz w:val="24"/>
          <w:szCs w:val="24"/>
        </w:rPr>
        <w:t>aborado</w:t>
      </w:r>
      <w:r w:rsidR="00950987">
        <w:rPr>
          <w:sz w:val="24"/>
          <w:szCs w:val="24"/>
        </w:rPr>
        <w:t>s</w:t>
      </w:r>
      <w:r w:rsidRPr="00DF6850">
        <w:rPr>
          <w:sz w:val="24"/>
          <w:szCs w:val="24"/>
        </w:rPr>
        <w:t>:</w:t>
      </w:r>
    </w:p>
    <w:p w14:paraId="3FBD647F" w14:textId="77777777" w:rsidR="00DF6850" w:rsidRPr="00DF6850" w:rsidRDefault="00DF6850" w:rsidP="00DF6850">
      <w:pPr>
        <w:numPr>
          <w:ilvl w:val="0"/>
          <w:numId w:val="3"/>
        </w:numPr>
        <w:spacing w:line="360" w:lineRule="auto"/>
        <w:ind w:left="284" w:right="4" w:hanging="284"/>
        <w:contextualSpacing/>
        <w:jc w:val="both"/>
        <w:rPr>
          <w:sz w:val="24"/>
          <w:szCs w:val="24"/>
        </w:rPr>
      </w:pPr>
      <w:r w:rsidRPr="00DF6850">
        <w:rPr>
          <w:b/>
          <w:sz w:val="24"/>
          <w:szCs w:val="24"/>
        </w:rPr>
        <w:t>pH:</w:t>
      </w:r>
      <w:r w:rsidRPr="00DF6850">
        <w:rPr>
          <w:sz w:val="24"/>
          <w:szCs w:val="24"/>
        </w:rPr>
        <w:t xml:space="preserve">  determinado em potenciômetro da marca Hanna </w:t>
      </w:r>
      <w:proofErr w:type="spellStart"/>
      <w:r w:rsidRPr="00DF6850">
        <w:rPr>
          <w:sz w:val="24"/>
          <w:szCs w:val="24"/>
        </w:rPr>
        <w:t>Instruments</w:t>
      </w:r>
      <w:proofErr w:type="spellEnd"/>
      <w:r w:rsidRPr="00DF6850">
        <w:rPr>
          <w:sz w:val="24"/>
          <w:szCs w:val="24"/>
        </w:rPr>
        <w:t>, modelo HI9321, previamente calibrado com soluções tampões de pH 4 e 7, de acordo com o método 981.12 da AOAC (1997).</w:t>
      </w:r>
    </w:p>
    <w:p w14:paraId="5FC5287D" w14:textId="77777777" w:rsidR="00DF6850" w:rsidRPr="00DF6850" w:rsidRDefault="00DF6850" w:rsidP="00DF6850">
      <w:pPr>
        <w:numPr>
          <w:ilvl w:val="0"/>
          <w:numId w:val="3"/>
        </w:numPr>
        <w:spacing w:line="360" w:lineRule="auto"/>
        <w:ind w:left="284" w:right="4" w:hanging="284"/>
        <w:contextualSpacing/>
        <w:jc w:val="both"/>
        <w:rPr>
          <w:sz w:val="24"/>
          <w:szCs w:val="24"/>
        </w:rPr>
      </w:pPr>
      <w:r w:rsidRPr="00DF6850">
        <w:rPr>
          <w:b/>
          <w:sz w:val="24"/>
          <w:szCs w:val="24"/>
        </w:rPr>
        <w:t xml:space="preserve">Acidez total </w:t>
      </w:r>
      <w:proofErr w:type="spellStart"/>
      <w:r w:rsidRPr="00DF6850">
        <w:rPr>
          <w:b/>
          <w:sz w:val="24"/>
          <w:szCs w:val="24"/>
        </w:rPr>
        <w:t>titulável</w:t>
      </w:r>
      <w:proofErr w:type="spellEnd"/>
      <w:r w:rsidRPr="00DF6850">
        <w:rPr>
          <w:b/>
          <w:sz w:val="24"/>
          <w:szCs w:val="24"/>
        </w:rPr>
        <w:t xml:space="preserve"> (ATT)</w:t>
      </w:r>
      <w:r w:rsidRPr="00DF6850">
        <w:rPr>
          <w:sz w:val="24"/>
          <w:szCs w:val="24"/>
        </w:rPr>
        <w:t xml:space="preserve">: realizada por </w:t>
      </w:r>
      <w:proofErr w:type="spellStart"/>
      <w:r w:rsidRPr="00DF6850">
        <w:rPr>
          <w:sz w:val="24"/>
          <w:szCs w:val="24"/>
        </w:rPr>
        <w:t>titulometria</w:t>
      </w:r>
      <w:proofErr w:type="spellEnd"/>
      <w:r w:rsidRPr="00DF6850">
        <w:rPr>
          <w:sz w:val="24"/>
          <w:szCs w:val="24"/>
        </w:rPr>
        <w:t xml:space="preserve"> com solução de hidróxido de sódio 0,1 N até a primeira coloração rosa persistente por aproximadamente 30 segundos, e fator de conversão do ácido cítrico foi de 64,02 (AOAC, 1997).</w:t>
      </w:r>
    </w:p>
    <w:p w14:paraId="29AF20C6" w14:textId="77777777" w:rsidR="00DF6850" w:rsidRPr="00DF6850" w:rsidRDefault="00DF6850" w:rsidP="00DF6850">
      <w:pPr>
        <w:numPr>
          <w:ilvl w:val="0"/>
          <w:numId w:val="3"/>
        </w:numPr>
        <w:spacing w:line="360" w:lineRule="auto"/>
        <w:ind w:left="284" w:right="4" w:hanging="284"/>
        <w:contextualSpacing/>
        <w:jc w:val="both"/>
        <w:rPr>
          <w:sz w:val="24"/>
          <w:szCs w:val="24"/>
        </w:rPr>
      </w:pPr>
      <w:r w:rsidRPr="00DF6850">
        <w:rPr>
          <w:b/>
          <w:sz w:val="24"/>
          <w:szCs w:val="24"/>
        </w:rPr>
        <w:t>Sólidos solúveis totais (SST):</w:t>
      </w:r>
      <w:r w:rsidRPr="00DF6850">
        <w:rPr>
          <w:sz w:val="24"/>
          <w:szCs w:val="24"/>
        </w:rPr>
        <w:t xml:space="preserve"> foram quantificados nas amostras, por meio de leitura direta em refratômetro de bancada segundo AOAC (1997).</w:t>
      </w:r>
    </w:p>
    <w:p w14:paraId="3E890BD8" w14:textId="77777777" w:rsidR="00DF6850" w:rsidRPr="00DF6850" w:rsidRDefault="00DF6850" w:rsidP="00DF6850">
      <w:pPr>
        <w:numPr>
          <w:ilvl w:val="0"/>
          <w:numId w:val="3"/>
        </w:numPr>
        <w:spacing w:line="360" w:lineRule="auto"/>
        <w:ind w:left="284" w:right="4" w:hanging="284"/>
        <w:contextualSpacing/>
        <w:jc w:val="both"/>
        <w:rPr>
          <w:sz w:val="24"/>
          <w:szCs w:val="24"/>
        </w:rPr>
      </w:pPr>
      <w:r w:rsidRPr="00DF6850">
        <w:rPr>
          <w:b/>
          <w:sz w:val="24"/>
          <w:szCs w:val="24"/>
        </w:rPr>
        <w:t>Umidade:</w:t>
      </w:r>
      <w:r w:rsidRPr="00DF6850">
        <w:rPr>
          <w:sz w:val="24"/>
          <w:szCs w:val="24"/>
        </w:rPr>
        <w:t xml:space="preserve"> determinada por gravimetria, em estufa da marca </w:t>
      </w:r>
      <w:proofErr w:type="spellStart"/>
      <w:r w:rsidRPr="00DF6850">
        <w:rPr>
          <w:sz w:val="24"/>
          <w:szCs w:val="24"/>
        </w:rPr>
        <w:t>Tecnal</w:t>
      </w:r>
      <w:proofErr w:type="spellEnd"/>
      <w:r w:rsidRPr="00DF6850">
        <w:rPr>
          <w:sz w:val="24"/>
          <w:szCs w:val="24"/>
        </w:rPr>
        <w:t xml:space="preserve"> modelo TE – 395, de acordo com o método 920.151 da AOAC (1997).</w:t>
      </w:r>
    </w:p>
    <w:p w14:paraId="2A9834FD" w14:textId="77777777" w:rsidR="00DF6850" w:rsidRPr="00DF6850" w:rsidRDefault="00DF6850" w:rsidP="00DF6850">
      <w:pPr>
        <w:numPr>
          <w:ilvl w:val="0"/>
          <w:numId w:val="3"/>
        </w:numPr>
        <w:spacing w:line="360" w:lineRule="auto"/>
        <w:ind w:left="284" w:right="4" w:hanging="284"/>
        <w:contextualSpacing/>
        <w:jc w:val="both"/>
        <w:rPr>
          <w:b/>
          <w:sz w:val="24"/>
          <w:szCs w:val="24"/>
        </w:rPr>
      </w:pPr>
      <w:r w:rsidRPr="00DF6850">
        <w:rPr>
          <w:b/>
          <w:sz w:val="24"/>
          <w:szCs w:val="24"/>
        </w:rPr>
        <w:t xml:space="preserve">Cinzas: </w:t>
      </w:r>
      <w:r w:rsidRPr="00DF6850">
        <w:rPr>
          <w:sz w:val="24"/>
          <w:szCs w:val="24"/>
        </w:rPr>
        <w:t>as amostras foram incineradas em forno tipo mufla a 550 °C, de acordo com o método 930.05 da AOAC (1997).</w:t>
      </w:r>
    </w:p>
    <w:p w14:paraId="2C358762" w14:textId="77777777" w:rsidR="00DF6850" w:rsidRPr="00DF6850" w:rsidRDefault="00DF6850" w:rsidP="00DF6850">
      <w:pPr>
        <w:numPr>
          <w:ilvl w:val="0"/>
          <w:numId w:val="3"/>
        </w:numPr>
        <w:spacing w:line="360" w:lineRule="auto"/>
        <w:ind w:left="284" w:right="4" w:hanging="284"/>
        <w:contextualSpacing/>
        <w:jc w:val="both"/>
        <w:rPr>
          <w:sz w:val="24"/>
          <w:szCs w:val="24"/>
        </w:rPr>
      </w:pPr>
      <w:r w:rsidRPr="00DF6850">
        <w:rPr>
          <w:b/>
          <w:sz w:val="24"/>
          <w:szCs w:val="24"/>
        </w:rPr>
        <w:t>Proteínas:</w:t>
      </w:r>
      <w:r w:rsidRPr="00DF6850">
        <w:rPr>
          <w:sz w:val="24"/>
          <w:szCs w:val="24"/>
        </w:rPr>
        <w:t xml:space="preserve"> foram </w:t>
      </w:r>
      <w:r w:rsidRPr="00DF6850">
        <w:rPr>
          <w:color w:val="000000"/>
          <w:sz w:val="24"/>
          <w:szCs w:val="24"/>
          <w:shd w:val="clear" w:color="auto" w:fill="FFFFFF"/>
        </w:rPr>
        <w:t xml:space="preserve">determinadas de acordo com Método do </w:t>
      </w:r>
      <w:proofErr w:type="spellStart"/>
      <w:r w:rsidRPr="00DF6850">
        <w:rPr>
          <w:color w:val="000000"/>
          <w:sz w:val="24"/>
          <w:szCs w:val="24"/>
          <w:shd w:val="clear" w:color="auto" w:fill="FFFFFF"/>
        </w:rPr>
        <w:t>Biureto</w:t>
      </w:r>
      <w:proofErr w:type="spellEnd"/>
      <w:r w:rsidRPr="00DF6850">
        <w:rPr>
          <w:color w:val="000000"/>
          <w:sz w:val="24"/>
          <w:szCs w:val="24"/>
          <w:shd w:val="clear" w:color="auto" w:fill="FFFFFF"/>
        </w:rPr>
        <w:t xml:space="preserve"> descrito por </w:t>
      </w:r>
      <w:proofErr w:type="spellStart"/>
      <w:r w:rsidRPr="00DF6850">
        <w:rPr>
          <w:color w:val="000000"/>
          <w:sz w:val="24"/>
          <w:szCs w:val="24"/>
          <w:shd w:val="clear" w:color="auto" w:fill="FFFFFF"/>
        </w:rPr>
        <w:t>Layne</w:t>
      </w:r>
      <w:proofErr w:type="spellEnd"/>
      <w:r w:rsidRPr="00DF6850">
        <w:rPr>
          <w:color w:val="000000"/>
          <w:sz w:val="24"/>
          <w:szCs w:val="24"/>
          <w:shd w:val="clear" w:color="auto" w:fill="FFFFFF"/>
        </w:rPr>
        <w:t xml:space="preserve"> (1957). É um método colorimétrico, cuja cor, que varia de rosa a púrpura, é formada devido ao </w:t>
      </w:r>
      <w:r w:rsidRPr="00DF6850">
        <w:rPr>
          <w:color w:val="000000"/>
          <w:sz w:val="24"/>
          <w:szCs w:val="24"/>
          <w:shd w:val="clear" w:color="auto" w:fill="FFFFFF"/>
        </w:rPr>
        <w:lastRenderedPageBreak/>
        <w:t>complexo de íons de cobre e o nitrogênio das ligações peptídicas, obtidas quando soluções de proteínas em meio fortemente alcalino são tratadas com soluções diluídas de íons cúpricos. Esses compostos têm absorção máxima em 540 </w:t>
      </w:r>
      <w:proofErr w:type="spellStart"/>
      <w:r w:rsidRPr="00DF6850">
        <w:rPr>
          <w:color w:val="000000"/>
          <w:sz w:val="24"/>
          <w:szCs w:val="24"/>
          <w:shd w:val="clear" w:color="auto" w:fill="FFFFFF"/>
        </w:rPr>
        <w:t>nm</w:t>
      </w:r>
      <w:proofErr w:type="spellEnd"/>
      <w:r w:rsidRPr="00DF6850">
        <w:rPr>
          <w:color w:val="000000"/>
          <w:sz w:val="24"/>
          <w:szCs w:val="24"/>
          <w:shd w:val="clear" w:color="auto" w:fill="FFFFFF"/>
        </w:rPr>
        <w:t xml:space="preserve"> e foram lidos em um espectrofotômetro do tipo </w:t>
      </w:r>
      <w:proofErr w:type="spellStart"/>
      <w:r w:rsidRPr="00DF6850">
        <w:rPr>
          <w:color w:val="000000"/>
          <w:sz w:val="24"/>
          <w:szCs w:val="24"/>
          <w:shd w:val="clear" w:color="auto" w:fill="FFFFFF"/>
        </w:rPr>
        <w:t>uv</w:t>
      </w:r>
      <w:proofErr w:type="spellEnd"/>
      <w:r w:rsidRPr="00DF6850">
        <w:rPr>
          <w:color w:val="000000"/>
          <w:sz w:val="24"/>
          <w:szCs w:val="24"/>
          <w:shd w:val="clear" w:color="auto" w:fill="FFFFFF"/>
        </w:rPr>
        <w:t xml:space="preserve">-visível da Marca </w:t>
      </w:r>
      <w:proofErr w:type="spellStart"/>
      <w:r w:rsidRPr="00DF6850">
        <w:rPr>
          <w:color w:val="000000"/>
          <w:sz w:val="24"/>
          <w:szCs w:val="24"/>
          <w:shd w:val="clear" w:color="auto" w:fill="FFFFFF"/>
        </w:rPr>
        <w:t>Bioespectro</w:t>
      </w:r>
      <w:proofErr w:type="spellEnd"/>
      <w:r w:rsidRPr="00DF6850">
        <w:rPr>
          <w:color w:val="000000"/>
          <w:sz w:val="24"/>
          <w:szCs w:val="24"/>
          <w:shd w:val="clear" w:color="auto" w:fill="FFFFFF"/>
        </w:rPr>
        <w:t>, Modelo SP-220.</w:t>
      </w:r>
      <w:r w:rsidRPr="00DF6850">
        <w:rPr>
          <w:sz w:val="24"/>
          <w:szCs w:val="24"/>
        </w:rPr>
        <w:t xml:space="preserve"> </w:t>
      </w:r>
    </w:p>
    <w:p w14:paraId="1C977A4B" w14:textId="77777777" w:rsidR="00DF6850" w:rsidRPr="00DF6850" w:rsidRDefault="00DF6850" w:rsidP="00DF6850">
      <w:pPr>
        <w:numPr>
          <w:ilvl w:val="0"/>
          <w:numId w:val="3"/>
        </w:numPr>
        <w:spacing w:line="360" w:lineRule="auto"/>
        <w:ind w:left="284" w:right="4" w:hanging="284"/>
        <w:contextualSpacing/>
        <w:jc w:val="both"/>
        <w:rPr>
          <w:sz w:val="24"/>
          <w:szCs w:val="24"/>
        </w:rPr>
      </w:pPr>
      <w:r w:rsidRPr="00DF6850">
        <w:rPr>
          <w:b/>
          <w:sz w:val="24"/>
          <w:szCs w:val="24"/>
        </w:rPr>
        <w:t>Lipídios:</w:t>
      </w:r>
      <w:r w:rsidRPr="00DF6850">
        <w:rPr>
          <w:sz w:val="24"/>
          <w:szCs w:val="24"/>
        </w:rPr>
        <w:t xml:space="preserve"> determinado através da extração com mistura de solventes a frio, método de </w:t>
      </w:r>
      <w:proofErr w:type="spellStart"/>
      <w:r w:rsidRPr="00DF6850">
        <w:rPr>
          <w:sz w:val="24"/>
          <w:szCs w:val="24"/>
        </w:rPr>
        <w:t>Bligh</w:t>
      </w:r>
      <w:proofErr w:type="spellEnd"/>
      <w:r w:rsidRPr="00DF6850">
        <w:rPr>
          <w:sz w:val="24"/>
          <w:szCs w:val="24"/>
        </w:rPr>
        <w:t xml:space="preserve"> e </w:t>
      </w:r>
      <w:proofErr w:type="spellStart"/>
      <w:r w:rsidRPr="00DF6850">
        <w:rPr>
          <w:sz w:val="24"/>
          <w:szCs w:val="24"/>
        </w:rPr>
        <w:t>Dyer</w:t>
      </w:r>
      <w:proofErr w:type="spellEnd"/>
      <w:r w:rsidRPr="00DF6850">
        <w:rPr>
          <w:sz w:val="24"/>
          <w:szCs w:val="24"/>
        </w:rPr>
        <w:t xml:space="preserve"> (1959).</w:t>
      </w:r>
    </w:p>
    <w:p w14:paraId="7A3B51DB" w14:textId="77777777" w:rsidR="00DF6850" w:rsidRPr="00DF6850" w:rsidRDefault="00DF6850" w:rsidP="00DF6850">
      <w:pPr>
        <w:numPr>
          <w:ilvl w:val="0"/>
          <w:numId w:val="3"/>
        </w:numPr>
        <w:spacing w:line="360" w:lineRule="auto"/>
        <w:ind w:left="284" w:right="4" w:hanging="284"/>
        <w:contextualSpacing/>
        <w:jc w:val="both"/>
        <w:rPr>
          <w:sz w:val="24"/>
          <w:szCs w:val="24"/>
        </w:rPr>
      </w:pPr>
      <w:r w:rsidRPr="00DF6850">
        <w:rPr>
          <w:b/>
          <w:sz w:val="24"/>
          <w:szCs w:val="24"/>
        </w:rPr>
        <w:t>Carboidratos:</w:t>
      </w:r>
      <w:r w:rsidRPr="00DF6850">
        <w:rPr>
          <w:sz w:val="24"/>
          <w:szCs w:val="24"/>
        </w:rPr>
        <w:t xml:space="preserve"> foi calculado por diferença, segundo Resolução n° 360 de 23 de dezembro de 2003 (ANVISA, 2003d). Carboidratos (%): [100 – (% umidade + % proteína + % lipídios + % cinzas)]. </w:t>
      </w:r>
    </w:p>
    <w:p w14:paraId="50C02AC1" w14:textId="77777777" w:rsidR="00DF6850" w:rsidRPr="00DF6850" w:rsidRDefault="00DF6850" w:rsidP="00DF6850">
      <w:pPr>
        <w:numPr>
          <w:ilvl w:val="0"/>
          <w:numId w:val="3"/>
        </w:numPr>
        <w:spacing w:line="360" w:lineRule="auto"/>
        <w:ind w:left="284" w:right="4" w:hanging="284"/>
        <w:contextualSpacing/>
        <w:jc w:val="both"/>
        <w:rPr>
          <w:sz w:val="24"/>
          <w:szCs w:val="24"/>
        </w:rPr>
      </w:pPr>
      <w:r w:rsidRPr="00DF6850">
        <w:rPr>
          <w:b/>
          <w:sz w:val="24"/>
          <w:szCs w:val="24"/>
        </w:rPr>
        <w:t>Valor energético total (VET):</w:t>
      </w:r>
      <w:r w:rsidRPr="00DF6850">
        <w:rPr>
          <w:sz w:val="24"/>
          <w:szCs w:val="24"/>
        </w:rPr>
        <w:t xml:space="preserve"> foi estimado (kcal/100g) utilizando-se os fatores de conversão de </w:t>
      </w:r>
      <w:proofErr w:type="spellStart"/>
      <w:r w:rsidRPr="00DF6850">
        <w:rPr>
          <w:sz w:val="24"/>
          <w:szCs w:val="24"/>
        </w:rPr>
        <w:t>Atwater</w:t>
      </w:r>
      <w:proofErr w:type="spellEnd"/>
      <w:r w:rsidRPr="00DF6850">
        <w:rPr>
          <w:sz w:val="24"/>
          <w:szCs w:val="24"/>
        </w:rPr>
        <w:t>: 4 kcal/g para carboidratos e proteínas e 9 kcal/g para lipídios segundo Anderson et al. (1988) e a Resolução n° 360 de 23 de dezembro de 2003 (ANVISA, 2003d).</w:t>
      </w:r>
    </w:p>
    <w:p w14:paraId="7735130A" w14:textId="77777777" w:rsidR="005B2DA8" w:rsidRPr="009B6AA8" w:rsidRDefault="00950987" w:rsidP="00950987">
      <w:pPr>
        <w:tabs>
          <w:tab w:val="left" w:pos="709"/>
        </w:tabs>
        <w:spacing w:after="360" w:line="360" w:lineRule="auto"/>
        <w:jc w:val="both"/>
        <w:rPr>
          <w:sz w:val="24"/>
          <w:szCs w:val="24"/>
        </w:rPr>
      </w:pPr>
      <w:r>
        <w:rPr>
          <w:sz w:val="24"/>
          <w:szCs w:val="24"/>
        </w:rPr>
        <w:tab/>
      </w:r>
      <w:r w:rsidR="009B6AA8" w:rsidRPr="009B6AA8">
        <w:rPr>
          <w:sz w:val="24"/>
          <w:szCs w:val="24"/>
        </w:rPr>
        <w:t>Os resultados da</w:t>
      </w:r>
      <w:r>
        <w:rPr>
          <w:sz w:val="24"/>
          <w:szCs w:val="24"/>
        </w:rPr>
        <w:t>s</w:t>
      </w:r>
      <w:r w:rsidR="009B6AA8" w:rsidRPr="009B6AA8">
        <w:rPr>
          <w:sz w:val="24"/>
          <w:szCs w:val="24"/>
        </w:rPr>
        <w:t xml:space="preserve"> análises</w:t>
      </w:r>
      <w:r w:rsidR="009B6AA8" w:rsidRPr="009B6AA8">
        <w:rPr>
          <w:bCs/>
          <w:sz w:val="24"/>
          <w:szCs w:val="24"/>
        </w:rPr>
        <w:t xml:space="preserve"> físico-químicas do</w:t>
      </w:r>
      <w:r>
        <w:rPr>
          <w:bCs/>
          <w:sz w:val="24"/>
          <w:szCs w:val="24"/>
        </w:rPr>
        <w:t>s</w:t>
      </w:r>
      <w:r w:rsidR="009B6AA8" w:rsidRPr="009B6AA8">
        <w:rPr>
          <w:bCs/>
          <w:sz w:val="24"/>
          <w:szCs w:val="24"/>
        </w:rPr>
        <w:t xml:space="preserve"> produtos artesana</w:t>
      </w:r>
      <w:r>
        <w:rPr>
          <w:bCs/>
          <w:sz w:val="24"/>
          <w:szCs w:val="24"/>
        </w:rPr>
        <w:t>is</w:t>
      </w:r>
      <w:r w:rsidR="009B6AA8">
        <w:rPr>
          <w:bCs/>
          <w:sz w:val="24"/>
          <w:szCs w:val="24"/>
        </w:rPr>
        <w:t xml:space="preserve"> néctar</w:t>
      </w:r>
      <w:r w:rsidR="009B6AA8" w:rsidRPr="009B6AA8">
        <w:rPr>
          <w:bCs/>
          <w:sz w:val="24"/>
          <w:szCs w:val="24"/>
        </w:rPr>
        <w:t xml:space="preserve"> de maracujá com camomila elaborado</w:t>
      </w:r>
      <w:r>
        <w:rPr>
          <w:bCs/>
          <w:sz w:val="24"/>
          <w:szCs w:val="24"/>
        </w:rPr>
        <w:t>s</w:t>
      </w:r>
      <w:r w:rsidR="009B6AA8" w:rsidRPr="009B6AA8">
        <w:rPr>
          <w:bCs/>
          <w:sz w:val="24"/>
          <w:szCs w:val="24"/>
        </w:rPr>
        <w:t xml:space="preserve"> fo</w:t>
      </w:r>
      <w:r>
        <w:rPr>
          <w:bCs/>
          <w:sz w:val="24"/>
          <w:szCs w:val="24"/>
        </w:rPr>
        <w:t>ram</w:t>
      </w:r>
      <w:r w:rsidR="009B6AA8">
        <w:rPr>
          <w:bCs/>
          <w:sz w:val="24"/>
          <w:szCs w:val="24"/>
        </w:rPr>
        <w:t xml:space="preserve"> </w:t>
      </w:r>
      <w:r w:rsidR="009B6AA8" w:rsidRPr="009B6AA8">
        <w:rPr>
          <w:sz w:val="24"/>
          <w:szCs w:val="24"/>
        </w:rPr>
        <w:t xml:space="preserve">submetidas à análise de variância, e quando apresentaram diferenças foram comparadas pelo Teste de </w:t>
      </w:r>
      <w:proofErr w:type="spellStart"/>
      <w:r w:rsidR="009B6AA8" w:rsidRPr="009B6AA8">
        <w:rPr>
          <w:sz w:val="24"/>
          <w:szCs w:val="24"/>
        </w:rPr>
        <w:t>Tukey</w:t>
      </w:r>
      <w:proofErr w:type="spellEnd"/>
      <w:r w:rsidR="009B6AA8" w:rsidRPr="009B6AA8">
        <w:rPr>
          <w:sz w:val="24"/>
          <w:szCs w:val="24"/>
        </w:rPr>
        <w:t xml:space="preserve"> a 5% de probabilidade, utilizando-se o software SAS® versão 9.4 (SAS INSTITUTE, 2013).</w:t>
      </w:r>
    </w:p>
    <w:bookmarkEnd w:id="1"/>
    <w:p w14:paraId="4A285A2C" w14:textId="77777777" w:rsidR="00950987" w:rsidRDefault="0012462E" w:rsidP="009B6AA8">
      <w:pPr>
        <w:tabs>
          <w:tab w:val="left" w:pos="1290"/>
        </w:tabs>
        <w:jc w:val="both"/>
        <w:rPr>
          <w:b/>
          <w:sz w:val="24"/>
          <w:szCs w:val="24"/>
        </w:rPr>
      </w:pPr>
      <w:r>
        <w:rPr>
          <w:b/>
          <w:sz w:val="24"/>
          <w:szCs w:val="24"/>
        </w:rPr>
        <w:t xml:space="preserve">3. </w:t>
      </w:r>
      <w:r w:rsidRPr="00001E41">
        <w:rPr>
          <w:b/>
          <w:sz w:val="24"/>
          <w:szCs w:val="24"/>
        </w:rPr>
        <w:t>RESULTADOS E DISCUSSÃO</w:t>
      </w:r>
    </w:p>
    <w:p w14:paraId="0918276C" w14:textId="77777777" w:rsidR="0012462E" w:rsidRDefault="0012462E" w:rsidP="009B6AA8">
      <w:pPr>
        <w:tabs>
          <w:tab w:val="left" w:pos="1290"/>
        </w:tabs>
        <w:jc w:val="both"/>
        <w:rPr>
          <w:sz w:val="24"/>
          <w:szCs w:val="24"/>
        </w:rPr>
      </w:pPr>
      <w:r w:rsidRPr="00001E41">
        <w:rPr>
          <w:b/>
          <w:sz w:val="28"/>
          <w:szCs w:val="28"/>
        </w:rPr>
        <w:t xml:space="preserve"> </w:t>
      </w:r>
    </w:p>
    <w:p w14:paraId="7EAD211D" w14:textId="77777777" w:rsidR="009B6AA8" w:rsidRDefault="009B6AA8" w:rsidP="009B6AA8">
      <w:pPr>
        <w:pStyle w:val="TtulodeTabela"/>
        <w:spacing w:after="0" w:line="360" w:lineRule="auto"/>
        <w:ind w:firstLine="708"/>
        <w:rPr>
          <w:rFonts w:ascii="Times New Roman" w:hAnsi="Times New Roman" w:cs="Times New Roman"/>
        </w:rPr>
      </w:pPr>
      <w:r>
        <w:rPr>
          <w:rFonts w:ascii="Times New Roman" w:hAnsi="Times New Roman" w:cs="Times New Roman"/>
        </w:rPr>
        <w:t>Os valores médios obtidos na caracterização físico-química do néctar de maracujá com camomila pode</w:t>
      </w:r>
      <w:r w:rsidR="00950987">
        <w:rPr>
          <w:rFonts w:ascii="Times New Roman" w:hAnsi="Times New Roman" w:cs="Times New Roman"/>
        </w:rPr>
        <w:t>m</w:t>
      </w:r>
      <w:r>
        <w:rPr>
          <w:rFonts w:ascii="Times New Roman" w:hAnsi="Times New Roman" w:cs="Times New Roman"/>
        </w:rPr>
        <w:t xml:space="preserve"> ser observados na Tabela 1</w:t>
      </w:r>
      <w:r w:rsidRPr="00966E79">
        <w:rPr>
          <w:rFonts w:ascii="Times New Roman" w:hAnsi="Times New Roman" w:cs="Times New Roman"/>
        </w:rPr>
        <w:t>.</w:t>
      </w:r>
    </w:p>
    <w:p w14:paraId="52DC4F4B" w14:textId="77777777" w:rsidR="000F373C" w:rsidRDefault="000F373C" w:rsidP="006313C8"/>
    <w:p w14:paraId="5A0A7E8A" w14:textId="77777777" w:rsidR="009B6AA8" w:rsidRPr="00E66256" w:rsidRDefault="009B6AA8" w:rsidP="009B6AA8">
      <w:pPr>
        <w:ind w:right="-1"/>
        <w:contextualSpacing/>
        <w:rPr>
          <w:b/>
        </w:rPr>
      </w:pPr>
    </w:p>
    <w:p w14:paraId="5FA56D11" w14:textId="77777777" w:rsidR="009B6AA8" w:rsidRPr="00501CA0" w:rsidRDefault="009B6AA8" w:rsidP="009B6AA8">
      <w:pPr>
        <w:pStyle w:val="TtulodeTabela"/>
        <w:spacing w:after="0" w:line="360" w:lineRule="auto"/>
        <w:rPr>
          <w:rFonts w:ascii="Times New Roman" w:hAnsi="Times New Roman" w:cs="Times New Roman"/>
        </w:rPr>
      </w:pPr>
      <w:r w:rsidRPr="00515482">
        <w:rPr>
          <w:rFonts w:ascii="Times New Roman" w:hAnsi="Times New Roman" w:cs="Times New Roman"/>
          <w:b/>
        </w:rPr>
        <w:t>Tabela </w:t>
      </w:r>
      <w:r>
        <w:rPr>
          <w:rFonts w:ascii="Times New Roman" w:hAnsi="Times New Roman" w:cs="Times New Roman"/>
          <w:b/>
        </w:rPr>
        <w:t>1 -</w:t>
      </w:r>
      <w:r w:rsidRPr="00515482">
        <w:rPr>
          <w:rFonts w:ascii="Times New Roman" w:hAnsi="Times New Roman" w:cs="Times New Roman"/>
        </w:rPr>
        <w:t> </w:t>
      </w:r>
      <w:r>
        <w:rPr>
          <w:rFonts w:ascii="Times New Roman" w:hAnsi="Times New Roman" w:cs="Times New Roman"/>
        </w:rPr>
        <w:t>Caracterização físico-química dos néctares de maracujá com camomila.</w:t>
      </w:r>
    </w:p>
    <w:tbl>
      <w:tblPr>
        <w:tblW w:w="9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843"/>
        <w:gridCol w:w="1843"/>
        <w:gridCol w:w="850"/>
        <w:gridCol w:w="992"/>
        <w:gridCol w:w="851"/>
        <w:gridCol w:w="236"/>
      </w:tblGrid>
      <w:tr w:rsidR="009B6AA8" w:rsidRPr="009E04D6" w14:paraId="64AC76B2" w14:textId="77777777" w:rsidTr="007E621A">
        <w:tc>
          <w:tcPr>
            <w:tcW w:w="2660" w:type="dxa"/>
            <w:vMerge w:val="restart"/>
            <w:tcBorders>
              <w:top w:val="single" w:sz="4" w:space="0" w:color="auto"/>
              <w:left w:val="nil"/>
              <w:bottom w:val="single" w:sz="4" w:space="0" w:color="auto"/>
              <w:right w:val="nil"/>
            </w:tcBorders>
            <w:shd w:val="clear" w:color="auto" w:fill="auto"/>
            <w:vAlign w:val="center"/>
          </w:tcPr>
          <w:p w14:paraId="68560575" w14:textId="77777777" w:rsidR="009B6AA8" w:rsidRPr="009E04D6" w:rsidRDefault="009B6AA8" w:rsidP="007E621A">
            <w:pPr>
              <w:jc w:val="center"/>
              <w:rPr>
                <w:b/>
                <w:sz w:val="22"/>
                <w:szCs w:val="22"/>
              </w:rPr>
            </w:pPr>
            <w:r w:rsidRPr="009E04D6">
              <w:rPr>
                <w:b/>
                <w:sz w:val="22"/>
                <w:szCs w:val="22"/>
              </w:rPr>
              <w:t>Determinações</w:t>
            </w:r>
          </w:p>
        </w:tc>
        <w:tc>
          <w:tcPr>
            <w:tcW w:w="5528" w:type="dxa"/>
            <w:gridSpan w:val="4"/>
            <w:tcBorders>
              <w:top w:val="single" w:sz="4" w:space="0" w:color="auto"/>
              <w:left w:val="nil"/>
              <w:bottom w:val="single" w:sz="4" w:space="0" w:color="auto"/>
              <w:right w:val="nil"/>
            </w:tcBorders>
            <w:shd w:val="clear" w:color="auto" w:fill="auto"/>
          </w:tcPr>
          <w:p w14:paraId="471C4301" w14:textId="77777777" w:rsidR="009B6AA8" w:rsidRPr="009E04D6" w:rsidRDefault="009B6AA8" w:rsidP="007E621A">
            <w:pPr>
              <w:jc w:val="center"/>
              <w:rPr>
                <w:b/>
                <w:sz w:val="22"/>
                <w:szCs w:val="22"/>
              </w:rPr>
            </w:pPr>
            <w:r w:rsidRPr="009E04D6">
              <w:rPr>
                <w:b/>
                <w:sz w:val="22"/>
                <w:szCs w:val="22"/>
              </w:rPr>
              <w:t>Néctar de Maracujá com Camomila</w:t>
            </w:r>
          </w:p>
        </w:tc>
        <w:tc>
          <w:tcPr>
            <w:tcW w:w="851" w:type="dxa"/>
            <w:tcBorders>
              <w:top w:val="single" w:sz="4" w:space="0" w:color="auto"/>
              <w:left w:val="nil"/>
              <w:bottom w:val="single" w:sz="4" w:space="0" w:color="auto"/>
              <w:right w:val="nil"/>
            </w:tcBorders>
          </w:tcPr>
          <w:p w14:paraId="22434D9D" w14:textId="77777777" w:rsidR="009B6AA8" w:rsidRPr="009E04D6" w:rsidRDefault="009B6AA8" w:rsidP="007E621A">
            <w:pPr>
              <w:jc w:val="center"/>
              <w:rPr>
                <w:b/>
                <w:sz w:val="22"/>
                <w:szCs w:val="22"/>
              </w:rPr>
            </w:pPr>
          </w:p>
        </w:tc>
        <w:tc>
          <w:tcPr>
            <w:tcW w:w="236" w:type="dxa"/>
            <w:tcBorders>
              <w:top w:val="single" w:sz="4" w:space="0" w:color="auto"/>
              <w:left w:val="nil"/>
              <w:bottom w:val="single" w:sz="4" w:space="0" w:color="auto"/>
              <w:right w:val="nil"/>
            </w:tcBorders>
          </w:tcPr>
          <w:p w14:paraId="0B05481F" w14:textId="77777777" w:rsidR="009B6AA8" w:rsidRPr="009E04D6" w:rsidRDefault="009B6AA8" w:rsidP="007E621A">
            <w:pPr>
              <w:jc w:val="center"/>
              <w:rPr>
                <w:b/>
                <w:sz w:val="22"/>
                <w:szCs w:val="22"/>
              </w:rPr>
            </w:pPr>
          </w:p>
        </w:tc>
      </w:tr>
      <w:tr w:rsidR="009B6AA8" w:rsidRPr="009E04D6" w14:paraId="2F3BEA61" w14:textId="77777777" w:rsidTr="007E621A">
        <w:tc>
          <w:tcPr>
            <w:tcW w:w="2660" w:type="dxa"/>
            <w:vMerge/>
            <w:tcBorders>
              <w:top w:val="single" w:sz="4" w:space="0" w:color="auto"/>
              <w:left w:val="nil"/>
              <w:bottom w:val="single" w:sz="4" w:space="0" w:color="auto"/>
              <w:right w:val="nil"/>
            </w:tcBorders>
            <w:shd w:val="clear" w:color="auto" w:fill="auto"/>
          </w:tcPr>
          <w:p w14:paraId="475275A9" w14:textId="77777777" w:rsidR="009B6AA8" w:rsidRPr="009E04D6" w:rsidRDefault="009B6AA8" w:rsidP="007E621A">
            <w:pPr>
              <w:rPr>
                <w:sz w:val="22"/>
                <w:szCs w:val="22"/>
              </w:rPr>
            </w:pPr>
          </w:p>
        </w:tc>
        <w:tc>
          <w:tcPr>
            <w:tcW w:w="1843" w:type="dxa"/>
            <w:tcBorders>
              <w:top w:val="single" w:sz="4" w:space="0" w:color="auto"/>
              <w:left w:val="nil"/>
              <w:bottom w:val="single" w:sz="4" w:space="0" w:color="auto"/>
              <w:right w:val="nil"/>
            </w:tcBorders>
            <w:shd w:val="clear" w:color="auto" w:fill="auto"/>
          </w:tcPr>
          <w:p w14:paraId="4178BCEB" w14:textId="77777777" w:rsidR="009B6AA8" w:rsidRPr="009E04D6" w:rsidRDefault="009B6AA8" w:rsidP="007E621A">
            <w:pPr>
              <w:jc w:val="center"/>
              <w:rPr>
                <w:b/>
                <w:sz w:val="22"/>
                <w:szCs w:val="22"/>
              </w:rPr>
            </w:pPr>
            <w:r w:rsidRPr="009E04D6">
              <w:rPr>
                <w:b/>
                <w:sz w:val="22"/>
                <w:szCs w:val="22"/>
              </w:rPr>
              <w:t>F1 (50% polpa maracujá)</w:t>
            </w:r>
          </w:p>
        </w:tc>
        <w:tc>
          <w:tcPr>
            <w:tcW w:w="1843" w:type="dxa"/>
            <w:tcBorders>
              <w:top w:val="single" w:sz="4" w:space="0" w:color="auto"/>
              <w:left w:val="nil"/>
              <w:bottom w:val="single" w:sz="4" w:space="0" w:color="auto"/>
              <w:right w:val="single" w:sz="4" w:space="0" w:color="auto"/>
            </w:tcBorders>
            <w:shd w:val="clear" w:color="auto" w:fill="auto"/>
          </w:tcPr>
          <w:p w14:paraId="4FF46C1F" w14:textId="77777777" w:rsidR="009B6AA8" w:rsidRPr="009E04D6" w:rsidRDefault="009B6AA8" w:rsidP="007E621A">
            <w:pPr>
              <w:jc w:val="center"/>
              <w:rPr>
                <w:b/>
                <w:sz w:val="22"/>
                <w:szCs w:val="22"/>
              </w:rPr>
            </w:pPr>
            <w:r w:rsidRPr="009E04D6">
              <w:rPr>
                <w:b/>
                <w:sz w:val="22"/>
                <w:szCs w:val="22"/>
              </w:rPr>
              <w:t>F2 (25% polpa maracujá)</w:t>
            </w:r>
          </w:p>
        </w:tc>
        <w:tc>
          <w:tcPr>
            <w:tcW w:w="850" w:type="dxa"/>
            <w:tcBorders>
              <w:top w:val="single" w:sz="4" w:space="0" w:color="auto"/>
              <w:left w:val="single" w:sz="4" w:space="0" w:color="auto"/>
              <w:bottom w:val="single" w:sz="4" w:space="0" w:color="auto"/>
              <w:right w:val="nil"/>
            </w:tcBorders>
            <w:shd w:val="clear" w:color="auto" w:fill="auto"/>
            <w:vAlign w:val="center"/>
          </w:tcPr>
          <w:p w14:paraId="6EE4B88D" w14:textId="77777777" w:rsidR="009B6AA8" w:rsidRPr="009E04D6" w:rsidRDefault="009B6AA8" w:rsidP="007E621A">
            <w:pPr>
              <w:jc w:val="center"/>
              <w:rPr>
                <w:i/>
                <w:sz w:val="18"/>
                <w:szCs w:val="18"/>
              </w:rPr>
            </w:pPr>
            <w:r w:rsidRPr="009E04D6">
              <w:rPr>
                <w:i/>
                <w:sz w:val="18"/>
                <w:szCs w:val="18"/>
              </w:rPr>
              <w:t>DMS</w:t>
            </w:r>
          </w:p>
        </w:tc>
        <w:tc>
          <w:tcPr>
            <w:tcW w:w="992" w:type="dxa"/>
            <w:tcBorders>
              <w:top w:val="single" w:sz="4" w:space="0" w:color="auto"/>
              <w:left w:val="nil"/>
              <w:bottom w:val="single" w:sz="4" w:space="0" w:color="auto"/>
              <w:right w:val="nil"/>
            </w:tcBorders>
            <w:shd w:val="clear" w:color="auto" w:fill="auto"/>
            <w:vAlign w:val="center"/>
          </w:tcPr>
          <w:p w14:paraId="5788EA83" w14:textId="77777777" w:rsidR="009B6AA8" w:rsidRPr="009E04D6" w:rsidRDefault="009B6AA8" w:rsidP="007E621A">
            <w:pPr>
              <w:jc w:val="center"/>
              <w:rPr>
                <w:i/>
                <w:sz w:val="18"/>
                <w:szCs w:val="18"/>
              </w:rPr>
            </w:pPr>
            <w:r w:rsidRPr="009E04D6">
              <w:rPr>
                <w:i/>
                <w:sz w:val="18"/>
                <w:szCs w:val="18"/>
              </w:rPr>
              <w:t xml:space="preserve">F </w:t>
            </w:r>
            <w:proofErr w:type="spellStart"/>
            <w:r w:rsidRPr="009E04D6">
              <w:rPr>
                <w:i/>
                <w:sz w:val="18"/>
                <w:szCs w:val="18"/>
                <w:vertAlign w:val="subscript"/>
              </w:rPr>
              <w:t>calc</w:t>
            </w:r>
            <w:proofErr w:type="spellEnd"/>
            <w:r w:rsidRPr="009E04D6">
              <w:rPr>
                <w:i/>
                <w:sz w:val="18"/>
                <w:szCs w:val="18"/>
                <w:vertAlign w:val="subscript"/>
              </w:rPr>
              <w:t>.</w:t>
            </w:r>
          </w:p>
        </w:tc>
        <w:tc>
          <w:tcPr>
            <w:tcW w:w="851" w:type="dxa"/>
            <w:tcBorders>
              <w:top w:val="single" w:sz="4" w:space="0" w:color="auto"/>
              <w:left w:val="nil"/>
              <w:bottom w:val="single" w:sz="4" w:space="0" w:color="auto"/>
              <w:right w:val="nil"/>
            </w:tcBorders>
            <w:vAlign w:val="center"/>
          </w:tcPr>
          <w:p w14:paraId="3A999602" w14:textId="77777777" w:rsidR="009B6AA8" w:rsidRPr="009E04D6" w:rsidRDefault="009B6AA8" w:rsidP="007E621A">
            <w:pPr>
              <w:jc w:val="center"/>
              <w:rPr>
                <w:i/>
                <w:sz w:val="18"/>
                <w:szCs w:val="18"/>
              </w:rPr>
            </w:pPr>
            <w:r>
              <w:rPr>
                <w:i/>
                <w:sz w:val="18"/>
                <w:szCs w:val="18"/>
              </w:rPr>
              <w:t>CV</w:t>
            </w:r>
          </w:p>
        </w:tc>
        <w:tc>
          <w:tcPr>
            <w:tcW w:w="236" w:type="dxa"/>
            <w:tcBorders>
              <w:top w:val="single" w:sz="4" w:space="0" w:color="auto"/>
              <w:left w:val="nil"/>
              <w:bottom w:val="single" w:sz="4" w:space="0" w:color="auto"/>
              <w:right w:val="nil"/>
            </w:tcBorders>
          </w:tcPr>
          <w:p w14:paraId="311C8C37" w14:textId="77777777" w:rsidR="009B6AA8" w:rsidRPr="009E04D6" w:rsidRDefault="009B6AA8" w:rsidP="007E621A">
            <w:pPr>
              <w:jc w:val="center"/>
              <w:rPr>
                <w:i/>
                <w:sz w:val="18"/>
                <w:szCs w:val="18"/>
              </w:rPr>
            </w:pPr>
          </w:p>
        </w:tc>
      </w:tr>
      <w:tr w:rsidR="009B6AA8" w:rsidRPr="009E04D6" w14:paraId="7A02DFB4" w14:textId="77777777" w:rsidTr="007E621A">
        <w:tc>
          <w:tcPr>
            <w:tcW w:w="2660" w:type="dxa"/>
            <w:tcBorders>
              <w:top w:val="single" w:sz="4" w:space="0" w:color="auto"/>
              <w:left w:val="nil"/>
              <w:bottom w:val="nil"/>
              <w:right w:val="nil"/>
            </w:tcBorders>
            <w:shd w:val="clear" w:color="auto" w:fill="auto"/>
          </w:tcPr>
          <w:p w14:paraId="289B6142" w14:textId="77777777" w:rsidR="009B6AA8" w:rsidRPr="009E04D6" w:rsidRDefault="009B6AA8" w:rsidP="007E621A">
            <w:pPr>
              <w:rPr>
                <w:sz w:val="22"/>
                <w:szCs w:val="22"/>
              </w:rPr>
            </w:pPr>
            <w:r w:rsidRPr="009E04D6">
              <w:rPr>
                <w:sz w:val="22"/>
                <w:szCs w:val="22"/>
              </w:rPr>
              <w:t>pH</w:t>
            </w:r>
          </w:p>
        </w:tc>
        <w:tc>
          <w:tcPr>
            <w:tcW w:w="1843" w:type="dxa"/>
            <w:tcBorders>
              <w:top w:val="single" w:sz="4" w:space="0" w:color="auto"/>
              <w:left w:val="nil"/>
              <w:bottom w:val="nil"/>
              <w:right w:val="nil"/>
            </w:tcBorders>
            <w:shd w:val="clear" w:color="auto" w:fill="auto"/>
          </w:tcPr>
          <w:p w14:paraId="6BEEE888" w14:textId="77777777" w:rsidR="009B6AA8" w:rsidRPr="009E04D6" w:rsidRDefault="009B6AA8" w:rsidP="007E621A">
            <w:pPr>
              <w:jc w:val="center"/>
              <w:rPr>
                <w:sz w:val="22"/>
                <w:szCs w:val="22"/>
              </w:rPr>
            </w:pPr>
            <w:r w:rsidRPr="009E04D6">
              <w:rPr>
                <w:sz w:val="22"/>
                <w:szCs w:val="22"/>
              </w:rPr>
              <w:t xml:space="preserve">3,23 </w:t>
            </w:r>
            <w:r w:rsidRPr="009E04D6">
              <w:rPr>
                <w:bCs/>
              </w:rPr>
              <w:t>± 0,06</w:t>
            </w:r>
            <w:r w:rsidRPr="009E04D6">
              <w:rPr>
                <w:bCs/>
                <w:vertAlign w:val="superscript"/>
              </w:rPr>
              <w:t>a</w:t>
            </w:r>
          </w:p>
        </w:tc>
        <w:tc>
          <w:tcPr>
            <w:tcW w:w="1843" w:type="dxa"/>
            <w:tcBorders>
              <w:top w:val="single" w:sz="4" w:space="0" w:color="auto"/>
              <w:left w:val="nil"/>
              <w:bottom w:val="nil"/>
              <w:right w:val="single" w:sz="4" w:space="0" w:color="auto"/>
            </w:tcBorders>
            <w:shd w:val="clear" w:color="auto" w:fill="auto"/>
          </w:tcPr>
          <w:p w14:paraId="475B9527" w14:textId="77777777" w:rsidR="009B6AA8" w:rsidRPr="009E04D6" w:rsidRDefault="009B6AA8" w:rsidP="007E621A">
            <w:pPr>
              <w:jc w:val="center"/>
              <w:rPr>
                <w:sz w:val="22"/>
                <w:szCs w:val="22"/>
              </w:rPr>
            </w:pPr>
            <w:r w:rsidRPr="009E04D6">
              <w:rPr>
                <w:sz w:val="22"/>
                <w:szCs w:val="22"/>
              </w:rPr>
              <w:t xml:space="preserve">3,30 </w:t>
            </w:r>
            <w:r w:rsidRPr="009E04D6">
              <w:rPr>
                <w:bCs/>
              </w:rPr>
              <w:t>± 0,</w:t>
            </w:r>
            <w:r>
              <w:rPr>
                <w:bCs/>
              </w:rPr>
              <w:t>05</w:t>
            </w:r>
            <w:r w:rsidRPr="009E04D6">
              <w:rPr>
                <w:bCs/>
                <w:vertAlign w:val="superscript"/>
              </w:rPr>
              <w:t>a</w:t>
            </w:r>
          </w:p>
        </w:tc>
        <w:tc>
          <w:tcPr>
            <w:tcW w:w="850" w:type="dxa"/>
            <w:tcBorders>
              <w:top w:val="single" w:sz="4" w:space="0" w:color="auto"/>
              <w:left w:val="single" w:sz="4" w:space="0" w:color="auto"/>
              <w:bottom w:val="nil"/>
              <w:right w:val="nil"/>
            </w:tcBorders>
            <w:shd w:val="clear" w:color="auto" w:fill="auto"/>
          </w:tcPr>
          <w:p w14:paraId="1F75DACD" w14:textId="77777777" w:rsidR="009B6AA8" w:rsidRPr="001C0C66" w:rsidRDefault="009B6AA8" w:rsidP="007E621A">
            <w:pPr>
              <w:jc w:val="center"/>
              <w:rPr>
                <w:i/>
                <w:sz w:val="18"/>
                <w:szCs w:val="18"/>
              </w:rPr>
            </w:pPr>
            <w:r w:rsidRPr="001C0C66">
              <w:rPr>
                <w:i/>
                <w:sz w:val="18"/>
                <w:szCs w:val="18"/>
              </w:rPr>
              <w:t>0,1851</w:t>
            </w:r>
          </w:p>
        </w:tc>
        <w:tc>
          <w:tcPr>
            <w:tcW w:w="992" w:type="dxa"/>
            <w:tcBorders>
              <w:top w:val="single" w:sz="4" w:space="0" w:color="auto"/>
              <w:left w:val="nil"/>
              <w:bottom w:val="nil"/>
              <w:right w:val="nil"/>
            </w:tcBorders>
            <w:shd w:val="clear" w:color="auto" w:fill="auto"/>
          </w:tcPr>
          <w:p w14:paraId="0757B7F4" w14:textId="77777777" w:rsidR="009B6AA8" w:rsidRPr="001C0C66" w:rsidRDefault="009B6AA8" w:rsidP="007E621A">
            <w:pPr>
              <w:jc w:val="center"/>
              <w:rPr>
                <w:i/>
                <w:sz w:val="18"/>
                <w:szCs w:val="18"/>
                <w:vertAlign w:val="superscript"/>
              </w:rPr>
            </w:pPr>
            <w:r w:rsidRPr="001C0C66">
              <w:rPr>
                <w:i/>
                <w:sz w:val="18"/>
                <w:szCs w:val="18"/>
              </w:rPr>
              <w:t>1,00</w:t>
            </w:r>
            <w:r w:rsidRPr="001C0C66">
              <w:rPr>
                <w:i/>
                <w:sz w:val="18"/>
                <w:szCs w:val="18"/>
                <w:vertAlign w:val="superscript"/>
              </w:rPr>
              <w:t>ns</w:t>
            </w:r>
          </w:p>
        </w:tc>
        <w:tc>
          <w:tcPr>
            <w:tcW w:w="851" w:type="dxa"/>
            <w:tcBorders>
              <w:top w:val="single" w:sz="4" w:space="0" w:color="auto"/>
              <w:left w:val="nil"/>
              <w:bottom w:val="nil"/>
              <w:right w:val="nil"/>
            </w:tcBorders>
          </w:tcPr>
          <w:p w14:paraId="4B38B813" w14:textId="77777777" w:rsidR="009B6AA8" w:rsidRPr="001C0C66" w:rsidRDefault="009B6AA8" w:rsidP="007E621A">
            <w:pPr>
              <w:ind w:right="-14"/>
              <w:jc w:val="center"/>
              <w:rPr>
                <w:i/>
                <w:sz w:val="18"/>
                <w:szCs w:val="18"/>
              </w:rPr>
            </w:pPr>
            <w:r>
              <w:rPr>
                <w:i/>
                <w:sz w:val="18"/>
                <w:szCs w:val="18"/>
              </w:rPr>
              <w:t>2,4995</w:t>
            </w:r>
          </w:p>
        </w:tc>
        <w:tc>
          <w:tcPr>
            <w:tcW w:w="236" w:type="dxa"/>
            <w:tcBorders>
              <w:top w:val="single" w:sz="4" w:space="0" w:color="auto"/>
              <w:left w:val="nil"/>
              <w:bottom w:val="nil"/>
              <w:right w:val="nil"/>
            </w:tcBorders>
          </w:tcPr>
          <w:p w14:paraId="59FA7FBA" w14:textId="77777777" w:rsidR="009B6AA8" w:rsidRPr="001C0C66" w:rsidRDefault="009B6AA8" w:rsidP="007E621A">
            <w:pPr>
              <w:jc w:val="center"/>
              <w:rPr>
                <w:i/>
                <w:sz w:val="18"/>
                <w:szCs w:val="18"/>
              </w:rPr>
            </w:pPr>
          </w:p>
        </w:tc>
      </w:tr>
      <w:tr w:rsidR="009B6AA8" w:rsidRPr="009E04D6" w14:paraId="1171F9E0" w14:textId="77777777" w:rsidTr="007E621A">
        <w:tc>
          <w:tcPr>
            <w:tcW w:w="2660" w:type="dxa"/>
            <w:tcBorders>
              <w:top w:val="nil"/>
              <w:left w:val="nil"/>
              <w:bottom w:val="nil"/>
              <w:right w:val="nil"/>
            </w:tcBorders>
            <w:shd w:val="clear" w:color="auto" w:fill="auto"/>
          </w:tcPr>
          <w:p w14:paraId="5B4CF420" w14:textId="77777777" w:rsidR="009B6AA8" w:rsidRPr="009E04D6" w:rsidRDefault="009B6AA8" w:rsidP="007E621A">
            <w:pPr>
              <w:rPr>
                <w:sz w:val="22"/>
                <w:szCs w:val="22"/>
                <w:vertAlign w:val="superscript"/>
              </w:rPr>
            </w:pPr>
            <w:r w:rsidRPr="009E04D6">
              <w:rPr>
                <w:sz w:val="22"/>
                <w:szCs w:val="22"/>
              </w:rPr>
              <w:t>SS</w:t>
            </w:r>
            <w:r>
              <w:rPr>
                <w:sz w:val="22"/>
                <w:szCs w:val="22"/>
              </w:rPr>
              <w:t>T</w:t>
            </w:r>
            <w:r w:rsidRPr="009E04D6">
              <w:rPr>
                <w:sz w:val="22"/>
                <w:szCs w:val="22"/>
              </w:rPr>
              <w:t xml:space="preserve"> (</w:t>
            </w:r>
            <w:proofErr w:type="spellStart"/>
            <w:r w:rsidRPr="009E04D6">
              <w:rPr>
                <w:sz w:val="22"/>
                <w:szCs w:val="22"/>
              </w:rPr>
              <w:t>ºBrix</w:t>
            </w:r>
            <w:proofErr w:type="spellEnd"/>
            <w:r w:rsidRPr="009E04D6">
              <w:rPr>
                <w:sz w:val="22"/>
                <w:szCs w:val="22"/>
              </w:rPr>
              <w:t>)</w:t>
            </w:r>
            <w:r w:rsidRPr="009E04D6">
              <w:rPr>
                <w:sz w:val="22"/>
                <w:szCs w:val="22"/>
                <w:vertAlign w:val="superscript"/>
              </w:rPr>
              <w:t>**</w:t>
            </w:r>
          </w:p>
        </w:tc>
        <w:tc>
          <w:tcPr>
            <w:tcW w:w="1843" w:type="dxa"/>
            <w:tcBorders>
              <w:top w:val="nil"/>
              <w:left w:val="nil"/>
              <w:bottom w:val="nil"/>
              <w:right w:val="nil"/>
            </w:tcBorders>
            <w:shd w:val="clear" w:color="auto" w:fill="auto"/>
          </w:tcPr>
          <w:p w14:paraId="323E53A8" w14:textId="77777777" w:rsidR="009B6AA8" w:rsidRPr="009E04D6" w:rsidRDefault="009B6AA8" w:rsidP="007E621A">
            <w:pPr>
              <w:jc w:val="center"/>
              <w:rPr>
                <w:sz w:val="22"/>
                <w:szCs w:val="22"/>
              </w:rPr>
            </w:pPr>
            <w:r>
              <w:rPr>
                <w:sz w:val="22"/>
                <w:szCs w:val="22"/>
              </w:rPr>
              <w:t>17</w:t>
            </w:r>
            <w:r w:rsidRPr="009E04D6">
              <w:rPr>
                <w:sz w:val="22"/>
                <w:szCs w:val="22"/>
              </w:rPr>
              <w:t>,</w:t>
            </w:r>
            <w:r>
              <w:rPr>
                <w:sz w:val="22"/>
                <w:szCs w:val="22"/>
              </w:rPr>
              <w:t>83</w:t>
            </w:r>
            <w:r w:rsidRPr="009E04D6">
              <w:rPr>
                <w:sz w:val="22"/>
                <w:szCs w:val="22"/>
              </w:rPr>
              <w:t xml:space="preserve"> </w:t>
            </w:r>
            <w:r w:rsidRPr="009E04D6">
              <w:rPr>
                <w:bCs/>
              </w:rPr>
              <w:t>± 0,</w:t>
            </w:r>
            <w:r>
              <w:rPr>
                <w:bCs/>
              </w:rPr>
              <w:t>28</w:t>
            </w:r>
            <w:r w:rsidRPr="009E04D6">
              <w:rPr>
                <w:bCs/>
                <w:vertAlign w:val="superscript"/>
              </w:rPr>
              <w:t>a</w:t>
            </w:r>
          </w:p>
        </w:tc>
        <w:tc>
          <w:tcPr>
            <w:tcW w:w="1843" w:type="dxa"/>
            <w:tcBorders>
              <w:top w:val="nil"/>
              <w:left w:val="nil"/>
              <w:bottom w:val="nil"/>
              <w:right w:val="single" w:sz="4" w:space="0" w:color="auto"/>
            </w:tcBorders>
            <w:shd w:val="clear" w:color="auto" w:fill="auto"/>
          </w:tcPr>
          <w:p w14:paraId="1C1C1A51" w14:textId="77777777" w:rsidR="009B6AA8" w:rsidRPr="009E04D6" w:rsidRDefault="009B6AA8" w:rsidP="007E621A">
            <w:pPr>
              <w:jc w:val="center"/>
              <w:rPr>
                <w:sz w:val="22"/>
                <w:szCs w:val="22"/>
              </w:rPr>
            </w:pPr>
            <w:r w:rsidRPr="009E04D6">
              <w:rPr>
                <w:sz w:val="22"/>
                <w:szCs w:val="22"/>
              </w:rPr>
              <w:t xml:space="preserve">16,17 </w:t>
            </w:r>
            <w:r w:rsidRPr="009E04D6">
              <w:rPr>
                <w:bCs/>
              </w:rPr>
              <w:t>± 0,29</w:t>
            </w:r>
            <w:r w:rsidRPr="009E04D6">
              <w:rPr>
                <w:bCs/>
                <w:vertAlign w:val="superscript"/>
              </w:rPr>
              <w:t>b</w:t>
            </w:r>
          </w:p>
        </w:tc>
        <w:tc>
          <w:tcPr>
            <w:tcW w:w="850" w:type="dxa"/>
            <w:tcBorders>
              <w:top w:val="nil"/>
              <w:left w:val="single" w:sz="4" w:space="0" w:color="auto"/>
              <w:bottom w:val="nil"/>
              <w:right w:val="nil"/>
            </w:tcBorders>
            <w:shd w:val="clear" w:color="auto" w:fill="auto"/>
          </w:tcPr>
          <w:p w14:paraId="7D2A576F" w14:textId="77777777" w:rsidR="009B6AA8" w:rsidRPr="001C0C66" w:rsidRDefault="009B6AA8" w:rsidP="007E621A">
            <w:pPr>
              <w:jc w:val="center"/>
              <w:rPr>
                <w:i/>
                <w:sz w:val="18"/>
                <w:szCs w:val="18"/>
              </w:rPr>
            </w:pPr>
            <w:r w:rsidRPr="001C0C66">
              <w:rPr>
                <w:i/>
                <w:sz w:val="18"/>
                <w:szCs w:val="18"/>
              </w:rPr>
              <w:t>0,6544</w:t>
            </w:r>
          </w:p>
        </w:tc>
        <w:tc>
          <w:tcPr>
            <w:tcW w:w="992" w:type="dxa"/>
            <w:tcBorders>
              <w:top w:val="nil"/>
              <w:left w:val="nil"/>
              <w:bottom w:val="nil"/>
              <w:right w:val="nil"/>
            </w:tcBorders>
            <w:shd w:val="clear" w:color="auto" w:fill="auto"/>
          </w:tcPr>
          <w:p w14:paraId="5C693E80" w14:textId="77777777" w:rsidR="009B6AA8" w:rsidRPr="001C0C66" w:rsidRDefault="009B6AA8" w:rsidP="007E621A">
            <w:pPr>
              <w:jc w:val="center"/>
              <w:rPr>
                <w:i/>
                <w:sz w:val="18"/>
                <w:szCs w:val="18"/>
                <w:vertAlign w:val="superscript"/>
              </w:rPr>
            </w:pPr>
            <w:r w:rsidRPr="001C0C66">
              <w:rPr>
                <w:i/>
                <w:sz w:val="18"/>
                <w:szCs w:val="18"/>
              </w:rPr>
              <w:t>50,00</w:t>
            </w:r>
            <w:r w:rsidRPr="001C0C66">
              <w:rPr>
                <w:i/>
                <w:sz w:val="18"/>
                <w:szCs w:val="18"/>
                <w:vertAlign w:val="superscript"/>
              </w:rPr>
              <w:t>*</w:t>
            </w:r>
          </w:p>
        </w:tc>
        <w:tc>
          <w:tcPr>
            <w:tcW w:w="851" w:type="dxa"/>
            <w:tcBorders>
              <w:top w:val="nil"/>
              <w:left w:val="nil"/>
              <w:bottom w:val="nil"/>
              <w:right w:val="nil"/>
            </w:tcBorders>
          </w:tcPr>
          <w:p w14:paraId="4C8F9408" w14:textId="77777777" w:rsidR="009B6AA8" w:rsidRPr="001C0C66" w:rsidRDefault="009B6AA8" w:rsidP="007E621A">
            <w:pPr>
              <w:jc w:val="center"/>
              <w:rPr>
                <w:i/>
                <w:sz w:val="18"/>
                <w:szCs w:val="18"/>
              </w:rPr>
            </w:pPr>
            <w:r>
              <w:rPr>
                <w:i/>
                <w:sz w:val="18"/>
                <w:szCs w:val="18"/>
              </w:rPr>
              <w:t>1,6981</w:t>
            </w:r>
          </w:p>
        </w:tc>
        <w:tc>
          <w:tcPr>
            <w:tcW w:w="236" w:type="dxa"/>
            <w:tcBorders>
              <w:top w:val="nil"/>
              <w:left w:val="nil"/>
              <w:bottom w:val="nil"/>
              <w:right w:val="nil"/>
            </w:tcBorders>
          </w:tcPr>
          <w:p w14:paraId="3B2EE773" w14:textId="77777777" w:rsidR="009B6AA8" w:rsidRPr="001C0C66" w:rsidRDefault="009B6AA8" w:rsidP="007E621A">
            <w:pPr>
              <w:ind w:left="33" w:hanging="74"/>
              <w:jc w:val="center"/>
              <w:rPr>
                <w:i/>
                <w:sz w:val="18"/>
                <w:szCs w:val="18"/>
              </w:rPr>
            </w:pPr>
          </w:p>
        </w:tc>
      </w:tr>
      <w:tr w:rsidR="009B6AA8" w:rsidRPr="009E04D6" w14:paraId="7015ACED" w14:textId="77777777" w:rsidTr="007E621A">
        <w:tc>
          <w:tcPr>
            <w:tcW w:w="2660" w:type="dxa"/>
            <w:tcBorders>
              <w:top w:val="nil"/>
              <w:left w:val="nil"/>
              <w:bottom w:val="nil"/>
              <w:right w:val="nil"/>
            </w:tcBorders>
            <w:shd w:val="clear" w:color="auto" w:fill="auto"/>
          </w:tcPr>
          <w:p w14:paraId="5C8BCAB5" w14:textId="77777777" w:rsidR="009B6AA8" w:rsidRPr="009E04D6" w:rsidRDefault="009B6AA8" w:rsidP="007E621A">
            <w:pPr>
              <w:rPr>
                <w:sz w:val="22"/>
                <w:szCs w:val="22"/>
                <w:vertAlign w:val="superscript"/>
              </w:rPr>
            </w:pPr>
            <w:r w:rsidRPr="009E04D6">
              <w:rPr>
                <w:sz w:val="22"/>
                <w:szCs w:val="22"/>
              </w:rPr>
              <w:t xml:space="preserve">ATT (g/100g </w:t>
            </w:r>
            <w:proofErr w:type="spellStart"/>
            <w:r w:rsidRPr="009E04D6">
              <w:rPr>
                <w:sz w:val="22"/>
                <w:szCs w:val="22"/>
              </w:rPr>
              <w:t>ác</w:t>
            </w:r>
            <w:proofErr w:type="spellEnd"/>
            <w:r w:rsidRPr="009E04D6">
              <w:rPr>
                <w:sz w:val="22"/>
                <w:szCs w:val="22"/>
              </w:rPr>
              <w:t xml:space="preserve">. </w:t>
            </w:r>
            <w:r>
              <w:rPr>
                <w:sz w:val="22"/>
                <w:szCs w:val="22"/>
              </w:rPr>
              <w:t>c</w:t>
            </w:r>
            <w:r w:rsidRPr="009E04D6">
              <w:rPr>
                <w:sz w:val="22"/>
                <w:szCs w:val="22"/>
              </w:rPr>
              <w:t>ítrico</w:t>
            </w:r>
            <w:r>
              <w:rPr>
                <w:sz w:val="22"/>
                <w:szCs w:val="22"/>
              </w:rPr>
              <w:t>)</w:t>
            </w:r>
            <w:r w:rsidRPr="009E04D6">
              <w:rPr>
                <w:sz w:val="22"/>
                <w:szCs w:val="22"/>
                <w:vertAlign w:val="superscript"/>
              </w:rPr>
              <w:t xml:space="preserve"> **</w:t>
            </w:r>
          </w:p>
        </w:tc>
        <w:tc>
          <w:tcPr>
            <w:tcW w:w="1843" w:type="dxa"/>
            <w:tcBorders>
              <w:top w:val="nil"/>
              <w:left w:val="nil"/>
              <w:bottom w:val="nil"/>
              <w:right w:val="nil"/>
            </w:tcBorders>
            <w:shd w:val="clear" w:color="auto" w:fill="auto"/>
          </w:tcPr>
          <w:p w14:paraId="79EC74C4" w14:textId="77777777" w:rsidR="009B6AA8" w:rsidRPr="009E04D6" w:rsidRDefault="009B6AA8" w:rsidP="007E621A">
            <w:pPr>
              <w:jc w:val="center"/>
              <w:rPr>
                <w:sz w:val="22"/>
                <w:szCs w:val="22"/>
              </w:rPr>
            </w:pPr>
            <w:r w:rsidRPr="009E04D6">
              <w:rPr>
                <w:sz w:val="22"/>
                <w:szCs w:val="22"/>
              </w:rPr>
              <w:t>1,</w:t>
            </w:r>
            <w:r>
              <w:rPr>
                <w:sz w:val="22"/>
                <w:szCs w:val="22"/>
              </w:rPr>
              <w:t>59</w:t>
            </w:r>
            <w:r w:rsidRPr="009E04D6">
              <w:rPr>
                <w:sz w:val="22"/>
                <w:szCs w:val="22"/>
              </w:rPr>
              <w:t xml:space="preserve"> </w:t>
            </w:r>
            <w:r w:rsidRPr="009E04D6">
              <w:rPr>
                <w:bCs/>
              </w:rPr>
              <w:t>± 0,</w:t>
            </w:r>
            <w:r>
              <w:rPr>
                <w:bCs/>
              </w:rPr>
              <w:t>03</w:t>
            </w:r>
            <w:r w:rsidRPr="009E04D6">
              <w:rPr>
                <w:bCs/>
                <w:vertAlign w:val="superscript"/>
              </w:rPr>
              <w:t>a</w:t>
            </w:r>
          </w:p>
        </w:tc>
        <w:tc>
          <w:tcPr>
            <w:tcW w:w="1843" w:type="dxa"/>
            <w:tcBorders>
              <w:top w:val="nil"/>
              <w:left w:val="nil"/>
              <w:bottom w:val="nil"/>
              <w:right w:val="single" w:sz="4" w:space="0" w:color="auto"/>
            </w:tcBorders>
            <w:shd w:val="clear" w:color="auto" w:fill="auto"/>
          </w:tcPr>
          <w:p w14:paraId="7F487C6F" w14:textId="77777777" w:rsidR="009B6AA8" w:rsidRPr="009E04D6" w:rsidRDefault="009B6AA8" w:rsidP="007E621A">
            <w:pPr>
              <w:jc w:val="center"/>
              <w:rPr>
                <w:sz w:val="22"/>
                <w:szCs w:val="22"/>
              </w:rPr>
            </w:pPr>
            <w:r>
              <w:rPr>
                <w:sz w:val="22"/>
                <w:szCs w:val="22"/>
              </w:rPr>
              <w:t>0</w:t>
            </w:r>
            <w:r w:rsidRPr="009E04D6">
              <w:rPr>
                <w:sz w:val="22"/>
                <w:szCs w:val="22"/>
              </w:rPr>
              <w:t>,7</w:t>
            </w:r>
            <w:r>
              <w:rPr>
                <w:sz w:val="22"/>
                <w:szCs w:val="22"/>
              </w:rPr>
              <w:t>9</w:t>
            </w:r>
            <w:r w:rsidRPr="009E04D6">
              <w:rPr>
                <w:sz w:val="22"/>
                <w:szCs w:val="22"/>
              </w:rPr>
              <w:t xml:space="preserve"> </w:t>
            </w:r>
            <w:r w:rsidRPr="009E04D6">
              <w:rPr>
                <w:bCs/>
              </w:rPr>
              <w:t>± 0,</w:t>
            </w:r>
            <w:r>
              <w:rPr>
                <w:bCs/>
              </w:rPr>
              <w:t>05</w:t>
            </w:r>
            <w:r w:rsidRPr="009E04D6">
              <w:rPr>
                <w:bCs/>
                <w:vertAlign w:val="superscript"/>
              </w:rPr>
              <w:t>b</w:t>
            </w:r>
          </w:p>
        </w:tc>
        <w:tc>
          <w:tcPr>
            <w:tcW w:w="850" w:type="dxa"/>
            <w:tcBorders>
              <w:top w:val="nil"/>
              <w:left w:val="single" w:sz="4" w:space="0" w:color="auto"/>
              <w:bottom w:val="nil"/>
              <w:right w:val="nil"/>
            </w:tcBorders>
            <w:shd w:val="clear" w:color="auto" w:fill="auto"/>
          </w:tcPr>
          <w:p w14:paraId="1ADAAAA2" w14:textId="77777777" w:rsidR="009B6AA8" w:rsidRPr="001C0C66" w:rsidRDefault="009B6AA8" w:rsidP="007E621A">
            <w:pPr>
              <w:jc w:val="center"/>
              <w:rPr>
                <w:i/>
                <w:sz w:val="18"/>
                <w:szCs w:val="18"/>
              </w:rPr>
            </w:pPr>
            <w:r>
              <w:rPr>
                <w:i/>
                <w:sz w:val="18"/>
                <w:szCs w:val="18"/>
              </w:rPr>
              <w:t>0,0307</w:t>
            </w:r>
          </w:p>
        </w:tc>
        <w:tc>
          <w:tcPr>
            <w:tcW w:w="992" w:type="dxa"/>
            <w:tcBorders>
              <w:top w:val="nil"/>
              <w:left w:val="nil"/>
              <w:bottom w:val="nil"/>
              <w:right w:val="nil"/>
            </w:tcBorders>
            <w:shd w:val="clear" w:color="auto" w:fill="auto"/>
          </w:tcPr>
          <w:p w14:paraId="51D0C984" w14:textId="77777777" w:rsidR="009B6AA8" w:rsidRPr="00210841" w:rsidRDefault="009B6AA8" w:rsidP="007E621A">
            <w:pPr>
              <w:jc w:val="center"/>
              <w:rPr>
                <w:i/>
                <w:sz w:val="18"/>
                <w:szCs w:val="18"/>
                <w:vertAlign w:val="superscript"/>
              </w:rPr>
            </w:pPr>
            <w:r w:rsidRPr="001C0C66">
              <w:rPr>
                <w:i/>
                <w:sz w:val="18"/>
                <w:szCs w:val="18"/>
              </w:rPr>
              <w:t>52,3636</w:t>
            </w:r>
            <w:r>
              <w:rPr>
                <w:i/>
                <w:sz w:val="18"/>
                <w:szCs w:val="18"/>
                <w:vertAlign w:val="superscript"/>
              </w:rPr>
              <w:t>*</w:t>
            </w:r>
          </w:p>
        </w:tc>
        <w:tc>
          <w:tcPr>
            <w:tcW w:w="851" w:type="dxa"/>
            <w:tcBorders>
              <w:top w:val="nil"/>
              <w:left w:val="nil"/>
              <w:bottom w:val="nil"/>
              <w:right w:val="nil"/>
            </w:tcBorders>
          </w:tcPr>
          <w:p w14:paraId="51CF9D6D" w14:textId="77777777" w:rsidR="009B6AA8" w:rsidRPr="001C0C66" w:rsidRDefault="009B6AA8" w:rsidP="007E621A">
            <w:pPr>
              <w:jc w:val="center"/>
              <w:rPr>
                <w:i/>
                <w:sz w:val="18"/>
                <w:szCs w:val="18"/>
              </w:rPr>
            </w:pPr>
            <w:r>
              <w:rPr>
                <w:i/>
                <w:sz w:val="18"/>
                <w:szCs w:val="18"/>
              </w:rPr>
              <w:t>1,1346</w:t>
            </w:r>
          </w:p>
        </w:tc>
        <w:tc>
          <w:tcPr>
            <w:tcW w:w="236" w:type="dxa"/>
            <w:tcBorders>
              <w:top w:val="nil"/>
              <w:left w:val="nil"/>
              <w:bottom w:val="nil"/>
              <w:right w:val="nil"/>
            </w:tcBorders>
          </w:tcPr>
          <w:p w14:paraId="24D73B96" w14:textId="77777777" w:rsidR="009B6AA8" w:rsidRPr="001C0C66" w:rsidRDefault="009B6AA8" w:rsidP="007E621A">
            <w:pPr>
              <w:jc w:val="center"/>
              <w:rPr>
                <w:i/>
                <w:sz w:val="18"/>
                <w:szCs w:val="18"/>
              </w:rPr>
            </w:pPr>
          </w:p>
        </w:tc>
      </w:tr>
      <w:tr w:rsidR="009B6AA8" w:rsidRPr="009E04D6" w14:paraId="3CEF368C" w14:textId="77777777" w:rsidTr="007E621A">
        <w:tc>
          <w:tcPr>
            <w:tcW w:w="2660" w:type="dxa"/>
            <w:tcBorders>
              <w:top w:val="nil"/>
              <w:left w:val="nil"/>
              <w:bottom w:val="nil"/>
              <w:right w:val="nil"/>
            </w:tcBorders>
            <w:shd w:val="clear" w:color="auto" w:fill="auto"/>
          </w:tcPr>
          <w:p w14:paraId="0A97EC39" w14:textId="77777777" w:rsidR="009B6AA8" w:rsidRPr="009E04D6" w:rsidRDefault="009B6AA8" w:rsidP="007E621A">
            <w:pPr>
              <w:rPr>
                <w:sz w:val="22"/>
                <w:szCs w:val="22"/>
              </w:rPr>
            </w:pPr>
            <w:r w:rsidRPr="009E04D6">
              <w:rPr>
                <w:sz w:val="22"/>
                <w:szCs w:val="22"/>
              </w:rPr>
              <w:t>Umidade (g/100g)</w:t>
            </w:r>
          </w:p>
        </w:tc>
        <w:tc>
          <w:tcPr>
            <w:tcW w:w="1843" w:type="dxa"/>
            <w:tcBorders>
              <w:top w:val="nil"/>
              <w:left w:val="nil"/>
              <w:bottom w:val="nil"/>
              <w:right w:val="nil"/>
            </w:tcBorders>
            <w:shd w:val="clear" w:color="auto" w:fill="auto"/>
          </w:tcPr>
          <w:p w14:paraId="014DFE62" w14:textId="77777777" w:rsidR="009B6AA8" w:rsidRPr="009E04D6" w:rsidRDefault="009B6AA8" w:rsidP="007E621A">
            <w:pPr>
              <w:jc w:val="center"/>
              <w:rPr>
                <w:sz w:val="22"/>
                <w:szCs w:val="22"/>
              </w:rPr>
            </w:pPr>
            <w:r>
              <w:rPr>
                <w:sz w:val="22"/>
                <w:szCs w:val="22"/>
              </w:rPr>
              <w:t>8</w:t>
            </w:r>
            <w:r w:rsidRPr="009E04D6">
              <w:rPr>
                <w:sz w:val="22"/>
                <w:szCs w:val="22"/>
              </w:rPr>
              <w:t>1,</w:t>
            </w:r>
            <w:r>
              <w:rPr>
                <w:sz w:val="22"/>
                <w:szCs w:val="22"/>
              </w:rPr>
              <w:t>87</w:t>
            </w:r>
            <w:r w:rsidRPr="009E04D6">
              <w:rPr>
                <w:sz w:val="22"/>
                <w:szCs w:val="22"/>
              </w:rPr>
              <w:t xml:space="preserve"> </w:t>
            </w:r>
            <w:r w:rsidRPr="009E04D6">
              <w:rPr>
                <w:bCs/>
              </w:rPr>
              <w:t>± 0,</w:t>
            </w:r>
            <w:r>
              <w:rPr>
                <w:bCs/>
              </w:rPr>
              <w:t>24</w:t>
            </w:r>
            <w:r>
              <w:rPr>
                <w:bCs/>
                <w:vertAlign w:val="superscript"/>
              </w:rPr>
              <w:t>b</w:t>
            </w:r>
          </w:p>
        </w:tc>
        <w:tc>
          <w:tcPr>
            <w:tcW w:w="1843" w:type="dxa"/>
            <w:tcBorders>
              <w:top w:val="nil"/>
              <w:left w:val="nil"/>
              <w:bottom w:val="nil"/>
              <w:right w:val="single" w:sz="4" w:space="0" w:color="auto"/>
            </w:tcBorders>
            <w:shd w:val="clear" w:color="auto" w:fill="auto"/>
          </w:tcPr>
          <w:p w14:paraId="2824A781" w14:textId="77777777" w:rsidR="009B6AA8" w:rsidRPr="009E04D6" w:rsidRDefault="009B6AA8" w:rsidP="007E621A">
            <w:pPr>
              <w:jc w:val="center"/>
              <w:rPr>
                <w:sz w:val="22"/>
                <w:szCs w:val="22"/>
              </w:rPr>
            </w:pPr>
            <w:r>
              <w:rPr>
                <w:sz w:val="22"/>
                <w:szCs w:val="22"/>
              </w:rPr>
              <w:t>82</w:t>
            </w:r>
            <w:r w:rsidRPr="009E04D6">
              <w:rPr>
                <w:sz w:val="22"/>
                <w:szCs w:val="22"/>
              </w:rPr>
              <w:t>,</w:t>
            </w:r>
            <w:r>
              <w:rPr>
                <w:sz w:val="22"/>
                <w:szCs w:val="22"/>
              </w:rPr>
              <w:t>82</w:t>
            </w:r>
            <w:r w:rsidRPr="009E04D6">
              <w:rPr>
                <w:sz w:val="22"/>
                <w:szCs w:val="22"/>
              </w:rPr>
              <w:t xml:space="preserve"> </w:t>
            </w:r>
            <w:r w:rsidRPr="009E04D6">
              <w:rPr>
                <w:bCs/>
              </w:rPr>
              <w:t>± 0,</w:t>
            </w:r>
            <w:r>
              <w:rPr>
                <w:bCs/>
              </w:rPr>
              <w:t>43</w:t>
            </w:r>
            <w:r>
              <w:rPr>
                <w:bCs/>
                <w:vertAlign w:val="superscript"/>
              </w:rPr>
              <w:t>a</w:t>
            </w:r>
          </w:p>
        </w:tc>
        <w:tc>
          <w:tcPr>
            <w:tcW w:w="850" w:type="dxa"/>
            <w:tcBorders>
              <w:top w:val="nil"/>
              <w:left w:val="single" w:sz="4" w:space="0" w:color="auto"/>
              <w:bottom w:val="nil"/>
              <w:right w:val="nil"/>
            </w:tcBorders>
            <w:shd w:val="clear" w:color="auto" w:fill="auto"/>
          </w:tcPr>
          <w:p w14:paraId="213AD8A8" w14:textId="77777777" w:rsidR="009B6AA8" w:rsidRPr="001C0C66" w:rsidRDefault="009B6AA8" w:rsidP="007E621A">
            <w:pPr>
              <w:jc w:val="center"/>
              <w:rPr>
                <w:i/>
                <w:sz w:val="18"/>
                <w:szCs w:val="18"/>
              </w:rPr>
            </w:pPr>
            <w:r>
              <w:rPr>
                <w:i/>
                <w:sz w:val="18"/>
                <w:szCs w:val="18"/>
              </w:rPr>
              <w:t>0,7852</w:t>
            </w:r>
          </w:p>
        </w:tc>
        <w:tc>
          <w:tcPr>
            <w:tcW w:w="992" w:type="dxa"/>
            <w:tcBorders>
              <w:top w:val="nil"/>
              <w:left w:val="nil"/>
              <w:bottom w:val="nil"/>
              <w:right w:val="nil"/>
            </w:tcBorders>
            <w:shd w:val="clear" w:color="auto" w:fill="auto"/>
          </w:tcPr>
          <w:p w14:paraId="69966D5F" w14:textId="77777777" w:rsidR="009B6AA8" w:rsidRPr="001C0C66" w:rsidRDefault="009B6AA8" w:rsidP="007E621A">
            <w:pPr>
              <w:jc w:val="center"/>
              <w:rPr>
                <w:i/>
                <w:sz w:val="18"/>
                <w:szCs w:val="18"/>
              </w:rPr>
            </w:pPr>
            <w:r>
              <w:rPr>
                <w:i/>
                <w:sz w:val="18"/>
                <w:szCs w:val="18"/>
              </w:rPr>
              <w:t>11,05*</w:t>
            </w:r>
          </w:p>
        </w:tc>
        <w:tc>
          <w:tcPr>
            <w:tcW w:w="851" w:type="dxa"/>
            <w:tcBorders>
              <w:top w:val="nil"/>
              <w:left w:val="nil"/>
              <w:bottom w:val="nil"/>
              <w:right w:val="nil"/>
            </w:tcBorders>
          </w:tcPr>
          <w:p w14:paraId="4AEED0E1" w14:textId="77777777" w:rsidR="009B6AA8" w:rsidRDefault="009B6AA8" w:rsidP="007E621A">
            <w:pPr>
              <w:jc w:val="center"/>
              <w:rPr>
                <w:i/>
                <w:sz w:val="18"/>
                <w:szCs w:val="18"/>
              </w:rPr>
            </w:pPr>
            <w:r>
              <w:rPr>
                <w:i/>
                <w:sz w:val="18"/>
                <w:szCs w:val="18"/>
              </w:rPr>
              <w:t>0,4206</w:t>
            </w:r>
          </w:p>
        </w:tc>
        <w:tc>
          <w:tcPr>
            <w:tcW w:w="236" w:type="dxa"/>
            <w:tcBorders>
              <w:top w:val="nil"/>
              <w:left w:val="nil"/>
              <w:bottom w:val="nil"/>
              <w:right w:val="nil"/>
            </w:tcBorders>
          </w:tcPr>
          <w:p w14:paraId="46D03788" w14:textId="77777777" w:rsidR="009B6AA8" w:rsidRDefault="009B6AA8" w:rsidP="007E621A">
            <w:pPr>
              <w:jc w:val="center"/>
              <w:rPr>
                <w:i/>
                <w:sz w:val="18"/>
                <w:szCs w:val="18"/>
              </w:rPr>
            </w:pPr>
          </w:p>
        </w:tc>
      </w:tr>
      <w:tr w:rsidR="009B6AA8" w:rsidRPr="009E04D6" w14:paraId="749E811B" w14:textId="77777777" w:rsidTr="007E621A">
        <w:tc>
          <w:tcPr>
            <w:tcW w:w="2660" w:type="dxa"/>
            <w:tcBorders>
              <w:top w:val="nil"/>
              <w:left w:val="nil"/>
              <w:bottom w:val="nil"/>
              <w:right w:val="nil"/>
            </w:tcBorders>
            <w:shd w:val="clear" w:color="auto" w:fill="auto"/>
          </w:tcPr>
          <w:p w14:paraId="400C600B" w14:textId="77777777" w:rsidR="009B6AA8" w:rsidRPr="009E04D6" w:rsidRDefault="009B6AA8" w:rsidP="007E621A">
            <w:pPr>
              <w:rPr>
                <w:sz w:val="22"/>
                <w:szCs w:val="22"/>
                <w:vertAlign w:val="superscript"/>
              </w:rPr>
            </w:pPr>
            <w:r w:rsidRPr="009E04D6">
              <w:rPr>
                <w:sz w:val="22"/>
                <w:szCs w:val="22"/>
              </w:rPr>
              <w:t>Cinzas (g/100g)</w:t>
            </w:r>
            <w:r w:rsidRPr="009E04D6">
              <w:rPr>
                <w:sz w:val="22"/>
                <w:szCs w:val="22"/>
                <w:vertAlign w:val="superscript"/>
              </w:rPr>
              <w:t>**</w:t>
            </w:r>
          </w:p>
        </w:tc>
        <w:tc>
          <w:tcPr>
            <w:tcW w:w="1843" w:type="dxa"/>
            <w:tcBorders>
              <w:top w:val="nil"/>
              <w:left w:val="nil"/>
              <w:bottom w:val="nil"/>
              <w:right w:val="nil"/>
            </w:tcBorders>
            <w:shd w:val="clear" w:color="auto" w:fill="auto"/>
          </w:tcPr>
          <w:p w14:paraId="35CD4EE7" w14:textId="77777777" w:rsidR="009B6AA8" w:rsidRPr="009E04D6" w:rsidRDefault="009B6AA8" w:rsidP="007E621A">
            <w:pPr>
              <w:jc w:val="center"/>
              <w:rPr>
                <w:sz w:val="22"/>
                <w:szCs w:val="22"/>
              </w:rPr>
            </w:pPr>
            <w:r>
              <w:rPr>
                <w:sz w:val="22"/>
                <w:szCs w:val="22"/>
              </w:rPr>
              <w:t>0</w:t>
            </w:r>
            <w:r w:rsidRPr="009E04D6">
              <w:rPr>
                <w:sz w:val="22"/>
                <w:szCs w:val="22"/>
              </w:rPr>
              <w:t>,</w:t>
            </w:r>
            <w:r>
              <w:rPr>
                <w:sz w:val="22"/>
                <w:szCs w:val="22"/>
              </w:rPr>
              <w:t>28</w:t>
            </w:r>
            <w:r w:rsidRPr="009E04D6">
              <w:rPr>
                <w:sz w:val="22"/>
                <w:szCs w:val="22"/>
              </w:rPr>
              <w:t xml:space="preserve"> </w:t>
            </w:r>
            <w:r w:rsidRPr="009E04D6">
              <w:rPr>
                <w:bCs/>
              </w:rPr>
              <w:t>± 0,</w:t>
            </w:r>
            <w:r>
              <w:rPr>
                <w:bCs/>
              </w:rPr>
              <w:t>04</w:t>
            </w:r>
            <w:r w:rsidRPr="009E04D6">
              <w:rPr>
                <w:bCs/>
                <w:vertAlign w:val="superscript"/>
              </w:rPr>
              <w:t>a</w:t>
            </w:r>
          </w:p>
        </w:tc>
        <w:tc>
          <w:tcPr>
            <w:tcW w:w="1843" w:type="dxa"/>
            <w:tcBorders>
              <w:top w:val="nil"/>
              <w:left w:val="nil"/>
              <w:bottom w:val="nil"/>
              <w:right w:val="single" w:sz="4" w:space="0" w:color="auto"/>
            </w:tcBorders>
            <w:shd w:val="clear" w:color="auto" w:fill="auto"/>
          </w:tcPr>
          <w:p w14:paraId="2058C3A5" w14:textId="77777777" w:rsidR="009B6AA8" w:rsidRPr="009E04D6" w:rsidRDefault="009B6AA8" w:rsidP="007E621A">
            <w:pPr>
              <w:jc w:val="center"/>
              <w:rPr>
                <w:sz w:val="22"/>
                <w:szCs w:val="22"/>
              </w:rPr>
            </w:pPr>
            <w:r>
              <w:rPr>
                <w:sz w:val="22"/>
                <w:szCs w:val="22"/>
              </w:rPr>
              <w:t>0</w:t>
            </w:r>
            <w:r w:rsidRPr="009E04D6">
              <w:rPr>
                <w:sz w:val="22"/>
                <w:szCs w:val="22"/>
              </w:rPr>
              <w:t>,</w:t>
            </w:r>
            <w:r>
              <w:rPr>
                <w:sz w:val="22"/>
                <w:szCs w:val="22"/>
              </w:rPr>
              <w:t>16</w:t>
            </w:r>
            <w:r w:rsidRPr="009E04D6">
              <w:rPr>
                <w:sz w:val="22"/>
                <w:szCs w:val="22"/>
              </w:rPr>
              <w:t xml:space="preserve"> </w:t>
            </w:r>
            <w:r w:rsidRPr="009E04D6">
              <w:rPr>
                <w:bCs/>
              </w:rPr>
              <w:t>± 0,</w:t>
            </w:r>
            <w:r>
              <w:rPr>
                <w:bCs/>
              </w:rPr>
              <w:t>02</w:t>
            </w:r>
            <w:r w:rsidRPr="009E04D6">
              <w:rPr>
                <w:bCs/>
                <w:vertAlign w:val="superscript"/>
              </w:rPr>
              <w:t>b</w:t>
            </w:r>
          </w:p>
        </w:tc>
        <w:tc>
          <w:tcPr>
            <w:tcW w:w="850" w:type="dxa"/>
            <w:tcBorders>
              <w:top w:val="nil"/>
              <w:left w:val="single" w:sz="4" w:space="0" w:color="auto"/>
              <w:bottom w:val="nil"/>
              <w:right w:val="nil"/>
            </w:tcBorders>
            <w:shd w:val="clear" w:color="auto" w:fill="auto"/>
          </w:tcPr>
          <w:p w14:paraId="08564E9C" w14:textId="77777777" w:rsidR="009B6AA8" w:rsidRPr="001C0C66" w:rsidRDefault="009B6AA8" w:rsidP="007E621A">
            <w:pPr>
              <w:jc w:val="center"/>
              <w:rPr>
                <w:i/>
                <w:sz w:val="18"/>
                <w:szCs w:val="18"/>
              </w:rPr>
            </w:pPr>
            <w:r>
              <w:rPr>
                <w:i/>
                <w:sz w:val="18"/>
                <w:szCs w:val="18"/>
              </w:rPr>
              <w:t>0,0434</w:t>
            </w:r>
          </w:p>
        </w:tc>
        <w:tc>
          <w:tcPr>
            <w:tcW w:w="992" w:type="dxa"/>
            <w:tcBorders>
              <w:top w:val="nil"/>
              <w:left w:val="nil"/>
              <w:bottom w:val="nil"/>
              <w:right w:val="nil"/>
            </w:tcBorders>
            <w:shd w:val="clear" w:color="auto" w:fill="auto"/>
          </w:tcPr>
          <w:p w14:paraId="72127CF4" w14:textId="77777777" w:rsidR="009B6AA8" w:rsidRPr="001C0C66" w:rsidRDefault="009B6AA8" w:rsidP="007E621A">
            <w:pPr>
              <w:jc w:val="center"/>
              <w:rPr>
                <w:i/>
                <w:sz w:val="18"/>
                <w:szCs w:val="18"/>
              </w:rPr>
            </w:pPr>
            <w:r>
              <w:rPr>
                <w:i/>
                <w:sz w:val="18"/>
                <w:szCs w:val="18"/>
              </w:rPr>
              <w:t>62,23*</w:t>
            </w:r>
          </w:p>
        </w:tc>
        <w:tc>
          <w:tcPr>
            <w:tcW w:w="851" w:type="dxa"/>
            <w:tcBorders>
              <w:top w:val="nil"/>
              <w:left w:val="nil"/>
              <w:bottom w:val="nil"/>
              <w:right w:val="nil"/>
            </w:tcBorders>
          </w:tcPr>
          <w:p w14:paraId="4A508504" w14:textId="77777777" w:rsidR="009B6AA8" w:rsidRDefault="009B6AA8" w:rsidP="007E621A">
            <w:pPr>
              <w:jc w:val="center"/>
              <w:rPr>
                <w:i/>
                <w:sz w:val="18"/>
                <w:szCs w:val="18"/>
              </w:rPr>
            </w:pPr>
            <w:r>
              <w:rPr>
                <w:i/>
                <w:sz w:val="18"/>
                <w:szCs w:val="18"/>
              </w:rPr>
              <w:t>8,6384</w:t>
            </w:r>
          </w:p>
        </w:tc>
        <w:tc>
          <w:tcPr>
            <w:tcW w:w="236" w:type="dxa"/>
            <w:tcBorders>
              <w:top w:val="nil"/>
              <w:left w:val="nil"/>
              <w:bottom w:val="nil"/>
              <w:right w:val="nil"/>
            </w:tcBorders>
          </w:tcPr>
          <w:p w14:paraId="0E0BC558" w14:textId="77777777" w:rsidR="009B6AA8" w:rsidRDefault="009B6AA8" w:rsidP="007E621A">
            <w:pPr>
              <w:jc w:val="center"/>
              <w:rPr>
                <w:i/>
                <w:sz w:val="18"/>
                <w:szCs w:val="18"/>
              </w:rPr>
            </w:pPr>
          </w:p>
        </w:tc>
      </w:tr>
      <w:tr w:rsidR="009B6AA8" w:rsidRPr="009E04D6" w14:paraId="1A62E717" w14:textId="77777777" w:rsidTr="007E621A">
        <w:tc>
          <w:tcPr>
            <w:tcW w:w="2660" w:type="dxa"/>
            <w:tcBorders>
              <w:top w:val="nil"/>
              <w:left w:val="nil"/>
              <w:bottom w:val="nil"/>
              <w:right w:val="nil"/>
            </w:tcBorders>
            <w:shd w:val="clear" w:color="auto" w:fill="auto"/>
          </w:tcPr>
          <w:p w14:paraId="7FCBD53A" w14:textId="77777777" w:rsidR="009B6AA8" w:rsidRPr="009E04D6" w:rsidRDefault="009B6AA8" w:rsidP="007E621A">
            <w:pPr>
              <w:rPr>
                <w:sz w:val="22"/>
                <w:szCs w:val="22"/>
                <w:vertAlign w:val="superscript"/>
              </w:rPr>
            </w:pPr>
            <w:r w:rsidRPr="009E04D6">
              <w:rPr>
                <w:sz w:val="22"/>
                <w:szCs w:val="22"/>
              </w:rPr>
              <w:t>Proteínas (g/100g)</w:t>
            </w:r>
            <w:r w:rsidRPr="009E04D6">
              <w:rPr>
                <w:sz w:val="22"/>
                <w:szCs w:val="22"/>
                <w:vertAlign w:val="superscript"/>
              </w:rPr>
              <w:t>**</w:t>
            </w:r>
          </w:p>
        </w:tc>
        <w:tc>
          <w:tcPr>
            <w:tcW w:w="1843" w:type="dxa"/>
            <w:tcBorders>
              <w:top w:val="nil"/>
              <w:left w:val="nil"/>
              <w:bottom w:val="nil"/>
              <w:right w:val="nil"/>
            </w:tcBorders>
            <w:shd w:val="clear" w:color="auto" w:fill="auto"/>
          </w:tcPr>
          <w:p w14:paraId="49C00BFA" w14:textId="77777777" w:rsidR="009B6AA8" w:rsidRPr="009E04D6" w:rsidRDefault="009B6AA8" w:rsidP="007E621A">
            <w:pPr>
              <w:jc w:val="center"/>
              <w:rPr>
                <w:sz w:val="22"/>
                <w:szCs w:val="22"/>
              </w:rPr>
            </w:pPr>
            <w:r>
              <w:rPr>
                <w:sz w:val="22"/>
                <w:szCs w:val="22"/>
              </w:rPr>
              <w:t>0</w:t>
            </w:r>
            <w:r w:rsidRPr="009E04D6">
              <w:rPr>
                <w:sz w:val="22"/>
                <w:szCs w:val="22"/>
              </w:rPr>
              <w:t>,</w:t>
            </w:r>
            <w:r>
              <w:rPr>
                <w:sz w:val="22"/>
                <w:szCs w:val="22"/>
              </w:rPr>
              <w:t>30</w:t>
            </w:r>
            <w:r w:rsidRPr="009E04D6">
              <w:rPr>
                <w:sz w:val="22"/>
                <w:szCs w:val="22"/>
              </w:rPr>
              <w:t xml:space="preserve"> </w:t>
            </w:r>
            <w:r w:rsidRPr="009E04D6">
              <w:rPr>
                <w:bCs/>
              </w:rPr>
              <w:t>± 0,</w:t>
            </w:r>
            <w:r>
              <w:rPr>
                <w:bCs/>
              </w:rPr>
              <w:t>03</w:t>
            </w:r>
            <w:r w:rsidRPr="009E04D6">
              <w:rPr>
                <w:bCs/>
                <w:vertAlign w:val="superscript"/>
              </w:rPr>
              <w:t>a</w:t>
            </w:r>
          </w:p>
        </w:tc>
        <w:tc>
          <w:tcPr>
            <w:tcW w:w="1843" w:type="dxa"/>
            <w:tcBorders>
              <w:top w:val="nil"/>
              <w:left w:val="nil"/>
              <w:bottom w:val="nil"/>
              <w:right w:val="single" w:sz="4" w:space="0" w:color="auto"/>
            </w:tcBorders>
            <w:shd w:val="clear" w:color="auto" w:fill="auto"/>
          </w:tcPr>
          <w:p w14:paraId="6798640A" w14:textId="77777777" w:rsidR="009B6AA8" w:rsidRPr="009E04D6" w:rsidRDefault="009B6AA8" w:rsidP="007E621A">
            <w:pPr>
              <w:jc w:val="center"/>
              <w:rPr>
                <w:sz w:val="22"/>
                <w:szCs w:val="22"/>
              </w:rPr>
            </w:pPr>
            <w:r>
              <w:rPr>
                <w:sz w:val="22"/>
                <w:szCs w:val="22"/>
              </w:rPr>
              <w:t>0</w:t>
            </w:r>
            <w:r w:rsidRPr="009E04D6">
              <w:rPr>
                <w:sz w:val="22"/>
                <w:szCs w:val="22"/>
              </w:rPr>
              <w:t>,</w:t>
            </w:r>
            <w:r>
              <w:rPr>
                <w:sz w:val="22"/>
                <w:szCs w:val="22"/>
              </w:rPr>
              <w:t>20</w:t>
            </w:r>
            <w:r w:rsidRPr="009E04D6">
              <w:rPr>
                <w:sz w:val="22"/>
                <w:szCs w:val="22"/>
              </w:rPr>
              <w:t xml:space="preserve"> </w:t>
            </w:r>
            <w:r w:rsidRPr="009E04D6">
              <w:rPr>
                <w:bCs/>
              </w:rPr>
              <w:t>± 0,</w:t>
            </w:r>
            <w:r>
              <w:rPr>
                <w:bCs/>
              </w:rPr>
              <w:t>02</w:t>
            </w:r>
            <w:r w:rsidRPr="009E04D6">
              <w:rPr>
                <w:bCs/>
                <w:vertAlign w:val="superscript"/>
              </w:rPr>
              <w:t>b</w:t>
            </w:r>
          </w:p>
        </w:tc>
        <w:tc>
          <w:tcPr>
            <w:tcW w:w="850" w:type="dxa"/>
            <w:tcBorders>
              <w:top w:val="nil"/>
              <w:left w:val="single" w:sz="4" w:space="0" w:color="auto"/>
              <w:bottom w:val="nil"/>
              <w:right w:val="nil"/>
            </w:tcBorders>
            <w:shd w:val="clear" w:color="auto" w:fill="auto"/>
          </w:tcPr>
          <w:p w14:paraId="5C42B4E3" w14:textId="77777777" w:rsidR="009B6AA8" w:rsidRPr="001C0C66" w:rsidRDefault="009B6AA8" w:rsidP="007E621A">
            <w:pPr>
              <w:jc w:val="center"/>
              <w:rPr>
                <w:i/>
                <w:sz w:val="18"/>
                <w:szCs w:val="18"/>
              </w:rPr>
            </w:pPr>
            <w:r>
              <w:rPr>
                <w:i/>
                <w:sz w:val="18"/>
                <w:szCs w:val="18"/>
              </w:rPr>
              <w:t>0,054</w:t>
            </w:r>
          </w:p>
        </w:tc>
        <w:tc>
          <w:tcPr>
            <w:tcW w:w="992" w:type="dxa"/>
            <w:tcBorders>
              <w:top w:val="nil"/>
              <w:left w:val="nil"/>
              <w:bottom w:val="nil"/>
              <w:right w:val="nil"/>
            </w:tcBorders>
            <w:shd w:val="clear" w:color="auto" w:fill="auto"/>
          </w:tcPr>
          <w:p w14:paraId="06225FD4" w14:textId="77777777" w:rsidR="009B6AA8" w:rsidRPr="006F454E" w:rsidRDefault="009B6AA8" w:rsidP="007E621A">
            <w:pPr>
              <w:jc w:val="center"/>
              <w:rPr>
                <w:i/>
                <w:sz w:val="18"/>
                <w:szCs w:val="18"/>
                <w:vertAlign w:val="superscript"/>
              </w:rPr>
            </w:pPr>
            <w:r>
              <w:rPr>
                <w:i/>
                <w:sz w:val="18"/>
                <w:szCs w:val="18"/>
              </w:rPr>
              <w:t>30,12</w:t>
            </w:r>
            <w:r>
              <w:rPr>
                <w:i/>
                <w:sz w:val="18"/>
                <w:szCs w:val="18"/>
                <w:vertAlign w:val="superscript"/>
              </w:rPr>
              <w:t>*</w:t>
            </w:r>
          </w:p>
        </w:tc>
        <w:tc>
          <w:tcPr>
            <w:tcW w:w="851" w:type="dxa"/>
            <w:tcBorders>
              <w:top w:val="nil"/>
              <w:left w:val="nil"/>
              <w:bottom w:val="nil"/>
              <w:right w:val="nil"/>
            </w:tcBorders>
          </w:tcPr>
          <w:p w14:paraId="6FC3090D" w14:textId="77777777" w:rsidR="009B6AA8" w:rsidRDefault="009B6AA8" w:rsidP="007E621A">
            <w:pPr>
              <w:jc w:val="center"/>
              <w:rPr>
                <w:i/>
                <w:sz w:val="18"/>
                <w:szCs w:val="18"/>
              </w:rPr>
            </w:pPr>
            <w:r>
              <w:rPr>
                <w:i/>
                <w:sz w:val="18"/>
                <w:szCs w:val="18"/>
              </w:rPr>
              <w:t>9,3966</w:t>
            </w:r>
          </w:p>
        </w:tc>
        <w:tc>
          <w:tcPr>
            <w:tcW w:w="236" w:type="dxa"/>
            <w:tcBorders>
              <w:top w:val="nil"/>
              <w:left w:val="nil"/>
              <w:bottom w:val="nil"/>
              <w:right w:val="nil"/>
            </w:tcBorders>
          </w:tcPr>
          <w:p w14:paraId="283F2B0A" w14:textId="77777777" w:rsidR="009B6AA8" w:rsidRDefault="009B6AA8" w:rsidP="007E621A">
            <w:pPr>
              <w:jc w:val="center"/>
              <w:rPr>
                <w:i/>
                <w:sz w:val="18"/>
                <w:szCs w:val="18"/>
              </w:rPr>
            </w:pPr>
          </w:p>
        </w:tc>
      </w:tr>
      <w:tr w:rsidR="009B6AA8" w:rsidRPr="009E04D6" w14:paraId="7CD2BF4B" w14:textId="77777777" w:rsidTr="007E621A">
        <w:tc>
          <w:tcPr>
            <w:tcW w:w="2660" w:type="dxa"/>
            <w:tcBorders>
              <w:top w:val="nil"/>
              <w:left w:val="nil"/>
              <w:bottom w:val="nil"/>
              <w:right w:val="nil"/>
            </w:tcBorders>
            <w:shd w:val="clear" w:color="auto" w:fill="auto"/>
          </w:tcPr>
          <w:p w14:paraId="5F4829A2" w14:textId="77777777" w:rsidR="009B6AA8" w:rsidRPr="009E04D6" w:rsidRDefault="009B6AA8" w:rsidP="007E621A">
            <w:pPr>
              <w:rPr>
                <w:sz w:val="22"/>
                <w:szCs w:val="22"/>
                <w:vertAlign w:val="superscript"/>
              </w:rPr>
            </w:pPr>
            <w:r w:rsidRPr="009E04D6">
              <w:rPr>
                <w:sz w:val="22"/>
                <w:szCs w:val="22"/>
              </w:rPr>
              <w:t>Lipídios (g/100g)</w:t>
            </w:r>
            <w:r w:rsidRPr="009E04D6">
              <w:rPr>
                <w:sz w:val="22"/>
                <w:szCs w:val="22"/>
                <w:vertAlign w:val="superscript"/>
              </w:rPr>
              <w:t>**</w:t>
            </w:r>
          </w:p>
        </w:tc>
        <w:tc>
          <w:tcPr>
            <w:tcW w:w="1843" w:type="dxa"/>
            <w:tcBorders>
              <w:top w:val="nil"/>
              <w:left w:val="nil"/>
              <w:bottom w:val="nil"/>
              <w:right w:val="nil"/>
            </w:tcBorders>
            <w:shd w:val="clear" w:color="auto" w:fill="auto"/>
          </w:tcPr>
          <w:p w14:paraId="6E72023E" w14:textId="77777777" w:rsidR="009B6AA8" w:rsidRPr="009E04D6" w:rsidRDefault="009B6AA8" w:rsidP="007E621A">
            <w:pPr>
              <w:jc w:val="center"/>
              <w:rPr>
                <w:sz w:val="22"/>
                <w:szCs w:val="22"/>
              </w:rPr>
            </w:pPr>
            <w:r>
              <w:rPr>
                <w:sz w:val="22"/>
                <w:szCs w:val="22"/>
              </w:rPr>
              <w:t>0</w:t>
            </w:r>
            <w:r w:rsidRPr="009E04D6">
              <w:rPr>
                <w:sz w:val="22"/>
                <w:szCs w:val="22"/>
              </w:rPr>
              <w:t>,</w:t>
            </w:r>
            <w:r>
              <w:rPr>
                <w:sz w:val="22"/>
                <w:szCs w:val="22"/>
              </w:rPr>
              <w:t>93</w:t>
            </w:r>
            <w:r w:rsidRPr="009E04D6">
              <w:rPr>
                <w:sz w:val="22"/>
                <w:szCs w:val="22"/>
              </w:rPr>
              <w:t xml:space="preserve"> </w:t>
            </w:r>
            <w:r w:rsidRPr="009E04D6">
              <w:rPr>
                <w:bCs/>
              </w:rPr>
              <w:t>± 0,</w:t>
            </w:r>
            <w:r>
              <w:rPr>
                <w:bCs/>
              </w:rPr>
              <w:t>08</w:t>
            </w:r>
            <w:r w:rsidRPr="009E04D6">
              <w:rPr>
                <w:bCs/>
                <w:vertAlign w:val="superscript"/>
              </w:rPr>
              <w:t>a</w:t>
            </w:r>
          </w:p>
        </w:tc>
        <w:tc>
          <w:tcPr>
            <w:tcW w:w="1843" w:type="dxa"/>
            <w:tcBorders>
              <w:top w:val="nil"/>
              <w:left w:val="nil"/>
              <w:bottom w:val="nil"/>
              <w:right w:val="single" w:sz="4" w:space="0" w:color="auto"/>
            </w:tcBorders>
            <w:shd w:val="clear" w:color="auto" w:fill="auto"/>
          </w:tcPr>
          <w:p w14:paraId="26CCEEEC" w14:textId="77777777" w:rsidR="009B6AA8" w:rsidRPr="009E04D6" w:rsidRDefault="009B6AA8" w:rsidP="007E621A">
            <w:pPr>
              <w:jc w:val="center"/>
              <w:rPr>
                <w:sz w:val="22"/>
                <w:szCs w:val="22"/>
              </w:rPr>
            </w:pPr>
            <w:r>
              <w:rPr>
                <w:sz w:val="22"/>
                <w:szCs w:val="22"/>
              </w:rPr>
              <w:t>0</w:t>
            </w:r>
            <w:r w:rsidRPr="009E04D6">
              <w:rPr>
                <w:sz w:val="22"/>
                <w:szCs w:val="22"/>
              </w:rPr>
              <w:t>,</w:t>
            </w:r>
            <w:r>
              <w:rPr>
                <w:sz w:val="22"/>
                <w:szCs w:val="22"/>
              </w:rPr>
              <w:t>60</w:t>
            </w:r>
            <w:r w:rsidRPr="009E04D6">
              <w:rPr>
                <w:sz w:val="22"/>
                <w:szCs w:val="22"/>
              </w:rPr>
              <w:t xml:space="preserve"> </w:t>
            </w:r>
            <w:r w:rsidRPr="009E04D6">
              <w:rPr>
                <w:bCs/>
              </w:rPr>
              <w:t>± 0,</w:t>
            </w:r>
            <w:r>
              <w:rPr>
                <w:bCs/>
              </w:rPr>
              <w:t>09</w:t>
            </w:r>
            <w:r w:rsidRPr="009E04D6">
              <w:rPr>
                <w:bCs/>
                <w:vertAlign w:val="superscript"/>
              </w:rPr>
              <w:t>b</w:t>
            </w:r>
          </w:p>
        </w:tc>
        <w:tc>
          <w:tcPr>
            <w:tcW w:w="850" w:type="dxa"/>
            <w:tcBorders>
              <w:top w:val="nil"/>
              <w:left w:val="single" w:sz="4" w:space="0" w:color="auto"/>
              <w:bottom w:val="nil"/>
              <w:right w:val="nil"/>
            </w:tcBorders>
            <w:shd w:val="clear" w:color="auto" w:fill="auto"/>
          </w:tcPr>
          <w:p w14:paraId="1EF6AAE1" w14:textId="77777777" w:rsidR="009B6AA8" w:rsidRPr="001C0C66" w:rsidRDefault="009B6AA8" w:rsidP="007E621A">
            <w:pPr>
              <w:jc w:val="center"/>
              <w:rPr>
                <w:i/>
                <w:sz w:val="18"/>
                <w:szCs w:val="18"/>
              </w:rPr>
            </w:pPr>
            <w:r>
              <w:rPr>
                <w:i/>
                <w:sz w:val="18"/>
                <w:szCs w:val="18"/>
              </w:rPr>
              <w:t>0,1416</w:t>
            </w:r>
          </w:p>
        </w:tc>
        <w:tc>
          <w:tcPr>
            <w:tcW w:w="992" w:type="dxa"/>
            <w:tcBorders>
              <w:top w:val="nil"/>
              <w:left w:val="nil"/>
              <w:bottom w:val="nil"/>
              <w:right w:val="nil"/>
            </w:tcBorders>
            <w:shd w:val="clear" w:color="auto" w:fill="auto"/>
          </w:tcPr>
          <w:p w14:paraId="780636BA" w14:textId="77777777" w:rsidR="009B6AA8" w:rsidRPr="001C0C66" w:rsidRDefault="009B6AA8" w:rsidP="007E621A">
            <w:pPr>
              <w:jc w:val="center"/>
              <w:rPr>
                <w:i/>
                <w:sz w:val="18"/>
                <w:szCs w:val="18"/>
              </w:rPr>
            </w:pPr>
            <w:r>
              <w:rPr>
                <w:i/>
                <w:sz w:val="18"/>
                <w:szCs w:val="18"/>
              </w:rPr>
              <w:t>41,88*</w:t>
            </w:r>
          </w:p>
        </w:tc>
        <w:tc>
          <w:tcPr>
            <w:tcW w:w="851" w:type="dxa"/>
            <w:tcBorders>
              <w:top w:val="nil"/>
              <w:left w:val="nil"/>
              <w:bottom w:val="nil"/>
              <w:right w:val="nil"/>
            </w:tcBorders>
          </w:tcPr>
          <w:p w14:paraId="216E783B" w14:textId="77777777" w:rsidR="009B6AA8" w:rsidRDefault="009B6AA8" w:rsidP="007E621A">
            <w:pPr>
              <w:jc w:val="center"/>
              <w:rPr>
                <w:i/>
                <w:sz w:val="18"/>
                <w:szCs w:val="18"/>
              </w:rPr>
            </w:pPr>
            <w:r>
              <w:rPr>
                <w:i/>
                <w:sz w:val="18"/>
                <w:szCs w:val="18"/>
              </w:rPr>
              <w:t>8,1634</w:t>
            </w:r>
          </w:p>
        </w:tc>
        <w:tc>
          <w:tcPr>
            <w:tcW w:w="236" w:type="dxa"/>
            <w:tcBorders>
              <w:top w:val="nil"/>
              <w:left w:val="nil"/>
              <w:bottom w:val="nil"/>
              <w:right w:val="nil"/>
            </w:tcBorders>
          </w:tcPr>
          <w:p w14:paraId="26073040" w14:textId="77777777" w:rsidR="009B6AA8" w:rsidRDefault="009B6AA8" w:rsidP="007E621A">
            <w:pPr>
              <w:jc w:val="center"/>
              <w:rPr>
                <w:i/>
                <w:sz w:val="18"/>
                <w:szCs w:val="18"/>
              </w:rPr>
            </w:pPr>
          </w:p>
        </w:tc>
      </w:tr>
      <w:tr w:rsidR="009B6AA8" w:rsidRPr="009E04D6" w14:paraId="7600A538" w14:textId="77777777" w:rsidTr="007E621A">
        <w:tc>
          <w:tcPr>
            <w:tcW w:w="2660" w:type="dxa"/>
            <w:tcBorders>
              <w:top w:val="nil"/>
              <w:left w:val="nil"/>
              <w:bottom w:val="nil"/>
              <w:right w:val="nil"/>
            </w:tcBorders>
            <w:shd w:val="clear" w:color="auto" w:fill="auto"/>
          </w:tcPr>
          <w:p w14:paraId="3C019B5B" w14:textId="77777777" w:rsidR="009B6AA8" w:rsidRPr="009E04D6" w:rsidRDefault="009B6AA8" w:rsidP="007E621A">
            <w:pPr>
              <w:rPr>
                <w:sz w:val="22"/>
                <w:szCs w:val="22"/>
              </w:rPr>
            </w:pPr>
            <w:r>
              <w:rPr>
                <w:sz w:val="22"/>
                <w:szCs w:val="22"/>
              </w:rPr>
              <w:t>Carboidratos (g/100g)</w:t>
            </w:r>
            <w:r w:rsidRPr="009E04D6">
              <w:rPr>
                <w:sz w:val="22"/>
                <w:szCs w:val="22"/>
                <w:vertAlign w:val="superscript"/>
              </w:rPr>
              <w:t>**</w:t>
            </w:r>
          </w:p>
        </w:tc>
        <w:tc>
          <w:tcPr>
            <w:tcW w:w="1843" w:type="dxa"/>
            <w:tcBorders>
              <w:top w:val="nil"/>
              <w:left w:val="nil"/>
              <w:bottom w:val="nil"/>
              <w:right w:val="nil"/>
            </w:tcBorders>
            <w:shd w:val="clear" w:color="auto" w:fill="auto"/>
          </w:tcPr>
          <w:p w14:paraId="24B1B652" w14:textId="77777777" w:rsidR="009B6AA8" w:rsidRPr="009E04D6" w:rsidRDefault="009B6AA8" w:rsidP="007E621A">
            <w:pPr>
              <w:jc w:val="center"/>
              <w:rPr>
                <w:sz w:val="22"/>
                <w:szCs w:val="22"/>
              </w:rPr>
            </w:pPr>
            <w:r w:rsidRPr="009E04D6">
              <w:rPr>
                <w:sz w:val="22"/>
                <w:szCs w:val="22"/>
              </w:rPr>
              <w:t>1</w:t>
            </w:r>
            <w:r>
              <w:rPr>
                <w:sz w:val="22"/>
                <w:szCs w:val="22"/>
              </w:rPr>
              <w:t>6</w:t>
            </w:r>
            <w:r w:rsidRPr="009E04D6">
              <w:rPr>
                <w:sz w:val="22"/>
                <w:szCs w:val="22"/>
              </w:rPr>
              <w:t>,</w:t>
            </w:r>
            <w:r>
              <w:rPr>
                <w:sz w:val="22"/>
                <w:szCs w:val="22"/>
              </w:rPr>
              <w:t>61</w:t>
            </w:r>
            <w:r w:rsidRPr="009E04D6">
              <w:rPr>
                <w:sz w:val="22"/>
                <w:szCs w:val="22"/>
              </w:rPr>
              <w:t xml:space="preserve"> </w:t>
            </w:r>
            <w:r w:rsidRPr="009E04D6">
              <w:rPr>
                <w:bCs/>
              </w:rPr>
              <w:t>± 0,</w:t>
            </w:r>
            <w:r>
              <w:rPr>
                <w:bCs/>
              </w:rPr>
              <w:t>20</w:t>
            </w:r>
            <w:r w:rsidRPr="009E04D6">
              <w:rPr>
                <w:bCs/>
                <w:vertAlign w:val="superscript"/>
              </w:rPr>
              <w:t>a</w:t>
            </w:r>
          </w:p>
        </w:tc>
        <w:tc>
          <w:tcPr>
            <w:tcW w:w="1843" w:type="dxa"/>
            <w:tcBorders>
              <w:top w:val="nil"/>
              <w:left w:val="nil"/>
              <w:bottom w:val="nil"/>
              <w:right w:val="single" w:sz="4" w:space="0" w:color="auto"/>
            </w:tcBorders>
            <w:shd w:val="clear" w:color="auto" w:fill="auto"/>
          </w:tcPr>
          <w:p w14:paraId="50AC2D79" w14:textId="77777777" w:rsidR="009B6AA8" w:rsidRPr="009E04D6" w:rsidRDefault="009B6AA8" w:rsidP="007E621A">
            <w:pPr>
              <w:jc w:val="center"/>
              <w:rPr>
                <w:sz w:val="22"/>
                <w:szCs w:val="22"/>
              </w:rPr>
            </w:pPr>
            <w:r>
              <w:rPr>
                <w:sz w:val="22"/>
                <w:szCs w:val="22"/>
              </w:rPr>
              <w:t>16</w:t>
            </w:r>
            <w:r w:rsidRPr="009E04D6">
              <w:rPr>
                <w:sz w:val="22"/>
                <w:szCs w:val="22"/>
              </w:rPr>
              <w:t>,</w:t>
            </w:r>
            <w:r>
              <w:rPr>
                <w:sz w:val="22"/>
                <w:szCs w:val="22"/>
              </w:rPr>
              <w:t>22</w:t>
            </w:r>
            <w:r w:rsidRPr="009E04D6">
              <w:rPr>
                <w:sz w:val="22"/>
                <w:szCs w:val="22"/>
              </w:rPr>
              <w:t xml:space="preserve"> </w:t>
            </w:r>
            <w:r w:rsidRPr="009E04D6">
              <w:rPr>
                <w:bCs/>
              </w:rPr>
              <w:t>± 0,</w:t>
            </w:r>
            <w:r>
              <w:rPr>
                <w:bCs/>
              </w:rPr>
              <w:t>37</w:t>
            </w:r>
            <w:r>
              <w:rPr>
                <w:bCs/>
                <w:vertAlign w:val="superscript"/>
              </w:rPr>
              <w:t>a</w:t>
            </w:r>
          </w:p>
        </w:tc>
        <w:tc>
          <w:tcPr>
            <w:tcW w:w="850" w:type="dxa"/>
            <w:tcBorders>
              <w:top w:val="nil"/>
              <w:left w:val="single" w:sz="4" w:space="0" w:color="auto"/>
              <w:bottom w:val="nil"/>
              <w:right w:val="nil"/>
            </w:tcBorders>
            <w:shd w:val="clear" w:color="auto" w:fill="auto"/>
          </w:tcPr>
          <w:p w14:paraId="785951F2" w14:textId="77777777" w:rsidR="009B6AA8" w:rsidRPr="001C0C66" w:rsidRDefault="009B6AA8" w:rsidP="007E621A">
            <w:pPr>
              <w:jc w:val="center"/>
              <w:rPr>
                <w:i/>
                <w:sz w:val="18"/>
                <w:szCs w:val="18"/>
              </w:rPr>
            </w:pPr>
            <w:r>
              <w:rPr>
                <w:i/>
                <w:sz w:val="18"/>
                <w:szCs w:val="18"/>
              </w:rPr>
              <w:t>0,6871</w:t>
            </w:r>
          </w:p>
        </w:tc>
        <w:tc>
          <w:tcPr>
            <w:tcW w:w="992" w:type="dxa"/>
            <w:tcBorders>
              <w:top w:val="nil"/>
              <w:left w:val="nil"/>
              <w:bottom w:val="nil"/>
              <w:right w:val="nil"/>
            </w:tcBorders>
            <w:shd w:val="clear" w:color="auto" w:fill="auto"/>
          </w:tcPr>
          <w:p w14:paraId="15A9ACB3" w14:textId="77777777" w:rsidR="009B6AA8" w:rsidRPr="00924A41" w:rsidRDefault="009B6AA8" w:rsidP="007E621A">
            <w:pPr>
              <w:jc w:val="center"/>
              <w:rPr>
                <w:i/>
                <w:sz w:val="18"/>
                <w:szCs w:val="18"/>
                <w:vertAlign w:val="superscript"/>
              </w:rPr>
            </w:pPr>
            <w:r>
              <w:rPr>
                <w:i/>
                <w:sz w:val="18"/>
                <w:szCs w:val="18"/>
              </w:rPr>
              <w:t>2,44</w:t>
            </w:r>
            <w:r>
              <w:rPr>
                <w:i/>
                <w:sz w:val="18"/>
                <w:szCs w:val="18"/>
                <w:vertAlign w:val="superscript"/>
              </w:rPr>
              <w:t>ns</w:t>
            </w:r>
          </w:p>
        </w:tc>
        <w:tc>
          <w:tcPr>
            <w:tcW w:w="851" w:type="dxa"/>
            <w:tcBorders>
              <w:top w:val="nil"/>
              <w:left w:val="nil"/>
              <w:bottom w:val="nil"/>
              <w:right w:val="nil"/>
            </w:tcBorders>
          </w:tcPr>
          <w:p w14:paraId="29530534" w14:textId="77777777" w:rsidR="009B6AA8" w:rsidRDefault="009B6AA8" w:rsidP="007E621A">
            <w:pPr>
              <w:jc w:val="center"/>
              <w:rPr>
                <w:i/>
                <w:sz w:val="18"/>
                <w:szCs w:val="18"/>
              </w:rPr>
            </w:pPr>
            <w:r>
              <w:rPr>
                <w:i/>
                <w:sz w:val="18"/>
                <w:szCs w:val="18"/>
              </w:rPr>
              <w:t>1,8463</w:t>
            </w:r>
          </w:p>
        </w:tc>
        <w:tc>
          <w:tcPr>
            <w:tcW w:w="236" w:type="dxa"/>
            <w:tcBorders>
              <w:top w:val="nil"/>
              <w:left w:val="nil"/>
              <w:bottom w:val="nil"/>
              <w:right w:val="nil"/>
            </w:tcBorders>
          </w:tcPr>
          <w:p w14:paraId="70FB5BE0" w14:textId="77777777" w:rsidR="009B6AA8" w:rsidRDefault="009B6AA8" w:rsidP="007E621A">
            <w:pPr>
              <w:jc w:val="center"/>
              <w:rPr>
                <w:i/>
                <w:sz w:val="18"/>
                <w:szCs w:val="18"/>
              </w:rPr>
            </w:pPr>
          </w:p>
        </w:tc>
      </w:tr>
      <w:tr w:rsidR="009B6AA8" w:rsidRPr="009E04D6" w14:paraId="19BC8243" w14:textId="77777777" w:rsidTr="007E621A">
        <w:tc>
          <w:tcPr>
            <w:tcW w:w="2660" w:type="dxa"/>
            <w:tcBorders>
              <w:top w:val="nil"/>
              <w:left w:val="nil"/>
              <w:bottom w:val="single" w:sz="4" w:space="0" w:color="auto"/>
              <w:right w:val="nil"/>
            </w:tcBorders>
            <w:shd w:val="clear" w:color="auto" w:fill="auto"/>
          </w:tcPr>
          <w:p w14:paraId="11CF577F" w14:textId="77777777" w:rsidR="009B6AA8" w:rsidRPr="009E04D6" w:rsidRDefault="009B6AA8" w:rsidP="007E621A">
            <w:pPr>
              <w:rPr>
                <w:sz w:val="22"/>
                <w:szCs w:val="22"/>
              </w:rPr>
            </w:pPr>
            <w:r>
              <w:rPr>
                <w:sz w:val="22"/>
                <w:szCs w:val="22"/>
              </w:rPr>
              <w:t>VET (kcal/100g)</w:t>
            </w:r>
          </w:p>
        </w:tc>
        <w:tc>
          <w:tcPr>
            <w:tcW w:w="1843" w:type="dxa"/>
            <w:tcBorders>
              <w:top w:val="nil"/>
              <w:left w:val="nil"/>
              <w:bottom w:val="single" w:sz="4" w:space="0" w:color="auto"/>
              <w:right w:val="nil"/>
            </w:tcBorders>
            <w:shd w:val="clear" w:color="auto" w:fill="auto"/>
          </w:tcPr>
          <w:p w14:paraId="5A5C6A3E" w14:textId="77777777" w:rsidR="009B6AA8" w:rsidRPr="009E04D6" w:rsidRDefault="009B6AA8" w:rsidP="007E621A">
            <w:pPr>
              <w:jc w:val="center"/>
              <w:rPr>
                <w:sz w:val="22"/>
                <w:szCs w:val="22"/>
              </w:rPr>
            </w:pPr>
            <w:r>
              <w:rPr>
                <w:sz w:val="22"/>
                <w:szCs w:val="22"/>
              </w:rPr>
              <w:t>76,01</w:t>
            </w:r>
          </w:p>
        </w:tc>
        <w:tc>
          <w:tcPr>
            <w:tcW w:w="1843" w:type="dxa"/>
            <w:tcBorders>
              <w:top w:val="nil"/>
              <w:left w:val="nil"/>
              <w:bottom w:val="single" w:sz="4" w:space="0" w:color="auto"/>
              <w:right w:val="single" w:sz="4" w:space="0" w:color="auto"/>
            </w:tcBorders>
            <w:shd w:val="clear" w:color="auto" w:fill="auto"/>
          </w:tcPr>
          <w:p w14:paraId="2664B4D3" w14:textId="77777777" w:rsidR="009B6AA8" w:rsidRPr="009E04D6" w:rsidRDefault="009B6AA8" w:rsidP="007E621A">
            <w:pPr>
              <w:jc w:val="center"/>
              <w:rPr>
                <w:sz w:val="22"/>
                <w:szCs w:val="22"/>
              </w:rPr>
            </w:pPr>
            <w:r>
              <w:rPr>
                <w:sz w:val="22"/>
                <w:szCs w:val="22"/>
              </w:rPr>
              <w:t>71,08</w:t>
            </w:r>
          </w:p>
        </w:tc>
        <w:tc>
          <w:tcPr>
            <w:tcW w:w="850" w:type="dxa"/>
            <w:tcBorders>
              <w:top w:val="nil"/>
              <w:left w:val="single" w:sz="4" w:space="0" w:color="auto"/>
              <w:bottom w:val="single" w:sz="4" w:space="0" w:color="auto"/>
              <w:right w:val="nil"/>
            </w:tcBorders>
            <w:shd w:val="clear" w:color="auto" w:fill="auto"/>
          </w:tcPr>
          <w:p w14:paraId="0079D680" w14:textId="77777777" w:rsidR="009B6AA8" w:rsidRPr="001C0C66" w:rsidRDefault="009B6AA8" w:rsidP="007E621A">
            <w:pPr>
              <w:jc w:val="center"/>
              <w:rPr>
                <w:i/>
                <w:sz w:val="18"/>
                <w:szCs w:val="18"/>
              </w:rPr>
            </w:pPr>
          </w:p>
        </w:tc>
        <w:tc>
          <w:tcPr>
            <w:tcW w:w="992" w:type="dxa"/>
            <w:tcBorders>
              <w:top w:val="nil"/>
              <w:left w:val="nil"/>
              <w:bottom w:val="single" w:sz="4" w:space="0" w:color="auto"/>
              <w:right w:val="nil"/>
            </w:tcBorders>
            <w:shd w:val="clear" w:color="auto" w:fill="auto"/>
          </w:tcPr>
          <w:p w14:paraId="5D26A9CA" w14:textId="77777777" w:rsidR="009B6AA8" w:rsidRPr="001C0C66" w:rsidRDefault="009B6AA8" w:rsidP="007E621A">
            <w:pPr>
              <w:jc w:val="center"/>
              <w:rPr>
                <w:i/>
                <w:sz w:val="18"/>
                <w:szCs w:val="18"/>
              </w:rPr>
            </w:pPr>
          </w:p>
        </w:tc>
        <w:tc>
          <w:tcPr>
            <w:tcW w:w="851" w:type="dxa"/>
            <w:tcBorders>
              <w:top w:val="nil"/>
              <w:left w:val="nil"/>
              <w:bottom w:val="single" w:sz="4" w:space="0" w:color="auto"/>
              <w:right w:val="nil"/>
            </w:tcBorders>
          </w:tcPr>
          <w:p w14:paraId="2F4C9A8E" w14:textId="77777777" w:rsidR="009B6AA8" w:rsidRPr="001C0C66" w:rsidRDefault="009B6AA8" w:rsidP="007E621A">
            <w:pPr>
              <w:jc w:val="center"/>
              <w:rPr>
                <w:i/>
                <w:sz w:val="18"/>
                <w:szCs w:val="18"/>
              </w:rPr>
            </w:pPr>
          </w:p>
        </w:tc>
        <w:tc>
          <w:tcPr>
            <w:tcW w:w="236" w:type="dxa"/>
            <w:tcBorders>
              <w:top w:val="nil"/>
              <w:left w:val="nil"/>
              <w:bottom w:val="single" w:sz="4" w:space="0" w:color="auto"/>
              <w:right w:val="nil"/>
            </w:tcBorders>
          </w:tcPr>
          <w:p w14:paraId="28D1F54E" w14:textId="77777777" w:rsidR="009B6AA8" w:rsidRPr="001C0C66" w:rsidRDefault="009B6AA8" w:rsidP="007E621A">
            <w:pPr>
              <w:jc w:val="center"/>
              <w:rPr>
                <w:i/>
                <w:sz w:val="18"/>
                <w:szCs w:val="18"/>
              </w:rPr>
            </w:pPr>
          </w:p>
        </w:tc>
      </w:tr>
    </w:tbl>
    <w:p w14:paraId="6FDDFE68" w14:textId="77777777" w:rsidR="009B6AA8" w:rsidRPr="000222A3" w:rsidRDefault="009B6AA8" w:rsidP="00950987">
      <w:pPr>
        <w:autoSpaceDE w:val="0"/>
        <w:autoSpaceDN w:val="0"/>
        <w:adjustRightInd w:val="0"/>
        <w:ind w:right="140"/>
        <w:jc w:val="both"/>
        <w:rPr>
          <w:sz w:val="18"/>
          <w:szCs w:val="18"/>
        </w:rPr>
      </w:pPr>
      <w:r>
        <w:rPr>
          <w:sz w:val="18"/>
          <w:szCs w:val="18"/>
        </w:rPr>
        <w:lastRenderedPageBreak/>
        <w:t xml:space="preserve">SST – Sólidos solúveis totais. ATT – Acidez total </w:t>
      </w:r>
      <w:proofErr w:type="spellStart"/>
      <w:r>
        <w:rPr>
          <w:sz w:val="18"/>
          <w:szCs w:val="18"/>
        </w:rPr>
        <w:t>titulável</w:t>
      </w:r>
      <w:proofErr w:type="spellEnd"/>
      <w:r>
        <w:rPr>
          <w:sz w:val="18"/>
          <w:szCs w:val="18"/>
        </w:rPr>
        <w:t xml:space="preserve">. </w:t>
      </w:r>
      <w:r w:rsidRPr="000222A3">
        <w:rPr>
          <w:sz w:val="18"/>
          <w:szCs w:val="18"/>
        </w:rPr>
        <w:t xml:space="preserve">DMS – Diferença mínima significativa; médias seguidas pela mesma letra na mesma linha não diferem estatisticamente entre si pelo teste de </w:t>
      </w:r>
      <w:proofErr w:type="spellStart"/>
      <w:r w:rsidRPr="000222A3">
        <w:rPr>
          <w:sz w:val="18"/>
          <w:szCs w:val="18"/>
        </w:rPr>
        <w:t>Tukey</w:t>
      </w:r>
      <w:proofErr w:type="spellEnd"/>
      <w:r w:rsidRPr="000222A3">
        <w:rPr>
          <w:sz w:val="18"/>
          <w:szCs w:val="18"/>
        </w:rPr>
        <w:t xml:space="preserve"> ao nível de 5% de probabilidade; </w:t>
      </w:r>
      <w:proofErr w:type="spellStart"/>
      <w:r w:rsidRPr="000222A3">
        <w:rPr>
          <w:sz w:val="18"/>
          <w:szCs w:val="18"/>
        </w:rPr>
        <w:t>ns</w:t>
      </w:r>
      <w:proofErr w:type="spellEnd"/>
      <w:r w:rsidRPr="000222A3">
        <w:rPr>
          <w:sz w:val="18"/>
          <w:szCs w:val="18"/>
        </w:rPr>
        <w:t xml:space="preserve"> - não significativo; * - significativo ao nível de 5% de probabilidade. CV - coeficiente de variação experimental; </w:t>
      </w:r>
      <w:r w:rsidRPr="000222A3">
        <w:rPr>
          <w:sz w:val="18"/>
          <w:szCs w:val="18"/>
          <w:vertAlign w:val="superscript"/>
        </w:rPr>
        <w:t>**</w:t>
      </w:r>
      <w:r w:rsidRPr="000222A3">
        <w:rPr>
          <w:sz w:val="18"/>
          <w:szCs w:val="18"/>
        </w:rPr>
        <w:t>Resultados em base úmida. VET – Valor Energético Total.</w:t>
      </w:r>
      <w:r>
        <w:rPr>
          <w:sz w:val="18"/>
          <w:szCs w:val="18"/>
        </w:rPr>
        <w:t xml:space="preserve"> </w:t>
      </w:r>
      <w:r>
        <w:t>Os v</w:t>
      </w:r>
      <w:r w:rsidRPr="00E35819">
        <w:t>alores</w:t>
      </w:r>
      <w:r>
        <w:t xml:space="preserve"> representam a </w:t>
      </w:r>
      <w:r w:rsidRPr="00E35819">
        <w:t>médi</w:t>
      </w:r>
      <w:r>
        <w:t>a</w:t>
      </w:r>
      <w:r w:rsidRPr="00E35819">
        <w:t xml:space="preserve"> </w:t>
      </w:r>
      <w:r w:rsidRPr="00E35819">
        <w:rPr>
          <w:bCs/>
        </w:rPr>
        <w:t xml:space="preserve">± desvio padrão </w:t>
      </w:r>
      <w:r>
        <w:rPr>
          <w:bCs/>
        </w:rPr>
        <w:t xml:space="preserve">de três </w:t>
      </w:r>
      <w:proofErr w:type="spellStart"/>
      <w:r>
        <w:rPr>
          <w:bCs/>
        </w:rPr>
        <w:t>replicatas</w:t>
      </w:r>
      <w:proofErr w:type="spellEnd"/>
      <w:r w:rsidRPr="00E35819">
        <w:rPr>
          <w:bCs/>
        </w:rPr>
        <w:t xml:space="preserve"> (n = 3)</w:t>
      </w:r>
      <w:r>
        <w:rPr>
          <w:bCs/>
        </w:rPr>
        <w:t>.</w:t>
      </w:r>
    </w:p>
    <w:p w14:paraId="6D34D37F" w14:textId="77777777" w:rsidR="009B6AA8" w:rsidRPr="003C21D2" w:rsidRDefault="009B6AA8" w:rsidP="009B6AA8">
      <w:pPr>
        <w:pStyle w:val="TtulodeTabela"/>
        <w:spacing w:after="0" w:line="360" w:lineRule="auto"/>
        <w:ind w:firstLine="708"/>
        <w:rPr>
          <w:rFonts w:ascii="Times New Roman" w:hAnsi="Times New Roman" w:cs="Times New Roman"/>
        </w:rPr>
      </w:pPr>
      <w:r w:rsidRPr="00501CA0">
        <w:rPr>
          <w:rFonts w:ascii="Times New Roman" w:hAnsi="Times New Roman" w:cs="Times New Roman"/>
        </w:rPr>
        <w:t>Os</w:t>
      </w:r>
      <w:r>
        <w:rPr>
          <w:rFonts w:ascii="Times New Roman" w:hAnsi="Times New Roman" w:cs="Times New Roman"/>
        </w:rPr>
        <w:t xml:space="preserve"> valores médios obtidos para os parâmetros avaliados, pH e carboidratos </w:t>
      </w:r>
      <w:r w:rsidRPr="00501CA0">
        <w:rPr>
          <w:rFonts w:ascii="Times New Roman" w:hAnsi="Times New Roman" w:cs="Times New Roman"/>
        </w:rPr>
        <w:t xml:space="preserve">não diferiram (p &gt; 0,05) entre </w:t>
      </w:r>
      <w:r>
        <w:rPr>
          <w:rFonts w:ascii="Times New Roman" w:hAnsi="Times New Roman" w:cs="Times New Roman"/>
        </w:rPr>
        <w:t>as duas formulações de néctar (F1: 50% de polpa e F2: 25% de polpa de maracujá) (Tabela 1). Para os t</w:t>
      </w:r>
      <w:r w:rsidRPr="00501CA0">
        <w:rPr>
          <w:rFonts w:ascii="Times New Roman" w:hAnsi="Times New Roman" w:cs="Times New Roman"/>
        </w:rPr>
        <w:t>eor</w:t>
      </w:r>
      <w:r>
        <w:rPr>
          <w:rFonts w:ascii="Times New Roman" w:hAnsi="Times New Roman" w:cs="Times New Roman"/>
        </w:rPr>
        <w:t>es</w:t>
      </w:r>
      <w:r w:rsidRPr="00501CA0">
        <w:rPr>
          <w:rFonts w:ascii="Times New Roman" w:hAnsi="Times New Roman" w:cs="Times New Roman"/>
        </w:rPr>
        <w:t xml:space="preserve"> de </w:t>
      </w:r>
      <w:r>
        <w:rPr>
          <w:rFonts w:ascii="Times New Roman" w:hAnsi="Times New Roman" w:cs="Times New Roman"/>
        </w:rPr>
        <w:t xml:space="preserve">sólidos solúveis totais (SST), acidez total </w:t>
      </w:r>
      <w:proofErr w:type="spellStart"/>
      <w:r>
        <w:rPr>
          <w:rFonts w:ascii="Times New Roman" w:hAnsi="Times New Roman" w:cs="Times New Roman"/>
        </w:rPr>
        <w:t>titulável</w:t>
      </w:r>
      <w:proofErr w:type="spellEnd"/>
      <w:r>
        <w:rPr>
          <w:rFonts w:ascii="Times New Roman" w:hAnsi="Times New Roman" w:cs="Times New Roman"/>
        </w:rPr>
        <w:t xml:space="preserve"> (ATT),</w:t>
      </w:r>
      <w:r w:rsidRPr="00501CA0">
        <w:rPr>
          <w:rFonts w:ascii="Times New Roman" w:hAnsi="Times New Roman" w:cs="Times New Roman"/>
        </w:rPr>
        <w:t xml:space="preserve"> </w:t>
      </w:r>
      <w:r>
        <w:rPr>
          <w:rFonts w:ascii="Times New Roman" w:hAnsi="Times New Roman" w:cs="Times New Roman"/>
        </w:rPr>
        <w:t xml:space="preserve">cinzas, lipídios e </w:t>
      </w:r>
      <w:r w:rsidRPr="00501CA0">
        <w:rPr>
          <w:rFonts w:ascii="Times New Roman" w:hAnsi="Times New Roman" w:cs="Times New Roman"/>
        </w:rPr>
        <w:t>proteínas</w:t>
      </w:r>
      <w:r>
        <w:rPr>
          <w:rFonts w:ascii="Times New Roman" w:hAnsi="Times New Roman" w:cs="Times New Roman"/>
        </w:rPr>
        <w:t xml:space="preserve"> foram maiores no néctar F1 </w:t>
      </w:r>
      <w:r w:rsidRPr="00501CA0">
        <w:rPr>
          <w:rFonts w:ascii="Times New Roman" w:hAnsi="Times New Roman" w:cs="Times New Roman"/>
        </w:rPr>
        <w:t>(p &lt; 0,05)</w:t>
      </w:r>
      <w:r>
        <w:rPr>
          <w:rFonts w:ascii="Times New Roman" w:hAnsi="Times New Roman" w:cs="Times New Roman"/>
        </w:rPr>
        <w:t xml:space="preserve"> (Tabela 3). Apenas o parâmetro </w:t>
      </w:r>
      <w:r w:rsidRPr="00501CA0">
        <w:rPr>
          <w:rFonts w:ascii="Times New Roman" w:hAnsi="Times New Roman" w:cs="Times New Roman"/>
        </w:rPr>
        <w:t>umidade</w:t>
      </w:r>
      <w:r>
        <w:rPr>
          <w:rFonts w:ascii="Times New Roman" w:hAnsi="Times New Roman" w:cs="Times New Roman"/>
        </w:rPr>
        <w:t xml:space="preserve"> apresentou valor médio superior na formulação de néctar F2 (p </w:t>
      </w:r>
      <w:r w:rsidRPr="003C21D2">
        <w:rPr>
          <w:rFonts w:ascii="Times New Roman" w:hAnsi="Times New Roman" w:cs="Times New Roman"/>
        </w:rPr>
        <w:t xml:space="preserve">&lt; 0,05) (Tabela </w:t>
      </w:r>
      <w:r>
        <w:rPr>
          <w:rFonts w:ascii="Times New Roman" w:hAnsi="Times New Roman" w:cs="Times New Roman"/>
        </w:rPr>
        <w:t>1</w:t>
      </w:r>
      <w:r w:rsidRPr="003C21D2">
        <w:rPr>
          <w:rFonts w:ascii="Times New Roman" w:hAnsi="Times New Roman" w:cs="Times New Roman"/>
        </w:rPr>
        <w:t>), fato este explicado pela menor concentração de polpa no produto.</w:t>
      </w:r>
    </w:p>
    <w:p w14:paraId="1EA2AC45" w14:textId="77777777" w:rsidR="009B6AA8" w:rsidRPr="009B6AA8" w:rsidRDefault="009B6AA8" w:rsidP="009B6AA8">
      <w:pPr>
        <w:spacing w:line="360" w:lineRule="auto"/>
        <w:ind w:firstLine="708"/>
        <w:jc w:val="both"/>
        <w:rPr>
          <w:sz w:val="24"/>
          <w:szCs w:val="24"/>
        </w:rPr>
      </w:pPr>
      <w:r w:rsidRPr="009B6AA8">
        <w:rPr>
          <w:sz w:val="24"/>
          <w:szCs w:val="24"/>
        </w:rPr>
        <w:t xml:space="preserve">Os valores encontrados para o pH nas duas formulações de néctar foram de 3,23 (F1) e 3,30 (F2) (Tabela </w:t>
      </w:r>
      <w:r>
        <w:rPr>
          <w:sz w:val="24"/>
          <w:szCs w:val="24"/>
        </w:rPr>
        <w:t>1</w:t>
      </w:r>
      <w:r w:rsidRPr="009B6AA8">
        <w:rPr>
          <w:sz w:val="24"/>
          <w:szCs w:val="24"/>
        </w:rPr>
        <w:t>). Uma vez que a legislação brasileira vigente estabelece o mínimo de 2,50 para a polpa de maracujá (MAPA, 2016b). E se levar em consideração que as formulações foram processadas com 25 e 50% de polpa., os resultados foram satisfatórios e também estão dentro da faixa ácida (abaixo de 4,5), o que contribui para a segurança alimentar dos néctares elaborados (JAY, 2005). Arantes (2012) ao analisar a rotulagem e as características físico-químicas de néctar de maracujá amarelo, encontrou valores médios de pH na faixa de 2,78 a 3,03. Os valores de pH obtidos estão próximos aos observados por Silva (2016) em seu trabalho sobre elaboração de néctar misto de manga e maracujá (2,86 a 3,33).</w:t>
      </w:r>
    </w:p>
    <w:p w14:paraId="61B793BA" w14:textId="77777777" w:rsidR="009B6AA8" w:rsidRPr="009B6AA8" w:rsidRDefault="009B6AA8" w:rsidP="009B6AA8">
      <w:pPr>
        <w:spacing w:line="360" w:lineRule="auto"/>
        <w:ind w:firstLine="708"/>
        <w:jc w:val="both"/>
        <w:rPr>
          <w:sz w:val="24"/>
          <w:szCs w:val="24"/>
        </w:rPr>
      </w:pPr>
      <w:r w:rsidRPr="009B6AA8">
        <w:rPr>
          <w:sz w:val="24"/>
          <w:szCs w:val="24"/>
        </w:rPr>
        <w:t xml:space="preserve">Os valores de sólidos solúveis totais do presente estudo foram de 17,83 e 16,17 </w:t>
      </w:r>
      <w:proofErr w:type="spellStart"/>
      <w:r w:rsidRPr="009B6AA8">
        <w:rPr>
          <w:sz w:val="24"/>
          <w:szCs w:val="24"/>
        </w:rPr>
        <w:t>ºBrix</w:t>
      </w:r>
      <w:proofErr w:type="spellEnd"/>
      <w:r w:rsidRPr="009B6AA8">
        <w:rPr>
          <w:sz w:val="24"/>
          <w:szCs w:val="24"/>
        </w:rPr>
        <w:t xml:space="preserve"> paras as formulações F1 e F2, respectivamente (Tabela </w:t>
      </w:r>
      <w:r>
        <w:rPr>
          <w:sz w:val="24"/>
          <w:szCs w:val="24"/>
        </w:rPr>
        <w:t>1</w:t>
      </w:r>
      <w:r w:rsidRPr="009B6AA8">
        <w:rPr>
          <w:sz w:val="24"/>
          <w:szCs w:val="24"/>
        </w:rPr>
        <w:t xml:space="preserve">). Segundo os padrões de identidade e qualidade gerais para sucos e néctares tropicais estabelecidos pela Instrução Normativa nº 12, de 4 de setembro de 2003 (MAPA, 2003a), o valor mínimo é de 11ºBrix para o néctar de maracujá, logo ambas as formulações estão dentro dos padrões exigidos para o produto. Valor próximo aos encentrados neste estudo foram verificados por Bezerra et al. (2013) (18,2 </w:t>
      </w:r>
      <w:proofErr w:type="spellStart"/>
      <w:r w:rsidRPr="009B6AA8">
        <w:rPr>
          <w:sz w:val="24"/>
          <w:szCs w:val="24"/>
        </w:rPr>
        <w:t>ºBrix</w:t>
      </w:r>
      <w:proofErr w:type="spellEnd"/>
      <w:r w:rsidRPr="009B6AA8">
        <w:rPr>
          <w:sz w:val="24"/>
          <w:szCs w:val="24"/>
        </w:rPr>
        <w:t xml:space="preserve">) ao avaliarem o comportamento reológico de suco misto elaborado com frutas tropicais (acerola, maracujá e </w:t>
      </w:r>
      <w:proofErr w:type="spellStart"/>
      <w:r w:rsidRPr="009B6AA8">
        <w:rPr>
          <w:sz w:val="24"/>
          <w:szCs w:val="24"/>
        </w:rPr>
        <w:t>taperebá</w:t>
      </w:r>
      <w:proofErr w:type="spellEnd"/>
      <w:r w:rsidRPr="009B6AA8">
        <w:rPr>
          <w:sz w:val="24"/>
          <w:szCs w:val="24"/>
        </w:rPr>
        <w:t>).</w:t>
      </w:r>
    </w:p>
    <w:p w14:paraId="5AAB3D68" w14:textId="77777777" w:rsidR="009B6AA8" w:rsidRPr="009B6AA8" w:rsidRDefault="009B6AA8" w:rsidP="009B6AA8">
      <w:pPr>
        <w:spacing w:line="360" w:lineRule="auto"/>
        <w:ind w:firstLine="708"/>
        <w:jc w:val="both"/>
        <w:rPr>
          <w:sz w:val="24"/>
          <w:szCs w:val="24"/>
        </w:rPr>
      </w:pPr>
      <w:r w:rsidRPr="009B6AA8">
        <w:rPr>
          <w:sz w:val="24"/>
          <w:szCs w:val="24"/>
        </w:rPr>
        <w:t xml:space="preserve">A acidez total </w:t>
      </w:r>
      <w:proofErr w:type="spellStart"/>
      <w:r w:rsidRPr="009B6AA8">
        <w:rPr>
          <w:sz w:val="24"/>
          <w:szCs w:val="24"/>
        </w:rPr>
        <w:t>titulável</w:t>
      </w:r>
      <w:proofErr w:type="spellEnd"/>
      <w:r w:rsidRPr="009B6AA8">
        <w:rPr>
          <w:sz w:val="24"/>
          <w:szCs w:val="24"/>
        </w:rPr>
        <w:t xml:space="preserve"> é um dos critérios utilizados para a classificação das frutas, devido ao acentuado sabor, logo teores elevados de acidez dos frutos, permite maior diluição de seu produto que, por conseguinte, aumenta o rendimento na industrialização dos sucos (SACRAMENTO et al., 2007; SILVA; 2016). No estudo em questão foi verificado o teor de acidez de 1,59 (F1) e 0,79 g/100g (F2) de ácido cítrico, para as duas formulações de néctar de </w:t>
      </w:r>
      <w:r w:rsidRPr="009B6AA8">
        <w:rPr>
          <w:sz w:val="24"/>
          <w:szCs w:val="24"/>
        </w:rPr>
        <w:lastRenderedPageBreak/>
        <w:t xml:space="preserve">maracujá com camomila (Tabela </w:t>
      </w:r>
      <w:r>
        <w:rPr>
          <w:sz w:val="24"/>
          <w:szCs w:val="24"/>
        </w:rPr>
        <w:t>1</w:t>
      </w:r>
      <w:r w:rsidRPr="009B6AA8">
        <w:rPr>
          <w:sz w:val="24"/>
          <w:szCs w:val="24"/>
        </w:rPr>
        <w:t>), logo os valores encontram-se de acordo com o padrão de identidade qualidade de néctar de maracujá definido pela Instrução Normativa nº 12, de 4 de setembro de 2003, a qual estabelece limite mínimo de 0,25 g/100g (MAPA, 2003a). Nogueira (2017) observou valores de 0,59 a 1,08 g/100g de ácido cítrico em sua avaliação de parâmetros físico-químicos de néctares de abacaxi, acerola, goiaba, manga, maracujá, morango e uva.</w:t>
      </w:r>
    </w:p>
    <w:p w14:paraId="765F9BC4" w14:textId="77777777" w:rsidR="009B6AA8" w:rsidRPr="009B6AA8" w:rsidRDefault="009B6AA8" w:rsidP="009B6AA8">
      <w:pPr>
        <w:spacing w:line="360" w:lineRule="auto"/>
        <w:ind w:firstLine="708"/>
        <w:jc w:val="both"/>
        <w:rPr>
          <w:sz w:val="24"/>
          <w:szCs w:val="24"/>
        </w:rPr>
      </w:pPr>
      <w:r w:rsidRPr="009B6AA8">
        <w:rPr>
          <w:sz w:val="24"/>
          <w:szCs w:val="24"/>
        </w:rPr>
        <w:t>Os néctares apresentaram umidade elevada (F1: 81,87 g/100g e F2: 82,82 g/100g)</w:t>
      </w:r>
      <w:r>
        <w:rPr>
          <w:sz w:val="24"/>
          <w:szCs w:val="24"/>
        </w:rPr>
        <w:t xml:space="preserve"> (Tabela 1</w:t>
      </w:r>
      <w:r w:rsidRPr="009B6AA8">
        <w:rPr>
          <w:sz w:val="24"/>
          <w:szCs w:val="24"/>
        </w:rPr>
        <w:t>), logo devem passar por processo térmico (pasteurização ou UHT) e serem mantidos em temperatura de refrigeração (MAPA, 2003a). Silva et al. (2015) encontraram valores próximos de umidade (74,8 a 81,27 g/100g) em bebidas mistas de extratos de arroz com maracujá e mamão.</w:t>
      </w:r>
    </w:p>
    <w:p w14:paraId="4CE79800" w14:textId="77777777" w:rsidR="009B6AA8" w:rsidRPr="009B6AA8" w:rsidRDefault="009B6AA8" w:rsidP="009B6AA8">
      <w:pPr>
        <w:spacing w:line="360" w:lineRule="auto"/>
        <w:ind w:firstLine="708"/>
        <w:jc w:val="both"/>
        <w:rPr>
          <w:sz w:val="24"/>
          <w:szCs w:val="24"/>
        </w:rPr>
      </w:pPr>
      <w:r w:rsidRPr="009B6AA8">
        <w:rPr>
          <w:sz w:val="24"/>
          <w:szCs w:val="24"/>
        </w:rPr>
        <w:t xml:space="preserve">O maracujá é considerado boa fonte de minerais, apresentando teor médio de cinzas de 0,4 g/100g, conforme dados da Tabela Brasileira de Composição de Alimentos (TACO, 2011). No presente estudo obteve-se teores de 0,28 e 0,16 g/100g de cinzas, valores estes compatíveis com a diluição da polpa de maracujá (F1: 50% de polpa e F2: 25% de polpa) realizada nas duas formulações de néctar obtidas. Bezerra et al. (2013) também encontraram valor de 0,16 g/100g de cinzas ao formularem suco misto elaborado com acerola, maracujá e </w:t>
      </w:r>
      <w:proofErr w:type="spellStart"/>
      <w:r w:rsidRPr="009B6AA8">
        <w:rPr>
          <w:sz w:val="24"/>
          <w:szCs w:val="24"/>
        </w:rPr>
        <w:t>taperebá</w:t>
      </w:r>
      <w:proofErr w:type="spellEnd"/>
      <w:r w:rsidRPr="009B6AA8">
        <w:rPr>
          <w:sz w:val="24"/>
          <w:szCs w:val="24"/>
        </w:rPr>
        <w:t>.</w:t>
      </w:r>
    </w:p>
    <w:p w14:paraId="6BBF241F" w14:textId="77777777" w:rsidR="009B6AA8" w:rsidRDefault="009B6AA8" w:rsidP="009B6AA8">
      <w:pPr>
        <w:pStyle w:val="TtulodeTabela"/>
        <w:spacing w:after="0" w:line="360" w:lineRule="auto"/>
        <w:ind w:firstLine="708"/>
        <w:rPr>
          <w:rFonts w:ascii="Times New Roman" w:hAnsi="Times New Roman" w:cs="Times New Roman"/>
        </w:rPr>
      </w:pPr>
      <w:r w:rsidRPr="009B6AA8">
        <w:rPr>
          <w:rFonts w:ascii="Times New Roman" w:hAnsi="Times New Roman" w:cs="Times New Roman"/>
        </w:rPr>
        <w:t xml:space="preserve">Com relação ao teor de proteína, frutas, em geral, não são boas fontes </w:t>
      </w:r>
      <w:proofErr w:type="spellStart"/>
      <w:r w:rsidRPr="009B6AA8">
        <w:rPr>
          <w:rFonts w:ascii="Times New Roman" w:hAnsi="Times New Roman" w:cs="Times New Roman"/>
        </w:rPr>
        <w:t>protéicas</w:t>
      </w:r>
      <w:proofErr w:type="spellEnd"/>
      <w:r w:rsidRPr="009B6AA8">
        <w:rPr>
          <w:rFonts w:ascii="Times New Roman" w:hAnsi="Times New Roman" w:cs="Times New Roman"/>
        </w:rPr>
        <w:t>. Silva et</w:t>
      </w:r>
      <w:r>
        <w:rPr>
          <w:rFonts w:ascii="Times New Roman" w:hAnsi="Times New Roman" w:cs="Times New Roman"/>
        </w:rPr>
        <w:t xml:space="preserve"> al. (2015) ao estudarem bebida a base de </w:t>
      </w:r>
      <w:r w:rsidRPr="00150AC1">
        <w:rPr>
          <w:rFonts w:ascii="Times New Roman" w:hAnsi="Times New Roman" w:cs="Times New Roman"/>
        </w:rPr>
        <w:t xml:space="preserve">quirera de arroz </w:t>
      </w:r>
      <w:proofErr w:type="spellStart"/>
      <w:r w:rsidRPr="00150AC1">
        <w:rPr>
          <w:rFonts w:ascii="Times New Roman" w:hAnsi="Times New Roman" w:cs="Times New Roman"/>
        </w:rPr>
        <w:t>saborizadas</w:t>
      </w:r>
      <w:proofErr w:type="spellEnd"/>
      <w:r w:rsidRPr="00150AC1">
        <w:rPr>
          <w:rFonts w:ascii="Times New Roman" w:hAnsi="Times New Roman" w:cs="Times New Roman"/>
        </w:rPr>
        <w:t xml:space="preserve"> </w:t>
      </w:r>
      <w:r>
        <w:rPr>
          <w:rFonts w:ascii="Times New Roman" w:hAnsi="Times New Roman" w:cs="Times New Roman"/>
        </w:rPr>
        <w:t xml:space="preserve">com </w:t>
      </w:r>
      <w:r w:rsidRPr="00150AC1">
        <w:rPr>
          <w:rFonts w:ascii="Times New Roman" w:hAnsi="Times New Roman" w:cs="Times New Roman"/>
        </w:rPr>
        <w:t>mamão e maracujá</w:t>
      </w:r>
      <w:r>
        <w:rPr>
          <w:rFonts w:ascii="Times New Roman" w:hAnsi="Times New Roman" w:cs="Times New Roman"/>
        </w:rPr>
        <w:t xml:space="preserve">, </w:t>
      </w:r>
      <w:r w:rsidRPr="00150AC1">
        <w:rPr>
          <w:rFonts w:ascii="Times New Roman" w:hAnsi="Times New Roman" w:cs="Times New Roman"/>
        </w:rPr>
        <w:t>encontraram teor</w:t>
      </w:r>
      <w:r>
        <w:rPr>
          <w:rFonts w:ascii="Times New Roman" w:hAnsi="Times New Roman" w:cs="Times New Roman"/>
        </w:rPr>
        <w:t>es um pouco superior</w:t>
      </w:r>
      <w:r w:rsidRPr="00150AC1">
        <w:rPr>
          <w:rFonts w:ascii="Times New Roman" w:hAnsi="Times New Roman" w:cs="Times New Roman"/>
        </w:rPr>
        <w:t xml:space="preserve"> deste macro nutriente (0,4</w:t>
      </w:r>
      <w:r>
        <w:rPr>
          <w:rFonts w:ascii="Times New Roman" w:hAnsi="Times New Roman" w:cs="Times New Roman"/>
        </w:rPr>
        <w:t>5 a 0,48</w:t>
      </w:r>
      <w:r w:rsidRPr="00150AC1">
        <w:rPr>
          <w:rFonts w:ascii="Times New Roman" w:hAnsi="Times New Roman" w:cs="Times New Roman"/>
        </w:rPr>
        <w:t xml:space="preserve"> g</w:t>
      </w:r>
      <w:r>
        <w:rPr>
          <w:rFonts w:ascii="Times New Roman" w:hAnsi="Times New Roman" w:cs="Times New Roman"/>
        </w:rPr>
        <w:t>/</w:t>
      </w:r>
      <w:r w:rsidRPr="00150AC1">
        <w:rPr>
          <w:rFonts w:ascii="Times New Roman" w:hAnsi="Times New Roman" w:cs="Times New Roman"/>
        </w:rPr>
        <w:t xml:space="preserve">100g), </w:t>
      </w:r>
      <w:r>
        <w:rPr>
          <w:rFonts w:ascii="Times New Roman" w:hAnsi="Times New Roman" w:cs="Times New Roman"/>
        </w:rPr>
        <w:t>em relação aos encontrados no estudo em questão (F1: 0,30</w:t>
      </w:r>
      <w:r w:rsidRPr="00C8368E">
        <w:rPr>
          <w:rFonts w:ascii="Times New Roman" w:hAnsi="Times New Roman" w:cs="Times New Roman"/>
        </w:rPr>
        <w:t xml:space="preserve"> </w:t>
      </w:r>
      <w:r>
        <w:rPr>
          <w:rFonts w:ascii="Times New Roman" w:hAnsi="Times New Roman" w:cs="Times New Roman"/>
        </w:rPr>
        <w:t>g/100g e F2: 0,20 g/100g) (Tabela 1).</w:t>
      </w:r>
    </w:p>
    <w:p w14:paraId="1ED99739" w14:textId="77777777" w:rsidR="009B6AA8" w:rsidRDefault="009B6AA8" w:rsidP="009B6AA8">
      <w:pPr>
        <w:pStyle w:val="TtulodeTabela"/>
        <w:spacing w:after="0" w:line="360" w:lineRule="auto"/>
        <w:ind w:firstLine="708"/>
        <w:rPr>
          <w:rFonts w:ascii="Times New Roman" w:hAnsi="Times New Roman" w:cs="Times New Roman"/>
        </w:rPr>
      </w:pPr>
      <w:r w:rsidRPr="008E7DF9">
        <w:rPr>
          <w:rFonts w:ascii="Times New Roman" w:hAnsi="Times New Roman" w:cs="Times New Roman"/>
        </w:rPr>
        <w:t>O teor de lipídios foi menor n</w:t>
      </w:r>
      <w:r>
        <w:rPr>
          <w:rFonts w:ascii="Times New Roman" w:hAnsi="Times New Roman" w:cs="Times New Roman"/>
        </w:rPr>
        <w:t xml:space="preserve">o néctar F2 (0,60 g/100g) do que no F1 (0,93 g/100g), fato este explicado pela diferença na concentração de polpa de maracujá adicionada nos mesmos (Tabela 1). Acima dos valores observados por Diniz, Figueira e </w:t>
      </w:r>
      <w:r w:rsidRPr="008E7DF9">
        <w:rPr>
          <w:rFonts w:ascii="Times New Roman" w:hAnsi="Times New Roman" w:cs="Times New Roman"/>
        </w:rPr>
        <w:t>V</w:t>
      </w:r>
      <w:r>
        <w:rPr>
          <w:rFonts w:ascii="Times New Roman" w:hAnsi="Times New Roman" w:cs="Times New Roman"/>
        </w:rPr>
        <w:t>enturini Filho (2013) (0,29 a 0,31 g/100g) ao estudarem a d</w:t>
      </w:r>
      <w:r w:rsidRPr="00037BF4">
        <w:rPr>
          <w:rFonts w:ascii="Times New Roman" w:hAnsi="Times New Roman" w:cs="Times New Roman"/>
        </w:rPr>
        <w:t>eterminação do valor energético em bebidas de maracujá</w:t>
      </w:r>
      <w:r>
        <w:rPr>
          <w:rFonts w:ascii="Times New Roman" w:hAnsi="Times New Roman" w:cs="Times New Roman"/>
        </w:rPr>
        <w:t>s.</w:t>
      </w:r>
    </w:p>
    <w:p w14:paraId="1C8B3728" w14:textId="77777777" w:rsidR="009B6AA8" w:rsidRPr="0061583E" w:rsidRDefault="009B6AA8" w:rsidP="009B6AA8">
      <w:pPr>
        <w:pStyle w:val="TtulodeTabela"/>
        <w:spacing w:after="0" w:line="360" w:lineRule="auto"/>
        <w:ind w:firstLine="708"/>
        <w:rPr>
          <w:rFonts w:ascii="Times New Roman" w:hAnsi="Times New Roman" w:cs="Times New Roman"/>
        </w:rPr>
      </w:pPr>
      <w:r>
        <w:rPr>
          <w:rFonts w:ascii="Times New Roman" w:hAnsi="Times New Roman" w:cs="Times New Roman"/>
        </w:rPr>
        <w:t>Os néctares de maracujá com camomila</w:t>
      </w:r>
      <w:r w:rsidRPr="003B6816">
        <w:rPr>
          <w:rFonts w:ascii="Times New Roman" w:hAnsi="Times New Roman" w:cs="Times New Roman"/>
        </w:rPr>
        <w:t xml:space="preserve"> forneceram baixos teores de carboidratos e valor calórico</w:t>
      </w:r>
      <w:r>
        <w:rPr>
          <w:rFonts w:ascii="Times New Roman" w:hAnsi="Times New Roman" w:cs="Times New Roman"/>
        </w:rPr>
        <w:t xml:space="preserve"> (Tabela 1)</w:t>
      </w:r>
      <w:r w:rsidRPr="003B6816">
        <w:rPr>
          <w:rFonts w:ascii="Times New Roman" w:hAnsi="Times New Roman" w:cs="Times New Roman"/>
        </w:rPr>
        <w:t>, quando comparados a alguns alimentos que são referidos na TACO</w:t>
      </w:r>
      <w:r>
        <w:rPr>
          <w:rFonts w:ascii="Times New Roman" w:hAnsi="Times New Roman" w:cs="Times New Roman"/>
        </w:rPr>
        <w:t xml:space="preserve"> (2011)</w:t>
      </w:r>
      <w:r w:rsidRPr="003B6816">
        <w:rPr>
          <w:rFonts w:ascii="Times New Roman" w:hAnsi="Times New Roman" w:cs="Times New Roman"/>
        </w:rPr>
        <w:t xml:space="preserve">. </w:t>
      </w:r>
      <w:r>
        <w:rPr>
          <w:rFonts w:ascii="Times New Roman" w:hAnsi="Times New Roman" w:cs="Times New Roman"/>
        </w:rPr>
        <w:t xml:space="preserve">Diniz, Figueira e </w:t>
      </w:r>
      <w:r w:rsidRPr="008E7DF9">
        <w:rPr>
          <w:rFonts w:ascii="Times New Roman" w:hAnsi="Times New Roman" w:cs="Times New Roman"/>
        </w:rPr>
        <w:t>V</w:t>
      </w:r>
      <w:r>
        <w:rPr>
          <w:rFonts w:ascii="Times New Roman" w:hAnsi="Times New Roman" w:cs="Times New Roman"/>
        </w:rPr>
        <w:t>enturini Filho (2013) encontraram valores médios de carboidratos de 12,69 g/100g) ao determinarem o v</w:t>
      </w:r>
      <w:r w:rsidRPr="00037BF4">
        <w:rPr>
          <w:rFonts w:ascii="Times New Roman" w:hAnsi="Times New Roman" w:cs="Times New Roman"/>
        </w:rPr>
        <w:t xml:space="preserve">alor energético em </w:t>
      </w:r>
      <w:r>
        <w:rPr>
          <w:rFonts w:ascii="Times New Roman" w:hAnsi="Times New Roman" w:cs="Times New Roman"/>
        </w:rPr>
        <w:t>néctar</w:t>
      </w:r>
      <w:r w:rsidRPr="00037BF4">
        <w:rPr>
          <w:rFonts w:ascii="Times New Roman" w:hAnsi="Times New Roman" w:cs="Times New Roman"/>
        </w:rPr>
        <w:t xml:space="preserve"> de maracujá</w:t>
      </w:r>
      <w:r>
        <w:rPr>
          <w:rFonts w:ascii="Times New Roman" w:hAnsi="Times New Roman" w:cs="Times New Roman"/>
        </w:rPr>
        <w:t xml:space="preserve">. Bezerra et al. (2013) também verificaram valores parecidos em </w:t>
      </w:r>
      <w:r w:rsidRPr="00B40A79">
        <w:rPr>
          <w:rFonts w:ascii="Times New Roman" w:hAnsi="Times New Roman" w:cs="Times New Roman"/>
        </w:rPr>
        <w:t xml:space="preserve">suco misto elaborado com </w:t>
      </w:r>
      <w:r>
        <w:rPr>
          <w:rFonts w:ascii="Times New Roman" w:hAnsi="Times New Roman" w:cs="Times New Roman"/>
        </w:rPr>
        <w:t xml:space="preserve">acerola, maracujá e </w:t>
      </w:r>
      <w:proofErr w:type="spellStart"/>
      <w:r>
        <w:rPr>
          <w:rFonts w:ascii="Times New Roman" w:hAnsi="Times New Roman" w:cs="Times New Roman"/>
        </w:rPr>
        <w:t>taperebá</w:t>
      </w:r>
      <w:proofErr w:type="spellEnd"/>
      <w:r>
        <w:rPr>
          <w:rFonts w:ascii="Times New Roman" w:hAnsi="Times New Roman" w:cs="Times New Roman"/>
        </w:rPr>
        <w:t xml:space="preserve">, de 11,84 g/100g para carboidratos, além de valor calórico de 51,09 kcal/100g. </w:t>
      </w:r>
    </w:p>
    <w:p w14:paraId="23CFBE05" w14:textId="77777777" w:rsidR="000F373C" w:rsidRDefault="000F373C" w:rsidP="00555769">
      <w:pPr>
        <w:tabs>
          <w:tab w:val="left" w:pos="1290"/>
        </w:tabs>
        <w:jc w:val="both"/>
        <w:rPr>
          <w:b/>
          <w:sz w:val="24"/>
          <w:szCs w:val="24"/>
        </w:rPr>
      </w:pPr>
    </w:p>
    <w:p w14:paraId="73B97A0A" w14:textId="77777777" w:rsidR="0012462E" w:rsidRDefault="0012462E" w:rsidP="00555769">
      <w:pPr>
        <w:tabs>
          <w:tab w:val="left" w:pos="1290"/>
        </w:tabs>
        <w:jc w:val="both"/>
        <w:rPr>
          <w:b/>
          <w:sz w:val="24"/>
          <w:szCs w:val="24"/>
        </w:rPr>
      </w:pPr>
      <w:r>
        <w:rPr>
          <w:b/>
          <w:sz w:val="24"/>
          <w:szCs w:val="24"/>
        </w:rPr>
        <w:lastRenderedPageBreak/>
        <w:t xml:space="preserve">4. </w:t>
      </w:r>
      <w:r w:rsidR="0042057D">
        <w:rPr>
          <w:b/>
          <w:sz w:val="24"/>
          <w:szCs w:val="24"/>
        </w:rPr>
        <w:t>CONCLUSÃO</w:t>
      </w:r>
      <w:r w:rsidR="00555769">
        <w:rPr>
          <w:b/>
          <w:sz w:val="24"/>
          <w:szCs w:val="24"/>
        </w:rPr>
        <w:t xml:space="preserve"> </w:t>
      </w:r>
    </w:p>
    <w:p w14:paraId="2D8BC2A0" w14:textId="77777777" w:rsidR="00127CC5" w:rsidRDefault="00127CC5" w:rsidP="00555769">
      <w:pPr>
        <w:tabs>
          <w:tab w:val="left" w:pos="1290"/>
        </w:tabs>
        <w:jc w:val="both"/>
        <w:rPr>
          <w:b/>
          <w:sz w:val="24"/>
          <w:szCs w:val="24"/>
        </w:rPr>
      </w:pPr>
    </w:p>
    <w:p w14:paraId="65B64AAA" w14:textId="2EFA08F1" w:rsidR="00127CC5" w:rsidRDefault="00127CC5" w:rsidP="00127CC5">
      <w:pPr>
        <w:pStyle w:val="TtulodeTabela"/>
        <w:spacing w:after="0" w:line="360" w:lineRule="auto"/>
        <w:ind w:firstLine="708"/>
        <w:rPr>
          <w:rFonts w:ascii="Times New Roman" w:hAnsi="Times New Roman" w:cs="Times New Roman"/>
        </w:rPr>
      </w:pPr>
      <w:r w:rsidRPr="00C525D5">
        <w:rPr>
          <w:rFonts w:ascii="Times New Roman" w:hAnsi="Times New Roman" w:cs="Times New Roman"/>
        </w:rPr>
        <w:t xml:space="preserve">Para os néctares formulados, os valores de pH, sólidos solúveis totais, acidez total </w:t>
      </w:r>
      <w:proofErr w:type="spellStart"/>
      <w:r w:rsidRPr="00C525D5">
        <w:rPr>
          <w:rFonts w:ascii="Times New Roman" w:hAnsi="Times New Roman" w:cs="Times New Roman"/>
        </w:rPr>
        <w:t>titulável</w:t>
      </w:r>
      <w:proofErr w:type="spellEnd"/>
      <w:r w:rsidRPr="00C525D5">
        <w:rPr>
          <w:rFonts w:ascii="Times New Roman" w:hAnsi="Times New Roman" w:cs="Times New Roman"/>
        </w:rPr>
        <w:t>, umidade encontram-se de acordo com o padrão de identidade qualidade de néctar de maracujá definidos pela Instrução Normativa de 2003 para o néctar e a Resolução Normativa de 1978 da Agência Nacional de Vigilância Sanitária para a geleia e doce em massa. E os teores de cinzas e</w:t>
      </w:r>
      <w:r>
        <w:rPr>
          <w:rFonts w:ascii="Times New Roman" w:hAnsi="Times New Roman" w:cs="Times New Roman"/>
        </w:rPr>
        <w:t xml:space="preserve"> carboidratos para os produtos néctar </w:t>
      </w:r>
      <w:r w:rsidRPr="00C525D5">
        <w:rPr>
          <w:rFonts w:ascii="Times New Roman" w:hAnsi="Times New Roman" w:cs="Times New Roman"/>
        </w:rPr>
        <w:t>estão conforme dados da T</w:t>
      </w:r>
      <w:r>
        <w:rPr>
          <w:rFonts w:ascii="Times New Roman" w:hAnsi="Times New Roman" w:cs="Times New Roman"/>
        </w:rPr>
        <w:t>ACO</w:t>
      </w:r>
      <w:r w:rsidRPr="00C525D5">
        <w:rPr>
          <w:rFonts w:ascii="Times New Roman" w:hAnsi="Times New Roman" w:cs="Times New Roman"/>
        </w:rPr>
        <w:t>.</w:t>
      </w:r>
    </w:p>
    <w:p w14:paraId="2FDF527F" w14:textId="00D33DBC" w:rsidR="00DE7634" w:rsidRDefault="00DE7634" w:rsidP="00DE7634">
      <w:pPr>
        <w:spacing w:line="360" w:lineRule="auto"/>
        <w:ind w:firstLine="708"/>
        <w:jc w:val="both"/>
        <w:rPr>
          <w:sz w:val="24"/>
          <w:szCs w:val="24"/>
        </w:rPr>
      </w:pPr>
      <w:r>
        <w:rPr>
          <w:sz w:val="24"/>
          <w:szCs w:val="24"/>
        </w:rPr>
        <w:t xml:space="preserve">O desenvolvimento de néctar </w:t>
      </w:r>
      <w:proofErr w:type="spellStart"/>
      <w:r>
        <w:rPr>
          <w:sz w:val="24"/>
          <w:szCs w:val="24"/>
        </w:rPr>
        <w:t>saborizado</w:t>
      </w:r>
      <w:proofErr w:type="spellEnd"/>
      <w:r>
        <w:rPr>
          <w:sz w:val="24"/>
          <w:szCs w:val="24"/>
        </w:rPr>
        <w:t xml:space="preserve"> com flor de camomila, a partir dos frutos de </w:t>
      </w:r>
      <w:r w:rsidRPr="00A338D9">
        <w:rPr>
          <w:sz w:val="24"/>
          <w:szCs w:val="24"/>
        </w:rPr>
        <w:t xml:space="preserve">maracujá produzido pelo Centro Tecnológico de Agricultura Familiar de Parauapebas (CETAF-Parauapebas), </w:t>
      </w:r>
      <w:r>
        <w:rPr>
          <w:sz w:val="24"/>
          <w:szCs w:val="24"/>
        </w:rPr>
        <w:t xml:space="preserve">apresenta-se como </w:t>
      </w:r>
      <w:r w:rsidRPr="00A338D9">
        <w:rPr>
          <w:sz w:val="24"/>
          <w:szCs w:val="24"/>
        </w:rPr>
        <w:t>uma alternativa para melhor aproveitamento tecnológico dessa matéria-prima, com agregação de valor para as frutas produzidas na região, gerando renda para as populações assistidas pelo mesmo.</w:t>
      </w:r>
    </w:p>
    <w:p w14:paraId="4935CBFC" w14:textId="77777777" w:rsidR="00DE7634" w:rsidRPr="00DE7634" w:rsidRDefault="00DE7634" w:rsidP="00DE7634"/>
    <w:p w14:paraId="1D5B5418" w14:textId="77777777" w:rsidR="00555769" w:rsidRDefault="00555769" w:rsidP="0012462E">
      <w:pPr>
        <w:tabs>
          <w:tab w:val="left" w:pos="1290"/>
        </w:tabs>
        <w:jc w:val="both"/>
        <w:rPr>
          <w:b/>
          <w:sz w:val="24"/>
          <w:szCs w:val="24"/>
        </w:rPr>
      </w:pPr>
    </w:p>
    <w:p w14:paraId="53B5EB9E" w14:textId="77777777" w:rsidR="0012462E" w:rsidRPr="00001E41" w:rsidRDefault="0012462E" w:rsidP="0012462E">
      <w:pPr>
        <w:tabs>
          <w:tab w:val="left" w:pos="1290"/>
        </w:tabs>
        <w:jc w:val="both"/>
        <w:rPr>
          <w:color w:val="FF0000"/>
          <w:sz w:val="24"/>
          <w:szCs w:val="24"/>
        </w:rPr>
      </w:pPr>
      <w:r w:rsidRPr="00001E41">
        <w:rPr>
          <w:b/>
          <w:sz w:val="24"/>
          <w:szCs w:val="24"/>
        </w:rPr>
        <w:t xml:space="preserve">REFERÊNCIAS </w:t>
      </w:r>
    </w:p>
    <w:p w14:paraId="051CF082" w14:textId="7EA53B23" w:rsidR="007C218A" w:rsidRPr="007C218A" w:rsidRDefault="007C218A" w:rsidP="007C218A">
      <w:pPr>
        <w:ind w:right="4"/>
        <w:contextualSpacing/>
        <w:jc w:val="both"/>
        <w:rPr>
          <w:sz w:val="24"/>
          <w:szCs w:val="24"/>
          <w:lang w:val="en-US"/>
        </w:rPr>
      </w:pPr>
      <w:r w:rsidRPr="007C218A">
        <w:rPr>
          <w:sz w:val="24"/>
          <w:szCs w:val="24"/>
        </w:rPr>
        <w:t xml:space="preserve">ANVISA - </w:t>
      </w:r>
      <w:r w:rsidRPr="007C218A">
        <w:rPr>
          <w:b/>
          <w:sz w:val="24"/>
          <w:szCs w:val="24"/>
        </w:rPr>
        <w:t>Agência Nacional de Vigilância Sanitária</w:t>
      </w:r>
      <w:r w:rsidRPr="007C218A">
        <w:rPr>
          <w:sz w:val="24"/>
          <w:szCs w:val="24"/>
        </w:rPr>
        <w:t xml:space="preserve">. Resolução RDC n° 360, de 23 de dezembro de 2003. Aprova o Regulamento Técnico sobre rotulagem nutricional de alimentos embalados. </w:t>
      </w:r>
      <w:r w:rsidRPr="007C218A">
        <w:rPr>
          <w:b/>
          <w:sz w:val="24"/>
          <w:szCs w:val="24"/>
        </w:rPr>
        <w:t>Diário Oficial [da República Federativa do Brasil]</w:t>
      </w:r>
      <w:r w:rsidRPr="007C218A">
        <w:rPr>
          <w:sz w:val="24"/>
          <w:szCs w:val="24"/>
        </w:rPr>
        <w:t xml:space="preserve">. Brasília, p.4, dez. 2003. </w:t>
      </w:r>
      <w:proofErr w:type="spellStart"/>
      <w:r w:rsidRPr="007C218A">
        <w:rPr>
          <w:sz w:val="24"/>
          <w:szCs w:val="24"/>
          <w:lang w:val="en-US"/>
        </w:rPr>
        <w:t>Seção</w:t>
      </w:r>
      <w:proofErr w:type="spellEnd"/>
      <w:r w:rsidRPr="007C218A">
        <w:rPr>
          <w:sz w:val="24"/>
          <w:szCs w:val="24"/>
          <w:lang w:val="en-US"/>
        </w:rPr>
        <w:t xml:space="preserve"> 1.</w:t>
      </w:r>
    </w:p>
    <w:p w14:paraId="4243521D" w14:textId="77777777" w:rsidR="007C218A" w:rsidRPr="007C218A" w:rsidRDefault="007C218A" w:rsidP="007C218A">
      <w:pPr>
        <w:ind w:right="4"/>
        <w:contextualSpacing/>
        <w:jc w:val="both"/>
        <w:rPr>
          <w:sz w:val="24"/>
          <w:szCs w:val="24"/>
          <w:lang w:val="en-US"/>
        </w:rPr>
      </w:pPr>
    </w:p>
    <w:p w14:paraId="2BB206CA" w14:textId="77777777" w:rsidR="007C218A" w:rsidRPr="007C218A" w:rsidRDefault="007C218A" w:rsidP="007C218A">
      <w:pPr>
        <w:autoSpaceDE w:val="0"/>
        <w:autoSpaceDN w:val="0"/>
        <w:adjustRightInd w:val="0"/>
        <w:jc w:val="both"/>
        <w:rPr>
          <w:rFonts w:eastAsia="Calibri"/>
          <w:bCs/>
          <w:sz w:val="24"/>
          <w:szCs w:val="24"/>
        </w:rPr>
      </w:pPr>
      <w:r w:rsidRPr="007C218A">
        <w:rPr>
          <w:sz w:val="24"/>
          <w:szCs w:val="24"/>
          <w:lang w:val="en-US"/>
        </w:rPr>
        <w:t xml:space="preserve">AOAC - ASSOCIATION OF OFFICIAL ANALYTICAL CHEMISTS. </w:t>
      </w:r>
      <w:r w:rsidRPr="007C218A">
        <w:rPr>
          <w:b/>
          <w:iCs/>
          <w:sz w:val="24"/>
          <w:szCs w:val="24"/>
          <w:lang w:val="en-US"/>
        </w:rPr>
        <w:t>Official methods of analysis of the</w:t>
      </w:r>
      <w:r w:rsidRPr="007C218A">
        <w:rPr>
          <w:b/>
          <w:sz w:val="24"/>
          <w:szCs w:val="24"/>
          <w:lang w:val="en-US"/>
        </w:rPr>
        <w:t xml:space="preserve"> </w:t>
      </w:r>
      <w:r w:rsidRPr="007C218A">
        <w:rPr>
          <w:b/>
          <w:iCs/>
          <w:sz w:val="24"/>
          <w:szCs w:val="24"/>
          <w:lang w:val="en-US"/>
        </w:rPr>
        <w:t>Association of Official Analytical Chemists</w:t>
      </w:r>
      <w:r w:rsidRPr="007C218A">
        <w:rPr>
          <w:b/>
          <w:bCs/>
          <w:sz w:val="24"/>
          <w:szCs w:val="24"/>
          <w:lang w:val="en-US"/>
        </w:rPr>
        <w:t xml:space="preserve">. </w:t>
      </w:r>
      <w:r w:rsidRPr="007C218A">
        <w:rPr>
          <w:sz w:val="24"/>
          <w:szCs w:val="24"/>
        </w:rPr>
        <w:t>16</w:t>
      </w:r>
      <w:r w:rsidRPr="007C218A">
        <w:rPr>
          <w:sz w:val="24"/>
          <w:szCs w:val="24"/>
          <w:vertAlign w:val="superscript"/>
        </w:rPr>
        <w:t>th</w:t>
      </w:r>
      <w:r w:rsidRPr="007C218A">
        <w:rPr>
          <w:sz w:val="24"/>
          <w:szCs w:val="24"/>
        </w:rPr>
        <w:t xml:space="preserve"> ed. Washington, DC, 1997.</w:t>
      </w:r>
    </w:p>
    <w:p w14:paraId="146F033A" w14:textId="77777777" w:rsidR="00DE7634" w:rsidRDefault="00DE7634" w:rsidP="007C218A">
      <w:pPr>
        <w:autoSpaceDE w:val="0"/>
        <w:autoSpaceDN w:val="0"/>
        <w:adjustRightInd w:val="0"/>
        <w:jc w:val="both"/>
        <w:rPr>
          <w:sz w:val="24"/>
          <w:szCs w:val="24"/>
        </w:rPr>
      </w:pPr>
    </w:p>
    <w:p w14:paraId="67BB4E92" w14:textId="23DA9ABD" w:rsidR="007C218A" w:rsidRDefault="007C218A" w:rsidP="007C218A">
      <w:pPr>
        <w:autoSpaceDE w:val="0"/>
        <w:autoSpaceDN w:val="0"/>
        <w:adjustRightInd w:val="0"/>
        <w:jc w:val="both"/>
        <w:rPr>
          <w:sz w:val="24"/>
          <w:szCs w:val="24"/>
        </w:rPr>
      </w:pPr>
      <w:r w:rsidRPr="007C218A">
        <w:rPr>
          <w:sz w:val="24"/>
          <w:szCs w:val="24"/>
        </w:rPr>
        <w:t xml:space="preserve">ARANTES, P. C. </w:t>
      </w:r>
      <w:r w:rsidRPr="007C218A">
        <w:rPr>
          <w:b/>
          <w:sz w:val="24"/>
          <w:szCs w:val="24"/>
        </w:rPr>
        <w:t>Análise de rotulagem e das características físico-químicas de néctar de maracujá amarelo (</w:t>
      </w:r>
      <w:r w:rsidRPr="007C218A">
        <w:rPr>
          <w:b/>
          <w:i/>
          <w:sz w:val="24"/>
          <w:szCs w:val="24"/>
        </w:rPr>
        <w:t xml:space="preserve">Passiflora </w:t>
      </w:r>
      <w:proofErr w:type="spellStart"/>
      <w:r w:rsidRPr="007C218A">
        <w:rPr>
          <w:b/>
          <w:i/>
          <w:sz w:val="24"/>
          <w:szCs w:val="24"/>
        </w:rPr>
        <w:t>edulis</w:t>
      </w:r>
      <w:proofErr w:type="spellEnd"/>
      <w:r w:rsidRPr="007C218A">
        <w:rPr>
          <w:b/>
          <w:sz w:val="24"/>
          <w:szCs w:val="24"/>
        </w:rPr>
        <w:t xml:space="preserve"> f. </w:t>
      </w:r>
      <w:proofErr w:type="spellStart"/>
      <w:r w:rsidRPr="007C218A">
        <w:rPr>
          <w:b/>
          <w:sz w:val="24"/>
          <w:szCs w:val="24"/>
        </w:rPr>
        <w:t>Flavicarpa</w:t>
      </w:r>
      <w:proofErr w:type="spellEnd"/>
      <w:r w:rsidRPr="007C218A">
        <w:rPr>
          <w:b/>
          <w:sz w:val="24"/>
          <w:szCs w:val="24"/>
        </w:rPr>
        <w:t>)</w:t>
      </w:r>
      <w:r w:rsidRPr="007C218A">
        <w:rPr>
          <w:sz w:val="24"/>
          <w:szCs w:val="24"/>
        </w:rPr>
        <w:t>. 2012. 45f. Trabalho de Conclusão de Curso (Curso de Graduação em Química Industrial). Universidade Federal de Goiás - UFG, Anápolis-GO, 2012.</w:t>
      </w:r>
    </w:p>
    <w:p w14:paraId="17C2130E" w14:textId="77777777" w:rsidR="007C218A" w:rsidRPr="007C218A" w:rsidRDefault="007C218A" w:rsidP="007C218A">
      <w:pPr>
        <w:autoSpaceDE w:val="0"/>
        <w:autoSpaceDN w:val="0"/>
        <w:adjustRightInd w:val="0"/>
        <w:jc w:val="both"/>
        <w:rPr>
          <w:sz w:val="24"/>
          <w:szCs w:val="24"/>
        </w:rPr>
      </w:pPr>
    </w:p>
    <w:p w14:paraId="0B61B5AA" w14:textId="77777777" w:rsidR="007C218A" w:rsidRDefault="007C218A" w:rsidP="007C218A">
      <w:pPr>
        <w:ind w:right="4"/>
        <w:contextualSpacing/>
        <w:jc w:val="both"/>
        <w:rPr>
          <w:sz w:val="24"/>
          <w:szCs w:val="24"/>
          <w:lang w:val="en-US"/>
        </w:rPr>
      </w:pPr>
      <w:r w:rsidRPr="007C218A">
        <w:rPr>
          <w:sz w:val="24"/>
          <w:szCs w:val="24"/>
        </w:rPr>
        <w:t>BEZERRA, C. V.; SILVA, L. H. M. da; COSTA, R. D. S. da; MATTIETTO, R. A.; RODRIGUES, A. M. C. Comportamento reológico de suco misto elaborado com frutas tropicais.</w:t>
      </w:r>
      <w:r w:rsidRPr="007C218A">
        <w:rPr>
          <w:b/>
          <w:sz w:val="24"/>
          <w:szCs w:val="24"/>
        </w:rPr>
        <w:t xml:space="preserve"> </w:t>
      </w:r>
      <w:r w:rsidRPr="007C218A">
        <w:rPr>
          <w:b/>
          <w:sz w:val="24"/>
          <w:szCs w:val="24"/>
          <w:lang w:val="en-US"/>
        </w:rPr>
        <w:t>Brazilian Journal of Food Technology,</w:t>
      </w:r>
      <w:r w:rsidRPr="007C218A">
        <w:rPr>
          <w:sz w:val="24"/>
          <w:szCs w:val="24"/>
          <w:lang w:val="en-US"/>
        </w:rPr>
        <w:t xml:space="preserve"> Campinas, v. 16, n. 2, p. 155-162, abr./jun. 2013.</w:t>
      </w:r>
    </w:p>
    <w:p w14:paraId="3E82E95D" w14:textId="77777777" w:rsidR="007C218A" w:rsidRPr="007C218A" w:rsidRDefault="007C218A" w:rsidP="007C218A">
      <w:pPr>
        <w:ind w:right="4"/>
        <w:contextualSpacing/>
        <w:jc w:val="both"/>
        <w:rPr>
          <w:sz w:val="24"/>
          <w:szCs w:val="24"/>
          <w:lang w:val="en-US"/>
        </w:rPr>
      </w:pPr>
    </w:p>
    <w:p w14:paraId="3F3F6DE0" w14:textId="77777777" w:rsidR="007C218A" w:rsidRDefault="007C218A" w:rsidP="007C218A">
      <w:pPr>
        <w:ind w:right="4"/>
        <w:contextualSpacing/>
        <w:jc w:val="both"/>
        <w:rPr>
          <w:sz w:val="24"/>
          <w:szCs w:val="24"/>
          <w:lang w:val="en-US"/>
        </w:rPr>
      </w:pPr>
      <w:r w:rsidRPr="007C218A">
        <w:rPr>
          <w:sz w:val="24"/>
          <w:szCs w:val="24"/>
        </w:rPr>
        <w:t>BEZERRA, C. V.; SILVA, L. H. M. da; COSTA, R. D. S. da; MATTIETTO, R. A.; RODRIGUES, A. M. C. Comportamento reológico de suco misto elaborado com frutas tropicais.</w:t>
      </w:r>
      <w:r w:rsidRPr="007C218A">
        <w:rPr>
          <w:b/>
          <w:sz w:val="24"/>
          <w:szCs w:val="24"/>
        </w:rPr>
        <w:t xml:space="preserve"> </w:t>
      </w:r>
      <w:r w:rsidRPr="007C218A">
        <w:rPr>
          <w:b/>
          <w:sz w:val="24"/>
          <w:szCs w:val="24"/>
          <w:lang w:val="en-US"/>
        </w:rPr>
        <w:t>Brazilian Journal of Food Technology,</w:t>
      </w:r>
      <w:r w:rsidRPr="007C218A">
        <w:rPr>
          <w:sz w:val="24"/>
          <w:szCs w:val="24"/>
          <w:lang w:val="en-US"/>
        </w:rPr>
        <w:t xml:space="preserve"> Campinas, v. 16, n. 2, p. 155-162, abr./jun. 2013.</w:t>
      </w:r>
    </w:p>
    <w:p w14:paraId="7F670316" w14:textId="77777777" w:rsidR="00C04996" w:rsidRPr="007C218A" w:rsidRDefault="00C04996" w:rsidP="007C218A">
      <w:pPr>
        <w:ind w:right="4"/>
        <w:contextualSpacing/>
        <w:jc w:val="both"/>
        <w:rPr>
          <w:sz w:val="24"/>
          <w:szCs w:val="24"/>
          <w:lang w:val="en-US"/>
        </w:rPr>
      </w:pPr>
    </w:p>
    <w:p w14:paraId="2DEE6598" w14:textId="77777777" w:rsidR="007C218A" w:rsidRDefault="007C218A" w:rsidP="007C218A">
      <w:pPr>
        <w:ind w:right="4"/>
        <w:contextualSpacing/>
        <w:jc w:val="both"/>
        <w:rPr>
          <w:sz w:val="24"/>
          <w:szCs w:val="24"/>
        </w:rPr>
      </w:pPr>
      <w:r w:rsidRPr="007C218A">
        <w:rPr>
          <w:sz w:val="24"/>
          <w:szCs w:val="24"/>
          <w:lang w:val="en-US"/>
        </w:rPr>
        <w:t xml:space="preserve">BLIGH, E. C.; DYER, W. J. A rapid method of total lipid and purification. </w:t>
      </w:r>
      <w:proofErr w:type="spellStart"/>
      <w:r w:rsidRPr="007C218A">
        <w:rPr>
          <w:b/>
          <w:sz w:val="24"/>
          <w:szCs w:val="24"/>
        </w:rPr>
        <w:t>Canadian</w:t>
      </w:r>
      <w:proofErr w:type="spellEnd"/>
      <w:r w:rsidRPr="007C218A">
        <w:rPr>
          <w:b/>
          <w:sz w:val="24"/>
          <w:szCs w:val="24"/>
        </w:rPr>
        <w:t xml:space="preserve"> </w:t>
      </w:r>
      <w:proofErr w:type="spellStart"/>
      <w:r w:rsidRPr="007C218A">
        <w:rPr>
          <w:b/>
          <w:sz w:val="24"/>
          <w:szCs w:val="24"/>
        </w:rPr>
        <w:t>Journal</w:t>
      </w:r>
      <w:proofErr w:type="spellEnd"/>
      <w:r w:rsidRPr="007C218A">
        <w:rPr>
          <w:b/>
          <w:sz w:val="24"/>
          <w:szCs w:val="24"/>
        </w:rPr>
        <w:t xml:space="preserve"> </w:t>
      </w:r>
      <w:proofErr w:type="spellStart"/>
      <w:r w:rsidRPr="007C218A">
        <w:rPr>
          <w:b/>
          <w:sz w:val="24"/>
          <w:szCs w:val="24"/>
        </w:rPr>
        <w:t>Biochemistry</w:t>
      </w:r>
      <w:proofErr w:type="spellEnd"/>
      <w:r w:rsidRPr="007C218A">
        <w:rPr>
          <w:b/>
          <w:sz w:val="24"/>
          <w:szCs w:val="24"/>
        </w:rPr>
        <w:t xml:space="preserve"> </w:t>
      </w:r>
      <w:proofErr w:type="spellStart"/>
      <w:r w:rsidRPr="007C218A">
        <w:rPr>
          <w:b/>
          <w:sz w:val="24"/>
          <w:szCs w:val="24"/>
        </w:rPr>
        <w:t>Physiology</w:t>
      </w:r>
      <w:proofErr w:type="spellEnd"/>
      <w:r w:rsidRPr="007C218A">
        <w:rPr>
          <w:sz w:val="24"/>
          <w:szCs w:val="24"/>
        </w:rPr>
        <w:t>, Ottawa, v. 37, p. 911-917, 1959.</w:t>
      </w:r>
    </w:p>
    <w:p w14:paraId="2DBC42C6" w14:textId="77777777" w:rsidR="00C04996" w:rsidRPr="007C218A" w:rsidRDefault="00C04996" w:rsidP="007C218A">
      <w:pPr>
        <w:ind w:right="4"/>
        <w:contextualSpacing/>
        <w:jc w:val="both"/>
        <w:rPr>
          <w:sz w:val="24"/>
          <w:szCs w:val="24"/>
        </w:rPr>
      </w:pPr>
    </w:p>
    <w:p w14:paraId="2A5A7581" w14:textId="77777777" w:rsidR="00C04996" w:rsidRPr="007C218A" w:rsidRDefault="00C04996" w:rsidP="00C04996">
      <w:pPr>
        <w:ind w:right="4"/>
        <w:contextualSpacing/>
        <w:jc w:val="both"/>
        <w:rPr>
          <w:sz w:val="24"/>
          <w:szCs w:val="24"/>
        </w:rPr>
      </w:pPr>
      <w:r w:rsidRPr="007C218A">
        <w:rPr>
          <w:sz w:val="24"/>
          <w:szCs w:val="24"/>
        </w:rPr>
        <w:lastRenderedPageBreak/>
        <w:t xml:space="preserve">DINIZ, A. P. C.; FIGUEIRA, R.; VENTURINI FILHO, W. G. Determinação do valor energético em bebidas de maracujá. </w:t>
      </w:r>
      <w:r w:rsidRPr="007C218A">
        <w:rPr>
          <w:b/>
          <w:sz w:val="24"/>
          <w:szCs w:val="24"/>
        </w:rPr>
        <w:t>Energia na Agricultura</w:t>
      </w:r>
      <w:r w:rsidRPr="007C218A">
        <w:rPr>
          <w:sz w:val="24"/>
          <w:szCs w:val="24"/>
        </w:rPr>
        <w:t>, Botucatu, v. 28, n. 1, p. 47-51, janeiro-março, 2013.</w:t>
      </w:r>
    </w:p>
    <w:p w14:paraId="254BB6AC" w14:textId="77777777" w:rsidR="00C04996" w:rsidRDefault="00C04996" w:rsidP="007C218A">
      <w:pPr>
        <w:ind w:right="4"/>
        <w:contextualSpacing/>
        <w:jc w:val="both"/>
        <w:rPr>
          <w:sz w:val="24"/>
          <w:szCs w:val="24"/>
          <w:lang w:val="en-US"/>
        </w:rPr>
      </w:pPr>
    </w:p>
    <w:p w14:paraId="64AB9FFA" w14:textId="77777777" w:rsidR="007C218A" w:rsidRDefault="007C218A" w:rsidP="007C218A">
      <w:pPr>
        <w:ind w:right="4"/>
        <w:contextualSpacing/>
        <w:jc w:val="both"/>
        <w:rPr>
          <w:sz w:val="24"/>
          <w:szCs w:val="24"/>
        </w:rPr>
      </w:pPr>
      <w:r w:rsidRPr="007C218A">
        <w:rPr>
          <w:sz w:val="24"/>
          <w:szCs w:val="24"/>
          <w:lang w:val="en-US"/>
        </w:rPr>
        <w:t xml:space="preserve">FLORES, G.; DASTMALCHI, K.; DABO, A. J.; WHALEN, K.; PEDRAZA-PENALOSA, P.; FORONJY, R. F.; D’ARMIENTO, J. M.; KENNELLY, E. J. Antioxidants of therapeutic relevance in COPD from the </w:t>
      </w:r>
      <w:proofErr w:type="spellStart"/>
      <w:r w:rsidRPr="007C218A">
        <w:rPr>
          <w:sz w:val="24"/>
          <w:szCs w:val="24"/>
          <w:lang w:val="en-US"/>
        </w:rPr>
        <w:t>neotropical</w:t>
      </w:r>
      <w:proofErr w:type="spellEnd"/>
      <w:r w:rsidRPr="007C218A">
        <w:rPr>
          <w:sz w:val="24"/>
          <w:szCs w:val="24"/>
          <w:lang w:val="en-US"/>
        </w:rPr>
        <w:t xml:space="preserve"> blueberry </w:t>
      </w:r>
      <w:proofErr w:type="spellStart"/>
      <w:r w:rsidRPr="007C218A">
        <w:rPr>
          <w:sz w:val="24"/>
          <w:szCs w:val="24"/>
          <w:lang w:val="en-US"/>
        </w:rPr>
        <w:t>Anthopterus</w:t>
      </w:r>
      <w:proofErr w:type="spellEnd"/>
      <w:r w:rsidRPr="007C218A">
        <w:rPr>
          <w:sz w:val="24"/>
          <w:szCs w:val="24"/>
          <w:lang w:val="en-US"/>
        </w:rPr>
        <w:t xml:space="preserve"> </w:t>
      </w:r>
      <w:proofErr w:type="spellStart"/>
      <w:r w:rsidRPr="007C218A">
        <w:rPr>
          <w:sz w:val="24"/>
          <w:szCs w:val="24"/>
          <w:lang w:val="en-US"/>
        </w:rPr>
        <w:t>wardii</w:t>
      </w:r>
      <w:proofErr w:type="spellEnd"/>
      <w:r w:rsidRPr="007C218A">
        <w:rPr>
          <w:sz w:val="24"/>
          <w:szCs w:val="24"/>
          <w:lang w:val="en-US"/>
        </w:rPr>
        <w:t xml:space="preserve">. </w:t>
      </w:r>
      <w:proofErr w:type="spellStart"/>
      <w:r w:rsidRPr="007C218A">
        <w:rPr>
          <w:b/>
          <w:sz w:val="24"/>
          <w:szCs w:val="24"/>
        </w:rPr>
        <w:t>Food</w:t>
      </w:r>
      <w:proofErr w:type="spellEnd"/>
      <w:r w:rsidRPr="007C218A">
        <w:rPr>
          <w:b/>
          <w:sz w:val="24"/>
          <w:szCs w:val="24"/>
        </w:rPr>
        <w:t xml:space="preserve"> </w:t>
      </w:r>
      <w:proofErr w:type="spellStart"/>
      <w:r w:rsidRPr="007C218A">
        <w:rPr>
          <w:b/>
          <w:sz w:val="24"/>
          <w:szCs w:val="24"/>
        </w:rPr>
        <w:t>Chemistry</w:t>
      </w:r>
      <w:proofErr w:type="spellEnd"/>
      <w:r w:rsidRPr="007C218A">
        <w:rPr>
          <w:sz w:val="24"/>
          <w:szCs w:val="24"/>
        </w:rPr>
        <w:t>, v. 131, n. 1, p. 119-125, 2012.</w:t>
      </w:r>
    </w:p>
    <w:p w14:paraId="27251C34" w14:textId="77777777" w:rsidR="00C04996" w:rsidRPr="007C218A" w:rsidRDefault="00C04996" w:rsidP="007C218A">
      <w:pPr>
        <w:ind w:right="4"/>
        <w:contextualSpacing/>
        <w:jc w:val="both"/>
        <w:rPr>
          <w:sz w:val="24"/>
          <w:szCs w:val="24"/>
        </w:rPr>
      </w:pPr>
    </w:p>
    <w:p w14:paraId="55B7BD52" w14:textId="77777777" w:rsidR="007C218A" w:rsidRDefault="007C218A" w:rsidP="007C218A">
      <w:pPr>
        <w:ind w:right="4"/>
        <w:contextualSpacing/>
        <w:jc w:val="both"/>
        <w:rPr>
          <w:sz w:val="24"/>
          <w:szCs w:val="24"/>
        </w:rPr>
      </w:pPr>
      <w:r w:rsidRPr="007C218A">
        <w:rPr>
          <w:sz w:val="24"/>
          <w:szCs w:val="24"/>
          <w:lang w:val="en-US"/>
        </w:rPr>
        <w:t xml:space="preserve">GAO, Y.; LI, C.; YIN, J.; SHEN, J.; WANG, H.; WU, Y.; JIN, H. Fucoidan, a sulfated polysaccharide from brown algae, improves cognitive impairment induced by infusion of </w:t>
      </w:r>
      <w:proofErr w:type="spellStart"/>
      <w:r w:rsidRPr="007C218A">
        <w:rPr>
          <w:sz w:val="24"/>
          <w:szCs w:val="24"/>
          <w:lang w:val="en-US"/>
        </w:rPr>
        <w:t>Abeta</w:t>
      </w:r>
      <w:proofErr w:type="spellEnd"/>
      <w:r w:rsidRPr="007C218A">
        <w:rPr>
          <w:sz w:val="24"/>
          <w:szCs w:val="24"/>
          <w:lang w:val="en-US"/>
        </w:rPr>
        <w:t xml:space="preserve"> peptide in rats. </w:t>
      </w:r>
      <w:r w:rsidRPr="007C218A">
        <w:rPr>
          <w:b/>
          <w:sz w:val="24"/>
          <w:szCs w:val="24"/>
        </w:rPr>
        <w:t xml:space="preserve">Environmental </w:t>
      </w:r>
      <w:proofErr w:type="spellStart"/>
      <w:r w:rsidRPr="007C218A">
        <w:rPr>
          <w:b/>
          <w:sz w:val="24"/>
          <w:szCs w:val="24"/>
        </w:rPr>
        <w:t>Toxicology</w:t>
      </w:r>
      <w:proofErr w:type="spellEnd"/>
      <w:r w:rsidRPr="007C218A">
        <w:rPr>
          <w:b/>
          <w:sz w:val="24"/>
          <w:szCs w:val="24"/>
        </w:rPr>
        <w:t xml:space="preserve"> </w:t>
      </w:r>
      <w:proofErr w:type="spellStart"/>
      <w:r w:rsidRPr="007C218A">
        <w:rPr>
          <w:b/>
          <w:sz w:val="24"/>
          <w:szCs w:val="24"/>
        </w:rPr>
        <w:t>and</w:t>
      </w:r>
      <w:proofErr w:type="spellEnd"/>
      <w:r w:rsidRPr="007C218A">
        <w:rPr>
          <w:b/>
          <w:sz w:val="24"/>
          <w:szCs w:val="24"/>
        </w:rPr>
        <w:t xml:space="preserve"> </w:t>
      </w:r>
      <w:proofErr w:type="spellStart"/>
      <w:r w:rsidRPr="007C218A">
        <w:rPr>
          <w:b/>
          <w:sz w:val="24"/>
          <w:szCs w:val="24"/>
        </w:rPr>
        <w:t>Pharmacology</w:t>
      </w:r>
      <w:proofErr w:type="spellEnd"/>
      <w:r w:rsidRPr="007C218A">
        <w:rPr>
          <w:sz w:val="24"/>
          <w:szCs w:val="24"/>
        </w:rPr>
        <w:t>, v. 33, n. 2, p. 304-311, 2012.</w:t>
      </w:r>
    </w:p>
    <w:p w14:paraId="04E6E91B" w14:textId="77777777" w:rsidR="00C04996" w:rsidRPr="007C218A" w:rsidRDefault="00C04996" w:rsidP="007C218A">
      <w:pPr>
        <w:ind w:right="4"/>
        <w:contextualSpacing/>
        <w:jc w:val="both"/>
        <w:rPr>
          <w:sz w:val="24"/>
          <w:szCs w:val="24"/>
        </w:rPr>
      </w:pPr>
    </w:p>
    <w:p w14:paraId="29895D05" w14:textId="77777777" w:rsidR="007C218A" w:rsidRDefault="007C218A" w:rsidP="007C218A">
      <w:pPr>
        <w:ind w:right="4"/>
        <w:contextualSpacing/>
        <w:jc w:val="both"/>
        <w:rPr>
          <w:sz w:val="24"/>
          <w:szCs w:val="24"/>
        </w:rPr>
      </w:pPr>
      <w:bookmarkStart w:id="2" w:name="_Hlk520748029"/>
      <w:r w:rsidRPr="007C218A">
        <w:rPr>
          <w:sz w:val="24"/>
          <w:szCs w:val="24"/>
        </w:rPr>
        <w:t>GARCIA</w:t>
      </w:r>
      <w:bookmarkEnd w:id="2"/>
      <w:r w:rsidRPr="007C218A">
        <w:rPr>
          <w:sz w:val="24"/>
          <w:szCs w:val="24"/>
        </w:rPr>
        <w:t>, L. G. C.; GUIMARÃES, W. F.; RODOVALHO, E. C.; PERES, N. R. A. A.; BECKER, F. S.; DAMIANI, C. Geleia de buriti (</w:t>
      </w:r>
      <w:proofErr w:type="spellStart"/>
      <w:r w:rsidRPr="007C218A">
        <w:rPr>
          <w:i/>
          <w:sz w:val="24"/>
          <w:szCs w:val="24"/>
        </w:rPr>
        <w:t>Mauritia</w:t>
      </w:r>
      <w:proofErr w:type="spellEnd"/>
      <w:r w:rsidRPr="007C218A">
        <w:rPr>
          <w:i/>
          <w:sz w:val="24"/>
          <w:szCs w:val="24"/>
        </w:rPr>
        <w:t xml:space="preserve"> flexuosa</w:t>
      </w:r>
      <w:r w:rsidRPr="007C218A">
        <w:rPr>
          <w:sz w:val="24"/>
          <w:szCs w:val="24"/>
        </w:rPr>
        <w:t xml:space="preserve">): agregação de valor aos frutos do cerrado brasileiro. </w:t>
      </w:r>
      <w:proofErr w:type="spellStart"/>
      <w:r w:rsidRPr="007C218A">
        <w:rPr>
          <w:b/>
          <w:sz w:val="24"/>
          <w:szCs w:val="24"/>
        </w:rPr>
        <w:t>Brazilian</w:t>
      </w:r>
      <w:proofErr w:type="spellEnd"/>
      <w:r w:rsidRPr="007C218A">
        <w:rPr>
          <w:b/>
          <w:sz w:val="24"/>
          <w:szCs w:val="24"/>
        </w:rPr>
        <w:t xml:space="preserve"> </w:t>
      </w:r>
      <w:proofErr w:type="spellStart"/>
      <w:r w:rsidRPr="007C218A">
        <w:rPr>
          <w:b/>
          <w:sz w:val="24"/>
          <w:szCs w:val="24"/>
        </w:rPr>
        <w:t>Journal</w:t>
      </w:r>
      <w:proofErr w:type="spellEnd"/>
      <w:r w:rsidRPr="007C218A">
        <w:rPr>
          <w:b/>
          <w:sz w:val="24"/>
          <w:szCs w:val="24"/>
        </w:rPr>
        <w:t xml:space="preserve"> </w:t>
      </w:r>
      <w:proofErr w:type="spellStart"/>
      <w:r w:rsidRPr="007C218A">
        <w:rPr>
          <w:b/>
          <w:sz w:val="24"/>
          <w:szCs w:val="24"/>
        </w:rPr>
        <w:t>of</w:t>
      </w:r>
      <w:proofErr w:type="spellEnd"/>
      <w:r w:rsidRPr="007C218A">
        <w:rPr>
          <w:b/>
          <w:sz w:val="24"/>
          <w:szCs w:val="24"/>
        </w:rPr>
        <w:t xml:space="preserve"> </w:t>
      </w:r>
      <w:proofErr w:type="spellStart"/>
      <w:r w:rsidRPr="007C218A">
        <w:rPr>
          <w:b/>
          <w:sz w:val="24"/>
          <w:szCs w:val="24"/>
        </w:rPr>
        <w:t>Food</w:t>
      </w:r>
      <w:proofErr w:type="spellEnd"/>
      <w:r w:rsidRPr="007C218A">
        <w:rPr>
          <w:b/>
          <w:sz w:val="24"/>
          <w:szCs w:val="24"/>
        </w:rPr>
        <w:t xml:space="preserve"> Technology</w:t>
      </w:r>
      <w:r w:rsidRPr="007C218A">
        <w:rPr>
          <w:sz w:val="24"/>
          <w:szCs w:val="24"/>
        </w:rPr>
        <w:t>, Campinas, v. 20, 2017.</w:t>
      </w:r>
    </w:p>
    <w:p w14:paraId="15C242BD" w14:textId="77777777" w:rsidR="00C04996" w:rsidRPr="007C218A" w:rsidRDefault="00C04996" w:rsidP="007C218A">
      <w:pPr>
        <w:ind w:right="4"/>
        <w:contextualSpacing/>
        <w:jc w:val="both"/>
        <w:rPr>
          <w:sz w:val="24"/>
          <w:szCs w:val="24"/>
        </w:rPr>
      </w:pPr>
    </w:p>
    <w:p w14:paraId="58870FCB" w14:textId="77777777" w:rsidR="007C218A" w:rsidRDefault="007C218A" w:rsidP="007C218A">
      <w:pPr>
        <w:jc w:val="both"/>
        <w:rPr>
          <w:color w:val="000000"/>
          <w:sz w:val="24"/>
          <w:szCs w:val="24"/>
          <w:shd w:val="clear" w:color="auto" w:fill="FFFFFF"/>
        </w:rPr>
      </w:pPr>
      <w:r w:rsidRPr="007C218A">
        <w:rPr>
          <w:color w:val="000000"/>
          <w:sz w:val="24"/>
          <w:szCs w:val="24"/>
          <w:shd w:val="clear" w:color="auto" w:fill="FFFFFF"/>
        </w:rPr>
        <w:t xml:space="preserve">JAY, J. M. </w:t>
      </w:r>
      <w:r w:rsidRPr="007C218A">
        <w:rPr>
          <w:b/>
          <w:color w:val="000000"/>
          <w:sz w:val="24"/>
          <w:szCs w:val="24"/>
          <w:shd w:val="clear" w:color="auto" w:fill="FFFFFF"/>
        </w:rPr>
        <w:t>Microbiologia de alimentos</w:t>
      </w:r>
      <w:r w:rsidRPr="007C218A">
        <w:rPr>
          <w:color w:val="000000"/>
          <w:sz w:val="24"/>
          <w:szCs w:val="24"/>
          <w:shd w:val="clear" w:color="auto" w:fill="FFFFFF"/>
        </w:rPr>
        <w:t>, 6. ed. Porto Alegre: Artmed, 2005. 711 p.</w:t>
      </w:r>
    </w:p>
    <w:p w14:paraId="5075D55B" w14:textId="77777777" w:rsidR="00C04996" w:rsidRPr="007C218A" w:rsidRDefault="00C04996" w:rsidP="007C218A">
      <w:pPr>
        <w:jc w:val="both"/>
        <w:rPr>
          <w:color w:val="000000"/>
          <w:sz w:val="24"/>
          <w:szCs w:val="24"/>
          <w:shd w:val="clear" w:color="auto" w:fill="FFFFFF"/>
        </w:rPr>
      </w:pPr>
    </w:p>
    <w:p w14:paraId="5386F281" w14:textId="77777777" w:rsidR="007C218A" w:rsidRDefault="007C218A" w:rsidP="007C218A">
      <w:pPr>
        <w:jc w:val="both"/>
        <w:rPr>
          <w:color w:val="000000"/>
          <w:sz w:val="24"/>
          <w:szCs w:val="24"/>
          <w:shd w:val="clear" w:color="auto" w:fill="FFFFFF"/>
        </w:rPr>
      </w:pPr>
      <w:r w:rsidRPr="007C218A">
        <w:rPr>
          <w:color w:val="000000"/>
          <w:sz w:val="24"/>
          <w:szCs w:val="24"/>
          <w:shd w:val="clear" w:color="auto" w:fill="FFFFFF"/>
        </w:rPr>
        <w:t xml:space="preserve">JUNIOR, R. F.; TORRES, L. B. V.; CAMPOS, V. B.; LIMAS, A. R.; OLIVEIRA, A. D.; MENDONÇA, J. K. Caracterização físico-química de frutos de mamoeiro comercializados na EMPASA de Campina Grande – PB. </w:t>
      </w:r>
      <w:r w:rsidRPr="007C218A">
        <w:rPr>
          <w:b/>
          <w:color w:val="000000"/>
          <w:sz w:val="24"/>
          <w:szCs w:val="24"/>
          <w:shd w:val="clear" w:color="auto" w:fill="FFFFFF"/>
        </w:rPr>
        <w:t>Revista Brasileira de Produtos Agroindustriais</w:t>
      </w:r>
      <w:r w:rsidRPr="007C218A">
        <w:rPr>
          <w:color w:val="000000"/>
          <w:sz w:val="24"/>
          <w:szCs w:val="24"/>
          <w:shd w:val="clear" w:color="auto" w:fill="FFFFFF"/>
        </w:rPr>
        <w:t>, v. 9, n. 1, p. 53-8, 2007.</w:t>
      </w:r>
    </w:p>
    <w:p w14:paraId="7B120EA9" w14:textId="77777777" w:rsidR="00C04996" w:rsidRPr="007C218A" w:rsidRDefault="00C04996" w:rsidP="007C218A">
      <w:pPr>
        <w:jc w:val="both"/>
        <w:rPr>
          <w:color w:val="000000"/>
          <w:sz w:val="24"/>
          <w:szCs w:val="24"/>
          <w:shd w:val="clear" w:color="auto" w:fill="FFFFFF"/>
        </w:rPr>
      </w:pPr>
    </w:p>
    <w:p w14:paraId="7EC95463" w14:textId="77777777" w:rsidR="007C218A" w:rsidRDefault="007C218A" w:rsidP="007C218A">
      <w:pPr>
        <w:jc w:val="both"/>
        <w:rPr>
          <w:color w:val="000000"/>
          <w:sz w:val="24"/>
          <w:szCs w:val="24"/>
          <w:shd w:val="clear" w:color="auto" w:fill="FFFFFF"/>
        </w:rPr>
      </w:pPr>
      <w:r w:rsidRPr="007C218A">
        <w:rPr>
          <w:color w:val="000000"/>
          <w:sz w:val="24"/>
          <w:szCs w:val="24"/>
          <w:shd w:val="clear" w:color="auto" w:fill="FFFFFF"/>
          <w:lang w:val="en-US"/>
        </w:rPr>
        <w:t xml:space="preserve">LI, F.; LI, S.; LI, H.-B.; DENG, G.-F.; LING, W.-H.; WU, S.; XU, X.-R.; CHEN, F. Antiproliferative activity of peels, pulps and seeds of 61 fruits. </w:t>
      </w:r>
      <w:proofErr w:type="spellStart"/>
      <w:r w:rsidRPr="007C218A">
        <w:rPr>
          <w:b/>
          <w:color w:val="000000"/>
          <w:sz w:val="24"/>
          <w:szCs w:val="24"/>
          <w:shd w:val="clear" w:color="auto" w:fill="FFFFFF"/>
        </w:rPr>
        <w:t>Journal</w:t>
      </w:r>
      <w:proofErr w:type="spellEnd"/>
      <w:r w:rsidRPr="007C218A">
        <w:rPr>
          <w:b/>
          <w:color w:val="000000"/>
          <w:sz w:val="24"/>
          <w:szCs w:val="24"/>
          <w:shd w:val="clear" w:color="auto" w:fill="FFFFFF"/>
        </w:rPr>
        <w:t xml:space="preserve"> </w:t>
      </w:r>
      <w:proofErr w:type="spellStart"/>
      <w:r w:rsidRPr="007C218A">
        <w:rPr>
          <w:b/>
          <w:color w:val="000000"/>
          <w:sz w:val="24"/>
          <w:szCs w:val="24"/>
          <w:shd w:val="clear" w:color="auto" w:fill="FFFFFF"/>
        </w:rPr>
        <w:t>of</w:t>
      </w:r>
      <w:proofErr w:type="spellEnd"/>
      <w:r w:rsidRPr="007C218A">
        <w:rPr>
          <w:b/>
          <w:color w:val="000000"/>
          <w:sz w:val="24"/>
          <w:szCs w:val="24"/>
          <w:shd w:val="clear" w:color="auto" w:fill="FFFFFF"/>
        </w:rPr>
        <w:t xml:space="preserve"> </w:t>
      </w:r>
      <w:proofErr w:type="spellStart"/>
      <w:r w:rsidRPr="007C218A">
        <w:rPr>
          <w:b/>
          <w:color w:val="000000"/>
          <w:sz w:val="24"/>
          <w:szCs w:val="24"/>
          <w:shd w:val="clear" w:color="auto" w:fill="FFFFFF"/>
        </w:rPr>
        <w:t>Functional</w:t>
      </w:r>
      <w:proofErr w:type="spellEnd"/>
      <w:r w:rsidRPr="007C218A">
        <w:rPr>
          <w:b/>
          <w:color w:val="000000"/>
          <w:sz w:val="24"/>
          <w:szCs w:val="24"/>
          <w:shd w:val="clear" w:color="auto" w:fill="FFFFFF"/>
        </w:rPr>
        <w:t xml:space="preserve"> </w:t>
      </w:r>
      <w:proofErr w:type="spellStart"/>
      <w:r w:rsidRPr="007C218A">
        <w:rPr>
          <w:b/>
          <w:color w:val="000000"/>
          <w:sz w:val="24"/>
          <w:szCs w:val="24"/>
          <w:shd w:val="clear" w:color="auto" w:fill="FFFFFF"/>
        </w:rPr>
        <w:t>Foods</w:t>
      </w:r>
      <w:proofErr w:type="spellEnd"/>
      <w:r w:rsidRPr="007C218A">
        <w:rPr>
          <w:color w:val="000000"/>
          <w:sz w:val="24"/>
          <w:szCs w:val="24"/>
          <w:shd w:val="clear" w:color="auto" w:fill="FFFFFF"/>
        </w:rPr>
        <w:t>, v. 5, n. 3, p. 1298-1309, 2013.</w:t>
      </w:r>
    </w:p>
    <w:p w14:paraId="0CB768DB" w14:textId="77777777" w:rsidR="00C04996" w:rsidRPr="007C218A" w:rsidRDefault="00C04996" w:rsidP="007C218A">
      <w:pPr>
        <w:jc w:val="both"/>
        <w:rPr>
          <w:color w:val="000000"/>
          <w:sz w:val="24"/>
          <w:szCs w:val="24"/>
          <w:shd w:val="clear" w:color="auto" w:fill="FFFFFF"/>
        </w:rPr>
      </w:pPr>
    </w:p>
    <w:p w14:paraId="733E5C04" w14:textId="77777777" w:rsidR="007C218A" w:rsidRDefault="007C218A" w:rsidP="007C218A">
      <w:pPr>
        <w:ind w:right="4"/>
        <w:contextualSpacing/>
        <w:jc w:val="both"/>
        <w:rPr>
          <w:sz w:val="24"/>
          <w:szCs w:val="24"/>
        </w:rPr>
      </w:pPr>
      <w:proofErr w:type="spellStart"/>
      <w:r w:rsidRPr="007C218A">
        <w:rPr>
          <w:sz w:val="24"/>
          <w:szCs w:val="24"/>
        </w:rPr>
        <w:t>MAPAa</w:t>
      </w:r>
      <w:proofErr w:type="spellEnd"/>
      <w:r w:rsidRPr="007C218A">
        <w:rPr>
          <w:sz w:val="24"/>
          <w:szCs w:val="24"/>
        </w:rPr>
        <w:t xml:space="preserve"> - Ministério da Agricultura, Pecuária e Abastecimento. Instrução Normativa Nº 12, de 4 de setembro de 2003. Aprova o Regulamento Técnico para Fixação dos Padrões de Identidade e Qualidade Gerais para Sucos e Néctares Tropicais. </w:t>
      </w:r>
      <w:r w:rsidRPr="007C218A">
        <w:rPr>
          <w:b/>
          <w:sz w:val="24"/>
          <w:szCs w:val="24"/>
        </w:rPr>
        <w:t>Diário Oficial [da República Federativa do Brasil]</w:t>
      </w:r>
      <w:r w:rsidRPr="007C218A">
        <w:rPr>
          <w:sz w:val="24"/>
          <w:szCs w:val="24"/>
        </w:rPr>
        <w:t>. Brasília, p.174, set. 2003. Seção 1.</w:t>
      </w:r>
    </w:p>
    <w:p w14:paraId="3A5D0A14" w14:textId="77777777" w:rsidR="00C04996" w:rsidRPr="007C218A" w:rsidRDefault="00C04996" w:rsidP="007C218A">
      <w:pPr>
        <w:ind w:right="4"/>
        <w:contextualSpacing/>
        <w:jc w:val="both"/>
        <w:rPr>
          <w:sz w:val="24"/>
          <w:szCs w:val="24"/>
        </w:rPr>
      </w:pPr>
    </w:p>
    <w:p w14:paraId="1E58683A" w14:textId="77777777" w:rsidR="007C218A" w:rsidRDefault="007C218A" w:rsidP="007C218A">
      <w:pPr>
        <w:ind w:right="4"/>
        <w:contextualSpacing/>
        <w:jc w:val="both"/>
        <w:rPr>
          <w:sz w:val="24"/>
          <w:szCs w:val="24"/>
        </w:rPr>
      </w:pPr>
      <w:proofErr w:type="spellStart"/>
      <w:r w:rsidRPr="007C218A">
        <w:rPr>
          <w:sz w:val="24"/>
          <w:szCs w:val="24"/>
        </w:rPr>
        <w:t>MAPAb</w:t>
      </w:r>
      <w:proofErr w:type="spellEnd"/>
      <w:r w:rsidRPr="007C218A">
        <w:rPr>
          <w:sz w:val="24"/>
          <w:szCs w:val="24"/>
        </w:rPr>
        <w:t xml:space="preserve"> - Ministério da Agricultura, Pecuária e Abastecimento. Portaria nº 58, de 30 de agosto de 2016. Aprova o Regulamento técnico para fixação dos padrões de identidade e qualidade para polpa de maracujá. </w:t>
      </w:r>
      <w:r w:rsidRPr="007C218A">
        <w:rPr>
          <w:b/>
          <w:sz w:val="24"/>
          <w:szCs w:val="24"/>
        </w:rPr>
        <w:t>Diário Oficial [da República Federativa do Brasil]</w:t>
      </w:r>
      <w:r w:rsidRPr="007C218A">
        <w:rPr>
          <w:sz w:val="24"/>
          <w:szCs w:val="24"/>
        </w:rPr>
        <w:t>. Brasília, p.169, set. 2016. Seção 1.</w:t>
      </w:r>
    </w:p>
    <w:p w14:paraId="40A32D12" w14:textId="77777777" w:rsidR="00C04996" w:rsidRPr="007C218A" w:rsidRDefault="00C04996" w:rsidP="007C218A">
      <w:pPr>
        <w:ind w:right="4"/>
        <w:contextualSpacing/>
        <w:jc w:val="both"/>
        <w:rPr>
          <w:sz w:val="24"/>
          <w:szCs w:val="24"/>
        </w:rPr>
      </w:pPr>
    </w:p>
    <w:p w14:paraId="4F04E7A0" w14:textId="77777777" w:rsidR="007C218A" w:rsidRDefault="007C218A" w:rsidP="007C218A">
      <w:pPr>
        <w:ind w:right="4"/>
        <w:contextualSpacing/>
        <w:jc w:val="both"/>
        <w:rPr>
          <w:sz w:val="24"/>
          <w:szCs w:val="24"/>
        </w:rPr>
      </w:pPr>
      <w:r w:rsidRPr="007C218A">
        <w:rPr>
          <w:sz w:val="24"/>
          <w:szCs w:val="24"/>
        </w:rPr>
        <w:t xml:space="preserve">MARTÍN-ESPARZA, M. E.; ESCRICHE, I.; PENAGOS, L.; MATÍNEZNAVARRETE, N. </w:t>
      </w:r>
      <w:proofErr w:type="spellStart"/>
      <w:r w:rsidRPr="007C218A">
        <w:rPr>
          <w:sz w:val="24"/>
          <w:szCs w:val="24"/>
        </w:rPr>
        <w:t>Quality</w:t>
      </w:r>
      <w:proofErr w:type="spellEnd"/>
      <w:r w:rsidRPr="007C218A">
        <w:rPr>
          <w:sz w:val="24"/>
          <w:szCs w:val="24"/>
        </w:rPr>
        <w:t xml:space="preserve"> </w:t>
      </w:r>
      <w:proofErr w:type="spellStart"/>
      <w:r w:rsidRPr="007C218A">
        <w:rPr>
          <w:sz w:val="24"/>
          <w:szCs w:val="24"/>
        </w:rPr>
        <w:t>stability</w:t>
      </w:r>
      <w:proofErr w:type="spellEnd"/>
      <w:r w:rsidRPr="007C218A">
        <w:rPr>
          <w:sz w:val="24"/>
          <w:szCs w:val="24"/>
        </w:rPr>
        <w:t xml:space="preserve"> </w:t>
      </w:r>
      <w:proofErr w:type="spellStart"/>
      <w:r w:rsidRPr="007C218A">
        <w:rPr>
          <w:sz w:val="24"/>
          <w:szCs w:val="24"/>
        </w:rPr>
        <w:t>assessment</w:t>
      </w:r>
      <w:proofErr w:type="spellEnd"/>
      <w:r w:rsidRPr="007C218A">
        <w:rPr>
          <w:sz w:val="24"/>
          <w:szCs w:val="24"/>
        </w:rPr>
        <w:t xml:space="preserve"> </w:t>
      </w:r>
      <w:proofErr w:type="spellStart"/>
      <w:r w:rsidRPr="007C218A">
        <w:rPr>
          <w:sz w:val="24"/>
          <w:szCs w:val="24"/>
        </w:rPr>
        <w:t>of</w:t>
      </w:r>
      <w:proofErr w:type="spellEnd"/>
      <w:r w:rsidRPr="007C218A">
        <w:rPr>
          <w:sz w:val="24"/>
          <w:szCs w:val="24"/>
        </w:rPr>
        <w:t xml:space="preserve"> a </w:t>
      </w:r>
      <w:proofErr w:type="spellStart"/>
      <w:r w:rsidRPr="007C218A">
        <w:rPr>
          <w:sz w:val="24"/>
          <w:szCs w:val="24"/>
        </w:rPr>
        <w:t>strawberry</w:t>
      </w:r>
      <w:proofErr w:type="spellEnd"/>
      <w:r w:rsidRPr="007C218A">
        <w:rPr>
          <w:sz w:val="24"/>
          <w:szCs w:val="24"/>
        </w:rPr>
        <w:t xml:space="preserve">-gel </w:t>
      </w:r>
      <w:proofErr w:type="spellStart"/>
      <w:r w:rsidRPr="007C218A">
        <w:rPr>
          <w:sz w:val="24"/>
          <w:szCs w:val="24"/>
        </w:rPr>
        <w:t>product</w:t>
      </w:r>
      <w:proofErr w:type="spellEnd"/>
      <w:r w:rsidRPr="007C218A">
        <w:rPr>
          <w:sz w:val="24"/>
          <w:szCs w:val="24"/>
        </w:rPr>
        <w:t xml:space="preserve"> </w:t>
      </w:r>
      <w:proofErr w:type="spellStart"/>
      <w:r w:rsidRPr="007C218A">
        <w:rPr>
          <w:sz w:val="24"/>
          <w:szCs w:val="24"/>
        </w:rPr>
        <w:t>during</w:t>
      </w:r>
      <w:proofErr w:type="spellEnd"/>
      <w:r w:rsidRPr="007C218A">
        <w:rPr>
          <w:sz w:val="24"/>
          <w:szCs w:val="24"/>
        </w:rPr>
        <w:t xml:space="preserve"> </w:t>
      </w:r>
      <w:proofErr w:type="spellStart"/>
      <w:r w:rsidRPr="007C218A">
        <w:rPr>
          <w:sz w:val="24"/>
          <w:szCs w:val="24"/>
        </w:rPr>
        <w:t>storage</w:t>
      </w:r>
      <w:proofErr w:type="spellEnd"/>
      <w:r w:rsidRPr="007C218A">
        <w:rPr>
          <w:sz w:val="24"/>
          <w:szCs w:val="24"/>
        </w:rPr>
        <w:t xml:space="preserve">. </w:t>
      </w:r>
      <w:proofErr w:type="spellStart"/>
      <w:r w:rsidRPr="007C218A">
        <w:rPr>
          <w:b/>
          <w:sz w:val="24"/>
          <w:szCs w:val="24"/>
        </w:rPr>
        <w:t>Journal</w:t>
      </w:r>
      <w:proofErr w:type="spellEnd"/>
      <w:r w:rsidRPr="007C218A">
        <w:rPr>
          <w:b/>
          <w:sz w:val="24"/>
          <w:szCs w:val="24"/>
        </w:rPr>
        <w:t xml:space="preserve"> </w:t>
      </w:r>
      <w:proofErr w:type="spellStart"/>
      <w:r w:rsidRPr="007C218A">
        <w:rPr>
          <w:b/>
          <w:sz w:val="24"/>
          <w:szCs w:val="24"/>
        </w:rPr>
        <w:t>of</w:t>
      </w:r>
      <w:proofErr w:type="spellEnd"/>
      <w:r w:rsidRPr="007C218A">
        <w:rPr>
          <w:b/>
          <w:sz w:val="24"/>
          <w:szCs w:val="24"/>
        </w:rPr>
        <w:t xml:space="preserve"> </w:t>
      </w:r>
      <w:proofErr w:type="spellStart"/>
      <w:r w:rsidRPr="007C218A">
        <w:rPr>
          <w:b/>
          <w:sz w:val="24"/>
          <w:szCs w:val="24"/>
        </w:rPr>
        <w:t>Food</w:t>
      </w:r>
      <w:proofErr w:type="spellEnd"/>
      <w:r w:rsidRPr="007C218A">
        <w:rPr>
          <w:b/>
          <w:sz w:val="24"/>
          <w:szCs w:val="24"/>
        </w:rPr>
        <w:t xml:space="preserve"> </w:t>
      </w:r>
      <w:proofErr w:type="spellStart"/>
      <w:r w:rsidRPr="007C218A">
        <w:rPr>
          <w:b/>
          <w:sz w:val="24"/>
          <w:szCs w:val="24"/>
        </w:rPr>
        <w:t>Process</w:t>
      </w:r>
      <w:proofErr w:type="spellEnd"/>
      <w:r w:rsidRPr="007C218A">
        <w:rPr>
          <w:b/>
          <w:sz w:val="24"/>
          <w:szCs w:val="24"/>
        </w:rPr>
        <w:t xml:space="preserve"> </w:t>
      </w:r>
      <w:proofErr w:type="spellStart"/>
      <w:r w:rsidRPr="007C218A">
        <w:rPr>
          <w:b/>
          <w:sz w:val="24"/>
          <w:szCs w:val="24"/>
        </w:rPr>
        <w:t>Engineering</w:t>
      </w:r>
      <w:proofErr w:type="spellEnd"/>
      <w:r w:rsidRPr="007C218A">
        <w:rPr>
          <w:sz w:val="24"/>
          <w:szCs w:val="24"/>
        </w:rPr>
        <w:t>, v. 34, n. 2, p. 204-223, 2011.</w:t>
      </w:r>
    </w:p>
    <w:p w14:paraId="0A36C809" w14:textId="77777777" w:rsidR="00C04996" w:rsidRPr="007C218A" w:rsidRDefault="00C04996" w:rsidP="007C218A">
      <w:pPr>
        <w:ind w:right="4"/>
        <w:contextualSpacing/>
        <w:jc w:val="both"/>
        <w:rPr>
          <w:sz w:val="24"/>
          <w:szCs w:val="24"/>
        </w:rPr>
      </w:pPr>
    </w:p>
    <w:p w14:paraId="72A4ABC0" w14:textId="77777777" w:rsidR="007C218A" w:rsidRDefault="007C218A" w:rsidP="007C218A">
      <w:pPr>
        <w:ind w:right="4"/>
        <w:contextualSpacing/>
        <w:jc w:val="both"/>
        <w:rPr>
          <w:sz w:val="24"/>
          <w:szCs w:val="24"/>
        </w:rPr>
      </w:pPr>
      <w:r w:rsidRPr="007C218A">
        <w:rPr>
          <w:sz w:val="24"/>
          <w:szCs w:val="24"/>
        </w:rPr>
        <w:t xml:space="preserve">PRATI, P.; MORETTI, R. H.; CARDELLO, H. M. A. B.; GÂMDRA. A. L. N. Estudo da vida-de-prateleira de Bebida elaborada pela mistura de garapa parcialmente clarificada estabilizada e suco natural de maracujá. </w:t>
      </w:r>
      <w:r w:rsidRPr="007C218A">
        <w:rPr>
          <w:b/>
          <w:sz w:val="24"/>
          <w:szCs w:val="24"/>
        </w:rPr>
        <w:t>Boletim do CEPPA</w:t>
      </w:r>
      <w:r w:rsidRPr="007C218A">
        <w:rPr>
          <w:sz w:val="24"/>
          <w:szCs w:val="24"/>
        </w:rPr>
        <w:t>, 22, 295-310, 2004.</w:t>
      </w:r>
    </w:p>
    <w:p w14:paraId="325DE494" w14:textId="77777777" w:rsidR="00C04996" w:rsidRPr="007C218A" w:rsidRDefault="00C04996" w:rsidP="007C218A">
      <w:pPr>
        <w:ind w:right="4"/>
        <w:contextualSpacing/>
        <w:jc w:val="both"/>
        <w:rPr>
          <w:sz w:val="24"/>
          <w:szCs w:val="24"/>
        </w:rPr>
      </w:pPr>
    </w:p>
    <w:p w14:paraId="5716D71C" w14:textId="77777777" w:rsidR="007C218A" w:rsidRDefault="007C218A" w:rsidP="007C218A">
      <w:pPr>
        <w:shd w:val="clear" w:color="auto" w:fill="FFFFFF"/>
        <w:jc w:val="both"/>
        <w:rPr>
          <w:color w:val="111111"/>
          <w:sz w:val="24"/>
          <w:szCs w:val="24"/>
        </w:rPr>
      </w:pPr>
      <w:r w:rsidRPr="007C218A">
        <w:rPr>
          <w:color w:val="111111"/>
          <w:sz w:val="24"/>
          <w:szCs w:val="24"/>
        </w:rPr>
        <w:t xml:space="preserve">SACRAMENTO, C. K. do; MATOS, C. B.; SOUZA, C. N.; BARRETTO, W. S.; FARIA, J. C. Características físicas, físico-químicas e químicas de cajás oriundos de diversos municípios da região Sul da Bahia. </w:t>
      </w:r>
      <w:proofErr w:type="spellStart"/>
      <w:r w:rsidRPr="007C218A">
        <w:rPr>
          <w:b/>
          <w:color w:val="111111"/>
          <w:sz w:val="24"/>
          <w:szCs w:val="24"/>
        </w:rPr>
        <w:t>Magistra</w:t>
      </w:r>
      <w:proofErr w:type="spellEnd"/>
      <w:r w:rsidRPr="007C218A">
        <w:rPr>
          <w:color w:val="111111"/>
          <w:sz w:val="24"/>
          <w:szCs w:val="24"/>
        </w:rPr>
        <w:t>, Cruz das Almas - BA, v. 19, n. 4, p. 283-289, 2007.</w:t>
      </w:r>
    </w:p>
    <w:p w14:paraId="224722BE" w14:textId="77777777" w:rsidR="00C04996" w:rsidRPr="007C218A" w:rsidRDefault="00C04996" w:rsidP="007C218A">
      <w:pPr>
        <w:shd w:val="clear" w:color="auto" w:fill="FFFFFF"/>
        <w:jc w:val="both"/>
        <w:rPr>
          <w:color w:val="111111"/>
          <w:sz w:val="24"/>
          <w:szCs w:val="24"/>
        </w:rPr>
      </w:pPr>
    </w:p>
    <w:p w14:paraId="1E0C9723" w14:textId="77777777" w:rsidR="007C218A" w:rsidRDefault="007C218A" w:rsidP="007C218A">
      <w:pPr>
        <w:ind w:right="4"/>
        <w:contextualSpacing/>
        <w:jc w:val="both"/>
        <w:rPr>
          <w:sz w:val="24"/>
          <w:szCs w:val="24"/>
        </w:rPr>
      </w:pPr>
      <w:r w:rsidRPr="007C218A">
        <w:rPr>
          <w:sz w:val="24"/>
          <w:szCs w:val="24"/>
        </w:rPr>
        <w:t xml:space="preserve">SANTOS, D.; MATARAZZO, P. H. M.; SILVA, D. F. P.; SIQUEIRA, D. L.; SANTOS, D. C. M.; LUCENA, C. C. Caracterização de frutos cítricos </w:t>
      </w:r>
      <w:proofErr w:type="spellStart"/>
      <w:r w:rsidRPr="007C218A">
        <w:rPr>
          <w:sz w:val="24"/>
          <w:szCs w:val="24"/>
        </w:rPr>
        <w:t>apirênicos</w:t>
      </w:r>
      <w:proofErr w:type="spellEnd"/>
      <w:r w:rsidRPr="007C218A">
        <w:rPr>
          <w:sz w:val="24"/>
          <w:szCs w:val="24"/>
        </w:rPr>
        <w:t xml:space="preserve"> produzidos em Viçosa-Minas Gerais. </w:t>
      </w:r>
      <w:r w:rsidRPr="007C218A">
        <w:rPr>
          <w:b/>
          <w:sz w:val="24"/>
          <w:szCs w:val="24"/>
        </w:rPr>
        <w:t>Revista Ceres</w:t>
      </w:r>
      <w:r w:rsidRPr="007C218A">
        <w:rPr>
          <w:sz w:val="24"/>
          <w:szCs w:val="24"/>
        </w:rPr>
        <w:t>, v. 57, n. 3, p. 393-400, 2010.</w:t>
      </w:r>
    </w:p>
    <w:p w14:paraId="640ED176" w14:textId="77777777" w:rsidR="00C04996" w:rsidRPr="007C218A" w:rsidRDefault="00C04996" w:rsidP="007C218A">
      <w:pPr>
        <w:ind w:right="4"/>
        <w:contextualSpacing/>
        <w:jc w:val="both"/>
        <w:rPr>
          <w:sz w:val="24"/>
          <w:szCs w:val="24"/>
        </w:rPr>
      </w:pPr>
    </w:p>
    <w:p w14:paraId="27867B1A" w14:textId="77777777" w:rsidR="007C218A" w:rsidRDefault="007C218A" w:rsidP="007C218A">
      <w:pPr>
        <w:ind w:right="4"/>
        <w:contextualSpacing/>
        <w:jc w:val="both"/>
        <w:rPr>
          <w:sz w:val="24"/>
          <w:szCs w:val="24"/>
        </w:rPr>
      </w:pPr>
      <w:r w:rsidRPr="007C218A">
        <w:rPr>
          <w:sz w:val="24"/>
          <w:szCs w:val="24"/>
        </w:rPr>
        <w:t xml:space="preserve">SAS INSTITUTE. </w:t>
      </w:r>
      <w:r w:rsidRPr="007C218A">
        <w:rPr>
          <w:b/>
          <w:sz w:val="24"/>
          <w:szCs w:val="24"/>
        </w:rPr>
        <w:t>SAS for Windows, versão 9.4 SAS</w:t>
      </w:r>
      <w:r w:rsidRPr="007C218A">
        <w:rPr>
          <w:sz w:val="24"/>
          <w:szCs w:val="24"/>
          <w:vertAlign w:val="superscript"/>
        </w:rPr>
        <w:t>®</w:t>
      </w:r>
      <w:r w:rsidRPr="007C218A">
        <w:rPr>
          <w:sz w:val="24"/>
          <w:szCs w:val="24"/>
        </w:rPr>
        <w:t xml:space="preserve">: SAS </w:t>
      </w:r>
      <w:proofErr w:type="spellStart"/>
      <w:r w:rsidRPr="007C218A">
        <w:rPr>
          <w:sz w:val="24"/>
          <w:szCs w:val="24"/>
        </w:rPr>
        <w:t>User</w:t>
      </w:r>
      <w:proofErr w:type="spellEnd"/>
      <w:r w:rsidRPr="007C218A">
        <w:rPr>
          <w:sz w:val="24"/>
          <w:szCs w:val="24"/>
        </w:rPr>
        <w:t xml:space="preserve"> </w:t>
      </w:r>
      <w:proofErr w:type="spellStart"/>
      <w:r w:rsidRPr="007C218A">
        <w:rPr>
          <w:sz w:val="24"/>
          <w:szCs w:val="24"/>
        </w:rPr>
        <w:t>guide</w:t>
      </w:r>
      <w:proofErr w:type="spellEnd"/>
      <w:r w:rsidRPr="007C218A">
        <w:rPr>
          <w:sz w:val="24"/>
          <w:szCs w:val="24"/>
        </w:rPr>
        <w:t xml:space="preserve">. </w:t>
      </w:r>
      <w:proofErr w:type="spellStart"/>
      <w:r w:rsidRPr="007C218A">
        <w:rPr>
          <w:sz w:val="24"/>
          <w:szCs w:val="24"/>
        </w:rPr>
        <w:t>Carry</w:t>
      </w:r>
      <w:proofErr w:type="spellEnd"/>
      <w:r w:rsidRPr="007C218A">
        <w:rPr>
          <w:sz w:val="24"/>
          <w:szCs w:val="24"/>
        </w:rPr>
        <w:t xml:space="preserve">, 2013. </w:t>
      </w:r>
    </w:p>
    <w:p w14:paraId="6D2D691D" w14:textId="77777777" w:rsidR="00C04996" w:rsidRPr="007C218A" w:rsidRDefault="00C04996" w:rsidP="007C218A">
      <w:pPr>
        <w:ind w:right="4"/>
        <w:contextualSpacing/>
        <w:jc w:val="both"/>
        <w:rPr>
          <w:sz w:val="24"/>
          <w:szCs w:val="24"/>
        </w:rPr>
      </w:pPr>
    </w:p>
    <w:p w14:paraId="0226611E" w14:textId="77777777" w:rsidR="007C218A" w:rsidRDefault="007C218A" w:rsidP="007C218A">
      <w:pPr>
        <w:ind w:right="4"/>
        <w:contextualSpacing/>
        <w:jc w:val="both"/>
        <w:rPr>
          <w:sz w:val="24"/>
          <w:szCs w:val="24"/>
        </w:rPr>
      </w:pPr>
      <w:r w:rsidRPr="007C218A">
        <w:rPr>
          <w:sz w:val="24"/>
          <w:szCs w:val="24"/>
        </w:rPr>
        <w:t xml:space="preserve">SEAGRI – Secretaria de Agricultura, Irrigação e Reforma Agrária. </w:t>
      </w:r>
      <w:r w:rsidRPr="007C218A">
        <w:rPr>
          <w:b/>
          <w:sz w:val="24"/>
          <w:szCs w:val="24"/>
        </w:rPr>
        <w:t>Cultura do maracujá</w:t>
      </w:r>
      <w:r w:rsidRPr="007C218A">
        <w:rPr>
          <w:sz w:val="24"/>
          <w:szCs w:val="24"/>
        </w:rPr>
        <w:t>. www.seagri.ba.gov.br/Maracuja.htm. 2008.</w:t>
      </w:r>
    </w:p>
    <w:p w14:paraId="15687ED0" w14:textId="77777777" w:rsidR="00C04996" w:rsidRPr="007C218A" w:rsidRDefault="00C04996" w:rsidP="007C218A">
      <w:pPr>
        <w:ind w:right="4"/>
        <w:contextualSpacing/>
        <w:jc w:val="both"/>
        <w:rPr>
          <w:sz w:val="24"/>
          <w:szCs w:val="24"/>
        </w:rPr>
      </w:pPr>
    </w:p>
    <w:p w14:paraId="64D5ACE8" w14:textId="77777777" w:rsidR="007C218A" w:rsidRDefault="007C218A" w:rsidP="007C218A">
      <w:pPr>
        <w:jc w:val="both"/>
        <w:rPr>
          <w:color w:val="000000"/>
          <w:sz w:val="24"/>
          <w:szCs w:val="24"/>
          <w:shd w:val="clear" w:color="auto" w:fill="FFFFFF"/>
        </w:rPr>
      </w:pPr>
      <w:r w:rsidRPr="007C218A">
        <w:rPr>
          <w:color w:val="000000"/>
          <w:sz w:val="24"/>
          <w:szCs w:val="24"/>
          <w:shd w:val="clear" w:color="auto" w:fill="FFFFFF"/>
        </w:rPr>
        <w:t xml:space="preserve">SILVA, A. M. O. e; VIDAL-NOVOA, A.; BATISTAGONZÁLEZ, A. E.; PINTO, J. R.; PORTARI MANCINI, D. A.; REINA-URQUIJO, W.; MANCINI-FILHO, J. In vivo </w:t>
      </w:r>
      <w:proofErr w:type="spellStart"/>
      <w:r w:rsidRPr="007C218A">
        <w:rPr>
          <w:color w:val="000000"/>
          <w:sz w:val="24"/>
          <w:szCs w:val="24"/>
          <w:shd w:val="clear" w:color="auto" w:fill="FFFFFF"/>
        </w:rPr>
        <w:t>and</w:t>
      </w:r>
      <w:proofErr w:type="spellEnd"/>
      <w:r w:rsidRPr="007C218A">
        <w:rPr>
          <w:color w:val="000000"/>
          <w:sz w:val="24"/>
          <w:szCs w:val="24"/>
          <w:shd w:val="clear" w:color="auto" w:fill="FFFFFF"/>
        </w:rPr>
        <w:t xml:space="preserve"> in vitro </w:t>
      </w:r>
      <w:proofErr w:type="spellStart"/>
      <w:r w:rsidRPr="007C218A">
        <w:rPr>
          <w:color w:val="000000"/>
          <w:sz w:val="24"/>
          <w:szCs w:val="24"/>
          <w:shd w:val="clear" w:color="auto" w:fill="FFFFFF"/>
        </w:rPr>
        <w:t>antioxidant</w:t>
      </w:r>
      <w:proofErr w:type="spellEnd"/>
      <w:r w:rsidRPr="007C218A">
        <w:rPr>
          <w:color w:val="000000"/>
          <w:sz w:val="24"/>
          <w:szCs w:val="24"/>
          <w:shd w:val="clear" w:color="auto" w:fill="FFFFFF"/>
        </w:rPr>
        <w:t xml:space="preserve"> </w:t>
      </w:r>
      <w:proofErr w:type="spellStart"/>
      <w:r w:rsidRPr="007C218A">
        <w:rPr>
          <w:color w:val="000000"/>
          <w:sz w:val="24"/>
          <w:szCs w:val="24"/>
          <w:shd w:val="clear" w:color="auto" w:fill="FFFFFF"/>
        </w:rPr>
        <w:t>activity</w:t>
      </w:r>
      <w:proofErr w:type="spellEnd"/>
      <w:r w:rsidRPr="007C218A">
        <w:rPr>
          <w:color w:val="000000"/>
          <w:sz w:val="24"/>
          <w:szCs w:val="24"/>
          <w:shd w:val="clear" w:color="auto" w:fill="FFFFFF"/>
        </w:rPr>
        <w:t xml:space="preserve"> </w:t>
      </w:r>
      <w:proofErr w:type="spellStart"/>
      <w:r w:rsidRPr="007C218A">
        <w:rPr>
          <w:color w:val="000000"/>
          <w:sz w:val="24"/>
          <w:szCs w:val="24"/>
          <w:shd w:val="clear" w:color="auto" w:fill="FFFFFF"/>
        </w:rPr>
        <w:t>and</w:t>
      </w:r>
      <w:proofErr w:type="spellEnd"/>
      <w:r w:rsidRPr="007C218A">
        <w:rPr>
          <w:color w:val="000000"/>
          <w:sz w:val="24"/>
          <w:szCs w:val="24"/>
          <w:shd w:val="clear" w:color="auto" w:fill="FFFFFF"/>
        </w:rPr>
        <w:t xml:space="preserve"> </w:t>
      </w:r>
      <w:proofErr w:type="spellStart"/>
      <w:r w:rsidRPr="007C218A">
        <w:rPr>
          <w:color w:val="000000"/>
          <w:sz w:val="24"/>
          <w:szCs w:val="24"/>
          <w:shd w:val="clear" w:color="auto" w:fill="FFFFFF"/>
        </w:rPr>
        <w:t>hepatoprotective</w:t>
      </w:r>
      <w:proofErr w:type="spellEnd"/>
      <w:r w:rsidRPr="007C218A">
        <w:rPr>
          <w:color w:val="000000"/>
          <w:sz w:val="24"/>
          <w:szCs w:val="24"/>
          <w:shd w:val="clear" w:color="auto" w:fill="FFFFFF"/>
        </w:rPr>
        <w:t xml:space="preserve"> </w:t>
      </w:r>
      <w:proofErr w:type="spellStart"/>
      <w:r w:rsidRPr="007C218A">
        <w:rPr>
          <w:color w:val="000000"/>
          <w:sz w:val="24"/>
          <w:szCs w:val="24"/>
          <w:shd w:val="clear" w:color="auto" w:fill="FFFFFF"/>
        </w:rPr>
        <w:t>properties</w:t>
      </w:r>
      <w:proofErr w:type="spellEnd"/>
      <w:r w:rsidRPr="007C218A">
        <w:rPr>
          <w:color w:val="000000"/>
          <w:sz w:val="24"/>
          <w:szCs w:val="24"/>
          <w:shd w:val="clear" w:color="auto" w:fill="FFFFFF"/>
        </w:rPr>
        <w:t xml:space="preserve"> </w:t>
      </w:r>
      <w:proofErr w:type="spellStart"/>
      <w:r w:rsidRPr="007C218A">
        <w:rPr>
          <w:color w:val="000000"/>
          <w:sz w:val="24"/>
          <w:szCs w:val="24"/>
          <w:shd w:val="clear" w:color="auto" w:fill="FFFFFF"/>
        </w:rPr>
        <w:t>of</w:t>
      </w:r>
      <w:proofErr w:type="spellEnd"/>
      <w:r w:rsidRPr="007C218A">
        <w:rPr>
          <w:color w:val="000000"/>
          <w:sz w:val="24"/>
          <w:szCs w:val="24"/>
          <w:shd w:val="clear" w:color="auto" w:fill="FFFFFF"/>
        </w:rPr>
        <w:t xml:space="preserve"> </w:t>
      </w:r>
      <w:proofErr w:type="spellStart"/>
      <w:r w:rsidRPr="007C218A">
        <w:rPr>
          <w:color w:val="000000"/>
          <w:sz w:val="24"/>
          <w:szCs w:val="24"/>
          <w:shd w:val="clear" w:color="auto" w:fill="FFFFFF"/>
        </w:rPr>
        <w:t>polyphenols</w:t>
      </w:r>
      <w:proofErr w:type="spellEnd"/>
      <w:r w:rsidRPr="007C218A">
        <w:rPr>
          <w:color w:val="000000"/>
          <w:sz w:val="24"/>
          <w:szCs w:val="24"/>
          <w:shd w:val="clear" w:color="auto" w:fill="FFFFFF"/>
        </w:rPr>
        <w:t xml:space="preserve"> </w:t>
      </w:r>
      <w:proofErr w:type="spellStart"/>
      <w:r w:rsidRPr="007C218A">
        <w:rPr>
          <w:color w:val="000000"/>
          <w:sz w:val="24"/>
          <w:szCs w:val="24"/>
          <w:shd w:val="clear" w:color="auto" w:fill="FFFFFF"/>
        </w:rPr>
        <w:t>from</w:t>
      </w:r>
      <w:proofErr w:type="spellEnd"/>
      <w:r w:rsidRPr="007C218A">
        <w:rPr>
          <w:color w:val="000000"/>
          <w:sz w:val="24"/>
          <w:szCs w:val="24"/>
          <w:shd w:val="clear" w:color="auto" w:fill="FFFFFF"/>
        </w:rPr>
        <w:t xml:space="preserve"> </w:t>
      </w:r>
      <w:proofErr w:type="spellStart"/>
      <w:r w:rsidRPr="007C218A">
        <w:rPr>
          <w:color w:val="000000"/>
          <w:sz w:val="24"/>
          <w:szCs w:val="24"/>
          <w:shd w:val="clear" w:color="auto" w:fill="FFFFFF"/>
        </w:rPr>
        <w:t>Halimeda</w:t>
      </w:r>
      <w:proofErr w:type="spellEnd"/>
      <w:r w:rsidRPr="007C218A">
        <w:rPr>
          <w:color w:val="000000"/>
          <w:sz w:val="24"/>
          <w:szCs w:val="24"/>
          <w:shd w:val="clear" w:color="auto" w:fill="FFFFFF"/>
        </w:rPr>
        <w:t xml:space="preserve"> </w:t>
      </w:r>
      <w:proofErr w:type="spellStart"/>
      <w:r w:rsidRPr="007C218A">
        <w:rPr>
          <w:color w:val="000000"/>
          <w:sz w:val="24"/>
          <w:szCs w:val="24"/>
          <w:shd w:val="clear" w:color="auto" w:fill="FFFFFF"/>
        </w:rPr>
        <w:t>opuntia</w:t>
      </w:r>
      <w:proofErr w:type="spellEnd"/>
      <w:r w:rsidRPr="007C218A">
        <w:rPr>
          <w:color w:val="000000"/>
          <w:sz w:val="24"/>
          <w:szCs w:val="24"/>
          <w:shd w:val="clear" w:color="auto" w:fill="FFFFFF"/>
        </w:rPr>
        <w:t xml:space="preserve"> (</w:t>
      </w:r>
      <w:proofErr w:type="spellStart"/>
      <w:r w:rsidRPr="007C218A">
        <w:rPr>
          <w:color w:val="000000"/>
          <w:sz w:val="24"/>
          <w:szCs w:val="24"/>
          <w:shd w:val="clear" w:color="auto" w:fill="FFFFFF"/>
        </w:rPr>
        <w:t>Linnaeus</w:t>
      </w:r>
      <w:proofErr w:type="spellEnd"/>
      <w:r w:rsidRPr="007C218A">
        <w:rPr>
          <w:color w:val="000000"/>
          <w:sz w:val="24"/>
          <w:szCs w:val="24"/>
          <w:shd w:val="clear" w:color="auto" w:fill="FFFFFF"/>
        </w:rPr>
        <w:t xml:space="preserve">) </w:t>
      </w:r>
      <w:proofErr w:type="spellStart"/>
      <w:r w:rsidRPr="007C218A">
        <w:rPr>
          <w:color w:val="000000"/>
          <w:sz w:val="24"/>
          <w:szCs w:val="24"/>
          <w:shd w:val="clear" w:color="auto" w:fill="FFFFFF"/>
        </w:rPr>
        <w:t>Lamouroux</w:t>
      </w:r>
      <w:proofErr w:type="spellEnd"/>
      <w:r w:rsidRPr="007C218A">
        <w:rPr>
          <w:color w:val="000000"/>
          <w:sz w:val="24"/>
          <w:szCs w:val="24"/>
          <w:shd w:val="clear" w:color="auto" w:fill="FFFFFF"/>
        </w:rPr>
        <w:t xml:space="preserve">. </w:t>
      </w:r>
      <w:r w:rsidRPr="007C218A">
        <w:rPr>
          <w:b/>
          <w:color w:val="000000"/>
          <w:sz w:val="24"/>
          <w:szCs w:val="24"/>
          <w:shd w:val="clear" w:color="auto" w:fill="FFFFFF"/>
        </w:rPr>
        <w:t xml:space="preserve">Redox </w:t>
      </w:r>
      <w:proofErr w:type="spellStart"/>
      <w:r w:rsidRPr="007C218A">
        <w:rPr>
          <w:b/>
          <w:color w:val="000000"/>
          <w:sz w:val="24"/>
          <w:szCs w:val="24"/>
          <w:shd w:val="clear" w:color="auto" w:fill="FFFFFF"/>
        </w:rPr>
        <w:t>Report</w:t>
      </w:r>
      <w:proofErr w:type="spellEnd"/>
      <w:r w:rsidRPr="007C218A">
        <w:rPr>
          <w:color w:val="000000"/>
          <w:sz w:val="24"/>
          <w:szCs w:val="24"/>
          <w:shd w:val="clear" w:color="auto" w:fill="FFFFFF"/>
        </w:rPr>
        <w:t>, v. 17, n. 2, p. 47-53, 2012.</w:t>
      </w:r>
    </w:p>
    <w:p w14:paraId="74572BBA" w14:textId="77777777" w:rsidR="00C04996" w:rsidRPr="007C218A" w:rsidRDefault="00C04996" w:rsidP="007C218A">
      <w:pPr>
        <w:jc w:val="both"/>
        <w:rPr>
          <w:color w:val="000000"/>
          <w:sz w:val="24"/>
          <w:szCs w:val="24"/>
          <w:shd w:val="clear" w:color="auto" w:fill="FFFFFF"/>
        </w:rPr>
      </w:pPr>
    </w:p>
    <w:p w14:paraId="4F356A8B" w14:textId="77777777" w:rsidR="007C218A" w:rsidRDefault="007C218A" w:rsidP="007C218A">
      <w:pPr>
        <w:ind w:right="4"/>
        <w:contextualSpacing/>
        <w:jc w:val="both"/>
        <w:rPr>
          <w:sz w:val="24"/>
          <w:szCs w:val="24"/>
        </w:rPr>
      </w:pPr>
      <w:r w:rsidRPr="007C218A">
        <w:rPr>
          <w:sz w:val="24"/>
          <w:szCs w:val="24"/>
        </w:rPr>
        <w:t>SILVA, E. C. O. da; SILVA, W. P. da; SILVA, E. T. da; LOPES, J. D.; GUSMÃO, R. P. de. Obtenção e caracterização da farinha do albedo de maracujá (</w:t>
      </w:r>
      <w:r w:rsidRPr="007C218A">
        <w:rPr>
          <w:i/>
          <w:sz w:val="24"/>
          <w:szCs w:val="24"/>
        </w:rPr>
        <w:t xml:space="preserve">Passiflora </w:t>
      </w:r>
      <w:proofErr w:type="spellStart"/>
      <w:r w:rsidRPr="007C218A">
        <w:rPr>
          <w:i/>
          <w:sz w:val="24"/>
          <w:szCs w:val="24"/>
        </w:rPr>
        <w:t>edulis</w:t>
      </w:r>
      <w:proofErr w:type="spellEnd"/>
      <w:r w:rsidRPr="007C218A">
        <w:rPr>
          <w:i/>
          <w:sz w:val="24"/>
          <w:szCs w:val="24"/>
        </w:rPr>
        <w:t xml:space="preserve"> f. </w:t>
      </w:r>
      <w:proofErr w:type="spellStart"/>
      <w:r w:rsidRPr="007C218A">
        <w:rPr>
          <w:i/>
          <w:sz w:val="24"/>
          <w:szCs w:val="24"/>
        </w:rPr>
        <w:t>Flavicarpa</w:t>
      </w:r>
      <w:proofErr w:type="spellEnd"/>
      <w:r w:rsidRPr="007C218A">
        <w:rPr>
          <w:sz w:val="24"/>
          <w:szCs w:val="24"/>
        </w:rPr>
        <w:t xml:space="preserve">) para uso alimentício. </w:t>
      </w:r>
      <w:r w:rsidRPr="007C218A">
        <w:rPr>
          <w:b/>
          <w:sz w:val="24"/>
          <w:szCs w:val="24"/>
        </w:rPr>
        <w:t>Revista Verde de Agroecologia e Desenvolvimento Sustentável</w:t>
      </w:r>
      <w:r w:rsidRPr="007C218A">
        <w:rPr>
          <w:sz w:val="24"/>
          <w:szCs w:val="24"/>
        </w:rPr>
        <w:t>. v.11, n.3, p.69-74, 2016.</w:t>
      </w:r>
    </w:p>
    <w:p w14:paraId="4F452698" w14:textId="77777777" w:rsidR="007C218A" w:rsidRPr="007C218A" w:rsidRDefault="007C218A" w:rsidP="007C218A">
      <w:pPr>
        <w:ind w:right="4"/>
        <w:contextualSpacing/>
        <w:jc w:val="both"/>
        <w:rPr>
          <w:sz w:val="24"/>
          <w:szCs w:val="24"/>
        </w:rPr>
      </w:pPr>
    </w:p>
    <w:p w14:paraId="2AE675BA" w14:textId="77777777" w:rsidR="007C218A" w:rsidRDefault="007C218A" w:rsidP="007C218A">
      <w:pPr>
        <w:ind w:right="4"/>
        <w:contextualSpacing/>
        <w:jc w:val="both"/>
        <w:rPr>
          <w:sz w:val="24"/>
          <w:szCs w:val="24"/>
        </w:rPr>
      </w:pPr>
      <w:r w:rsidRPr="007C218A">
        <w:rPr>
          <w:sz w:val="24"/>
          <w:szCs w:val="24"/>
        </w:rPr>
        <w:t xml:space="preserve">SILVA, E. P.; BECKER, F. S.; SILVA, F. A. da; SOARES JÚNIOR, M. S.; CALIARI, M.; DAMIANI, C. Bebidas mistas de extratos de arroz com maracujá e mamão. </w:t>
      </w:r>
      <w:r w:rsidRPr="007C218A">
        <w:rPr>
          <w:b/>
          <w:sz w:val="24"/>
          <w:szCs w:val="24"/>
        </w:rPr>
        <w:t>Revista do Instituto Adolfo Lutz</w:t>
      </w:r>
      <w:r w:rsidRPr="007C218A">
        <w:rPr>
          <w:sz w:val="24"/>
          <w:szCs w:val="24"/>
        </w:rPr>
        <w:t>, v. 74, n. 1, p. 49-56, 2015.</w:t>
      </w:r>
    </w:p>
    <w:p w14:paraId="663F389C" w14:textId="77777777" w:rsidR="007C218A" w:rsidRPr="007C218A" w:rsidRDefault="007C218A" w:rsidP="007C218A">
      <w:pPr>
        <w:ind w:right="4"/>
        <w:contextualSpacing/>
        <w:jc w:val="both"/>
        <w:rPr>
          <w:sz w:val="24"/>
          <w:szCs w:val="24"/>
        </w:rPr>
      </w:pPr>
    </w:p>
    <w:p w14:paraId="226BA2EC" w14:textId="77777777" w:rsidR="007C218A" w:rsidRDefault="007C218A" w:rsidP="007C218A">
      <w:pPr>
        <w:ind w:right="4"/>
        <w:contextualSpacing/>
        <w:jc w:val="both"/>
        <w:rPr>
          <w:sz w:val="24"/>
          <w:szCs w:val="24"/>
        </w:rPr>
      </w:pPr>
      <w:r w:rsidRPr="007C218A">
        <w:rPr>
          <w:sz w:val="24"/>
          <w:szCs w:val="24"/>
        </w:rPr>
        <w:t>TACO - Tabela Brasileira de Composição de Alimentos. 4. ed. rev. e ampliada. Campinas: NEPA - UNICAMP, 2011, p.161.</w:t>
      </w:r>
    </w:p>
    <w:p w14:paraId="165600F1" w14:textId="77777777" w:rsidR="007C218A" w:rsidRPr="007C218A" w:rsidRDefault="007C218A" w:rsidP="007C218A">
      <w:pPr>
        <w:ind w:right="4"/>
        <w:contextualSpacing/>
        <w:jc w:val="both"/>
        <w:rPr>
          <w:sz w:val="24"/>
          <w:szCs w:val="24"/>
        </w:rPr>
      </w:pPr>
    </w:p>
    <w:p w14:paraId="7C6EE2C8" w14:textId="77777777" w:rsidR="007C218A" w:rsidRDefault="007C218A" w:rsidP="007C218A">
      <w:pPr>
        <w:ind w:right="4"/>
        <w:contextualSpacing/>
        <w:jc w:val="both"/>
        <w:rPr>
          <w:sz w:val="24"/>
          <w:szCs w:val="24"/>
          <w:lang w:val="en-US"/>
        </w:rPr>
      </w:pPr>
      <w:r w:rsidRPr="007C218A">
        <w:rPr>
          <w:sz w:val="24"/>
          <w:szCs w:val="24"/>
          <w:lang w:val="en-US"/>
        </w:rPr>
        <w:t xml:space="preserve">WANG, J.; WANG, F.; YUN, H.; ZHANG, H.; ZHANG, Q. Effect and mechanism of fucoidan derivatives from </w:t>
      </w:r>
      <w:r w:rsidRPr="007C218A">
        <w:rPr>
          <w:i/>
          <w:sz w:val="24"/>
          <w:szCs w:val="24"/>
          <w:lang w:val="en-US"/>
        </w:rPr>
        <w:t>Laminaria japonica</w:t>
      </w:r>
      <w:r w:rsidRPr="007C218A">
        <w:rPr>
          <w:sz w:val="24"/>
          <w:szCs w:val="24"/>
          <w:lang w:val="en-US"/>
        </w:rPr>
        <w:t xml:space="preserve"> in experimental adenine-induced chronic kidney disease. </w:t>
      </w:r>
      <w:r w:rsidRPr="007C218A">
        <w:rPr>
          <w:b/>
          <w:sz w:val="24"/>
          <w:szCs w:val="24"/>
          <w:lang w:val="en-US"/>
        </w:rPr>
        <w:t>Journal of Ethnopharmacology</w:t>
      </w:r>
      <w:r w:rsidRPr="007C218A">
        <w:rPr>
          <w:sz w:val="24"/>
          <w:szCs w:val="24"/>
          <w:lang w:val="en-US"/>
        </w:rPr>
        <w:t>, v. 139, n. 3, p. 807-813, 2012.</w:t>
      </w:r>
    </w:p>
    <w:p w14:paraId="44FF0C91" w14:textId="77777777" w:rsidR="007C218A" w:rsidRPr="007C218A" w:rsidRDefault="007C218A" w:rsidP="007C218A">
      <w:pPr>
        <w:ind w:right="4"/>
        <w:contextualSpacing/>
        <w:jc w:val="both"/>
        <w:rPr>
          <w:sz w:val="24"/>
          <w:szCs w:val="24"/>
          <w:lang w:val="en-US"/>
        </w:rPr>
      </w:pPr>
    </w:p>
    <w:p w14:paraId="0791DE89" w14:textId="77777777" w:rsidR="007C218A" w:rsidRPr="007C218A" w:rsidRDefault="007C218A">
      <w:pPr>
        <w:tabs>
          <w:tab w:val="left" w:pos="6930"/>
        </w:tabs>
        <w:jc w:val="both"/>
        <w:rPr>
          <w:sz w:val="24"/>
          <w:szCs w:val="24"/>
        </w:rPr>
      </w:pPr>
    </w:p>
    <w:sectPr w:rsidR="007C218A" w:rsidRPr="007C218A" w:rsidSect="00353EEF">
      <w:headerReference w:type="default" r:id="rId9"/>
      <w:footerReference w:type="default" r:id="rId10"/>
      <w:pgSz w:w="12240" w:h="15840"/>
      <w:pgMar w:top="1701" w:right="1134" w:bottom="1134"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A91EC6" w14:textId="77777777" w:rsidR="00844BCC" w:rsidRDefault="00844BCC" w:rsidP="00392012">
      <w:r>
        <w:separator/>
      </w:r>
    </w:p>
  </w:endnote>
  <w:endnote w:type="continuationSeparator" w:id="0">
    <w:p w14:paraId="0629C32D" w14:textId="77777777" w:rsidR="00844BCC" w:rsidRDefault="00844BCC" w:rsidP="00392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D84AEA" w14:textId="77777777" w:rsidR="00B84589" w:rsidRPr="00B84589" w:rsidRDefault="006D43B5" w:rsidP="00B84589">
    <w:pPr>
      <w:pStyle w:val="Rodap"/>
    </w:pPr>
    <w:r>
      <w:rPr>
        <w:noProof/>
      </w:rPr>
      <w:drawing>
        <wp:inline distT="0" distB="0" distL="0" distR="0" wp14:anchorId="6F344985" wp14:editId="43F571F2">
          <wp:extent cx="5867400" cy="581025"/>
          <wp:effectExtent l="0" t="0" r="0" b="952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7400"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925628" w14:textId="77777777" w:rsidR="00844BCC" w:rsidRDefault="00844BCC" w:rsidP="00392012">
      <w:r>
        <w:separator/>
      </w:r>
    </w:p>
  </w:footnote>
  <w:footnote w:type="continuationSeparator" w:id="0">
    <w:p w14:paraId="49B8621D" w14:textId="77777777" w:rsidR="00844BCC" w:rsidRDefault="00844BCC" w:rsidP="003920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5EB3E0" w14:textId="77777777" w:rsidR="00261E93" w:rsidRDefault="00E0707A" w:rsidP="0095437F">
    <w:pPr>
      <w:pStyle w:val="Cabealho"/>
      <w:pBdr>
        <w:bottom w:val="single" w:sz="4" w:space="1" w:color="auto"/>
      </w:pBdr>
      <w:rPr>
        <w:noProof/>
      </w:rPr>
    </w:pPr>
    <w:r>
      <w:rPr>
        <w:noProof/>
      </w:rPr>
      <mc:AlternateContent>
        <mc:Choice Requires="wps">
          <w:drawing>
            <wp:anchor distT="0" distB="0" distL="114300" distR="114300" simplePos="0" relativeHeight="251656192" behindDoc="0" locked="0" layoutInCell="1" allowOverlap="1" wp14:anchorId="412B93A0" wp14:editId="3FCB2EC0">
              <wp:simplePos x="0" y="0"/>
              <wp:positionH relativeFrom="column">
                <wp:posOffset>2973070</wp:posOffset>
              </wp:positionH>
              <wp:positionV relativeFrom="paragraph">
                <wp:posOffset>-153670</wp:posOffset>
              </wp:positionV>
              <wp:extent cx="3030220" cy="418465"/>
              <wp:effectExtent l="0" t="0" r="3175" b="1905"/>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0220" cy="418465"/>
                      </a:xfrm>
                      <a:prstGeom prst="rect">
                        <a:avLst/>
                      </a:prstGeom>
                      <a:noFill/>
                      <a:ln>
                        <a:noFill/>
                      </a:ln>
                      <a:extLst>
                        <a:ext uri="{909E8E84-426E-40DD-AFC4-6F175D3DCCD1}">
                          <a14:hiddenFill xmlns:a14="http://schemas.microsoft.com/office/drawing/2010/main">
                            <a:solidFill>
                              <a:srgbClr val="F2F2F2"/>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129DB" w14:textId="77777777" w:rsidR="00C100B9" w:rsidRPr="001001BB" w:rsidRDefault="00C100B9" w:rsidP="00C100B9">
                          <w:pPr>
                            <w:pStyle w:val="Rodap"/>
                            <w:spacing w:line="276" w:lineRule="auto"/>
                            <w:jc w:val="right"/>
                          </w:pPr>
                          <w:r>
                            <w:t>Belém (PA), 2</w:t>
                          </w:r>
                          <w:r w:rsidR="00D0394C">
                            <w:t xml:space="preserve">8 a 30 </w:t>
                          </w:r>
                          <w:r w:rsidRPr="001001BB">
                            <w:t xml:space="preserve">de novembro </w:t>
                          </w:r>
                          <w:r w:rsidR="00D0394C">
                            <w:t xml:space="preserve">de </w:t>
                          </w:r>
                          <w:r w:rsidRPr="001001BB">
                            <w:t>201</w:t>
                          </w:r>
                          <w:r w:rsidR="00D0394C">
                            <w:t>8</w:t>
                          </w:r>
                        </w:p>
                        <w:p w14:paraId="254F8157" w14:textId="77777777" w:rsidR="00C100B9" w:rsidRPr="001001BB" w:rsidRDefault="00C100B9" w:rsidP="00C100B9">
                          <w:pPr>
                            <w:pStyle w:val="Rodap"/>
                            <w:tabs>
                              <w:tab w:val="left" w:pos="3802"/>
                              <w:tab w:val="center" w:pos="4535"/>
                            </w:tabs>
                            <w:spacing w:line="276" w:lineRule="auto"/>
                            <w:jc w:val="right"/>
                          </w:pPr>
                          <w:r w:rsidRPr="001001BB">
                            <w:t>ISSN 2316-7637</w:t>
                          </w:r>
                        </w:p>
                        <w:p w14:paraId="7621A4B8" w14:textId="77777777" w:rsidR="0095437F" w:rsidRPr="00206969" w:rsidRDefault="0095437F" w:rsidP="007422FB">
                          <w:pPr>
                            <w:pStyle w:val="Rodap"/>
                            <w:tabs>
                              <w:tab w:val="left" w:pos="3802"/>
                              <w:tab w:val="center" w:pos="4535"/>
                            </w:tabs>
                            <w:spacing w:line="276" w:lineRule="auto"/>
                            <w:jc w:val="right"/>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12B93A0" id="_x0000_t202" coordsize="21600,21600" o:spt="202" path="m,l,21600r21600,l21600,xe">
              <v:stroke joinstyle="miter"/>
              <v:path gradientshapeok="t" o:connecttype="rect"/>
            </v:shapetype>
            <v:shape id="Caixa de Texto 2" o:spid="_x0000_s1026" type="#_x0000_t202" style="position:absolute;margin-left:234.1pt;margin-top:-12.1pt;width:238.6pt;height:32.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" filled="f" fillcolor="#f2f2f2" stroked="f">
              <v:textbox>
                <w:txbxContent>
                  <w:p w14:paraId="3A2129DB" w14:textId="77777777" w:rsidR="00C100B9" w:rsidRPr="001001BB" w:rsidRDefault="00C100B9" w:rsidP="00C100B9">
                    <w:pPr>
                      <w:pStyle w:val="Rodap"/>
                      <w:spacing w:line="276" w:lineRule="auto"/>
                      <w:jc w:val="right"/>
                    </w:pPr>
                    <w:r>
                      <w:t>Belém (PA), 2</w:t>
                    </w:r>
                    <w:r w:rsidR="00D0394C">
                      <w:t xml:space="preserve">8 a 30 </w:t>
                    </w:r>
                    <w:r w:rsidRPr="001001BB">
                      <w:t xml:space="preserve">de novembro </w:t>
                    </w:r>
                    <w:r w:rsidR="00D0394C">
                      <w:t xml:space="preserve">de </w:t>
                    </w:r>
                    <w:r w:rsidRPr="001001BB">
                      <w:t>201</w:t>
                    </w:r>
                    <w:r w:rsidR="00D0394C">
                      <w:t>8</w:t>
                    </w:r>
                  </w:p>
                  <w:p w14:paraId="254F8157" w14:textId="77777777" w:rsidR="00C100B9" w:rsidRPr="001001BB" w:rsidRDefault="00C100B9" w:rsidP="00C100B9">
                    <w:pPr>
                      <w:pStyle w:val="Rodap"/>
                      <w:tabs>
                        <w:tab w:val="left" w:pos="3802"/>
                        <w:tab w:val="center" w:pos="4535"/>
                      </w:tabs>
                      <w:spacing w:line="276" w:lineRule="auto"/>
                      <w:jc w:val="right"/>
                    </w:pPr>
                    <w:r w:rsidRPr="001001BB">
                      <w:t>ISSN 2316-7637</w:t>
                    </w:r>
                  </w:p>
                  <w:p w14:paraId="7621A4B8" w14:textId="77777777" w:rsidR="0095437F" w:rsidRPr="00206969" w:rsidRDefault="0095437F" w:rsidP="007422FB">
                    <w:pPr>
                      <w:pStyle w:val="Rodap"/>
                      <w:tabs>
                        <w:tab w:val="left" w:pos="3802"/>
                        <w:tab w:val="center" w:pos="4535"/>
                      </w:tabs>
                      <w:spacing w:line="276" w:lineRule="auto"/>
                      <w:jc w:val="right"/>
                      <w:rPr>
                        <w:i/>
                      </w:rPr>
                    </w:pPr>
                  </w:p>
                </w:txbxContent>
              </v:textbox>
            </v:shape>
          </w:pict>
        </mc:Fallback>
      </mc:AlternateContent>
    </w:r>
    <w:r>
      <w:rPr>
        <w:noProof/>
      </w:rPr>
      <mc:AlternateContent>
        <mc:Choice Requires="wps">
          <w:drawing>
            <wp:anchor distT="45720" distB="45720" distL="114300" distR="114300" simplePos="0" relativeHeight="251660288" behindDoc="1" locked="0" layoutInCell="1" allowOverlap="1" wp14:anchorId="70CD5C7B" wp14:editId="1161C7A2">
              <wp:simplePos x="0" y="0"/>
              <wp:positionH relativeFrom="column">
                <wp:posOffset>-329565</wp:posOffset>
              </wp:positionH>
              <wp:positionV relativeFrom="paragraph">
                <wp:posOffset>-258445</wp:posOffset>
              </wp:positionV>
              <wp:extent cx="2384425" cy="656590"/>
              <wp:effectExtent l="0" t="0" r="0" b="0"/>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4425" cy="656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B1C4D5" w14:textId="77777777" w:rsidR="00094A6D" w:rsidRDefault="00E0707A">
                          <w:r w:rsidRPr="004C583D">
                            <w:rPr>
                              <w:noProof/>
                            </w:rPr>
                            <w:drawing>
                              <wp:inline distT="0" distB="0" distL="0" distR="0" wp14:anchorId="1FA3E2E7" wp14:editId="6D448E02">
                                <wp:extent cx="1786153" cy="565150"/>
                                <wp:effectExtent l="0" t="0" r="508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C:\Users\Altem\Dropbox\2017\VI Simpósio\Imagens para Site\Imagens do Site\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86153" cy="5651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CD5C7B" id="_x0000_s1027" type="#_x0000_t202" style="position:absolute;margin-left:-25.95pt;margin-top:-20.35pt;width:187.75pt;height:51.7pt;z-index:-2516561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" stroked="f">
              <v:textbox style="mso-fit-shape-to-text:t">
                <w:txbxContent>
                  <w:p w14:paraId="6EB1C4D5" w14:textId="77777777" w:rsidR="00094A6D" w:rsidRDefault="00E0707A">
                    <w:r w:rsidRPr="004C583D">
                      <w:rPr>
                        <w:noProof/>
                      </w:rPr>
                      <w:drawing>
                        <wp:inline distT="0" distB="0" distL="0" distR="0" wp14:anchorId="1FA3E2E7" wp14:editId="6D448E02">
                          <wp:extent cx="1786153" cy="565150"/>
                          <wp:effectExtent l="0" t="0" r="508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C:\Users\Altem\Dropbox\2017\VI Simpósio\Imagens para Site\Imagens do Site\logo.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786153" cy="565150"/>
                                  </a:xfrm>
                                  <a:prstGeom prst="rect">
                                    <a:avLst/>
                                  </a:prstGeom>
                                  <a:noFill/>
                                  <a:ln>
                                    <a:noFill/>
                                  </a:ln>
                                </pic:spPr>
                              </pic:pic>
                            </a:graphicData>
                          </a:graphic>
                        </wp:inline>
                      </w:drawing>
                    </w:r>
                  </w:p>
                </w:txbxContent>
              </v:textbox>
            </v:shape>
          </w:pict>
        </mc:Fallback>
      </mc:AlternateContent>
    </w:r>
    <w:r w:rsidR="00E85C97">
      <w:rPr>
        <w:noProof/>
      </w:rPr>
      <w:t xml:space="preserve"> </w:t>
    </w:r>
  </w:p>
  <w:p w14:paraId="56274D59" w14:textId="77777777" w:rsidR="004365F3" w:rsidRDefault="004365F3" w:rsidP="0095437F">
    <w:pPr>
      <w:pStyle w:val="Cabealho"/>
      <w:pBdr>
        <w:bottom w:val="single" w:sz="4" w:space="1" w:color="auto"/>
      </w:pBdr>
      <w:rPr>
        <w:noProof/>
      </w:rPr>
    </w:pPr>
  </w:p>
  <w:p w14:paraId="3CCF3948" w14:textId="77777777" w:rsidR="0095437F" w:rsidRDefault="0095437F" w:rsidP="0095437F">
    <w:pPr>
      <w:pStyle w:val="Cabealho"/>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C5F50"/>
    <w:multiLevelType w:val="multilevel"/>
    <w:tmpl w:val="906292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4B2F0BB8"/>
    <w:multiLevelType w:val="hybridMultilevel"/>
    <w:tmpl w:val="A6E87B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51EF15C4"/>
    <w:multiLevelType w:val="hybridMultilevel"/>
    <w:tmpl w:val="8C18F7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drawingGridHorizontalSpacing w:val="100"/>
  <w:displayHorizontalDrawingGridEvery w:val="2"/>
  <w:characterSpacingControl w:val="doNotCompress"/>
  <w:hdrShapeDefaults>
    <o:shapedefaults v:ext="edit" spidmax="2049">
      <o:colormru v:ext="edit" colors="#f1ff9f,white,#ff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4FA"/>
    <w:rsid w:val="0001355C"/>
    <w:rsid w:val="00027D99"/>
    <w:rsid w:val="00044DB3"/>
    <w:rsid w:val="00046262"/>
    <w:rsid w:val="00076CED"/>
    <w:rsid w:val="00094A6D"/>
    <w:rsid w:val="000B0814"/>
    <w:rsid w:val="000D4CC6"/>
    <w:rsid w:val="000F373C"/>
    <w:rsid w:val="000F7B8F"/>
    <w:rsid w:val="001179C2"/>
    <w:rsid w:val="00120D7F"/>
    <w:rsid w:val="00121F29"/>
    <w:rsid w:val="0012462E"/>
    <w:rsid w:val="00127CC5"/>
    <w:rsid w:val="00131293"/>
    <w:rsid w:val="00160D2E"/>
    <w:rsid w:val="00195E0E"/>
    <w:rsid w:val="001B1308"/>
    <w:rsid w:val="001B31D9"/>
    <w:rsid w:val="001B3370"/>
    <w:rsid w:val="001B6E63"/>
    <w:rsid w:val="001C7011"/>
    <w:rsid w:val="001C79FB"/>
    <w:rsid w:val="00201B40"/>
    <w:rsid w:val="00202A94"/>
    <w:rsid w:val="00206969"/>
    <w:rsid w:val="002076EF"/>
    <w:rsid w:val="0024156F"/>
    <w:rsid w:val="0024285C"/>
    <w:rsid w:val="00253593"/>
    <w:rsid w:val="00253D7B"/>
    <w:rsid w:val="00261E93"/>
    <w:rsid w:val="00270F09"/>
    <w:rsid w:val="002733DC"/>
    <w:rsid w:val="00273A6E"/>
    <w:rsid w:val="002A456B"/>
    <w:rsid w:val="002B4C8E"/>
    <w:rsid w:val="002C04FA"/>
    <w:rsid w:val="002C3F9C"/>
    <w:rsid w:val="002C67FF"/>
    <w:rsid w:val="002F114A"/>
    <w:rsid w:val="002F2604"/>
    <w:rsid w:val="002F37D6"/>
    <w:rsid w:val="00314A42"/>
    <w:rsid w:val="00330AA8"/>
    <w:rsid w:val="00334ABB"/>
    <w:rsid w:val="00353EEF"/>
    <w:rsid w:val="00372163"/>
    <w:rsid w:val="00383B01"/>
    <w:rsid w:val="00392012"/>
    <w:rsid w:val="003A4B26"/>
    <w:rsid w:val="003B02AD"/>
    <w:rsid w:val="003B090B"/>
    <w:rsid w:val="003C1AD7"/>
    <w:rsid w:val="003D0994"/>
    <w:rsid w:val="003E1ADB"/>
    <w:rsid w:val="004006AC"/>
    <w:rsid w:val="00400D61"/>
    <w:rsid w:val="00412A04"/>
    <w:rsid w:val="0042057D"/>
    <w:rsid w:val="00422D99"/>
    <w:rsid w:val="00426873"/>
    <w:rsid w:val="00436326"/>
    <w:rsid w:val="004365F3"/>
    <w:rsid w:val="004709D3"/>
    <w:rsid w:val="00472CC3"/>
    <w:rsid w:val="004777CC"/>
    <w:rsid w:val="00493114"/>
    <w:rsid w:val="00497F38"/>
    <w:rsid w:val="004B03F7"/>
    <w:rsid w:val="004B417E"/>
    <w:rsid w:val="004C52D5"/>
    <w:rsid w:val="004C746A"/>
    <w:rsid w:val="004F3394"/>
    <w:rsid w:val="004F6258"/>
    <w:rsid w:val="00511E8F"/>
    <w:rsid w:val="005159DA"/>
    <w:rsid w:val="005225D5"/>
    <w:rsid w:val="00534005"/>
    <w:rsid w:val="00534AEF"/>
    <w:rsid w:val="00555769"/>
    <w:rsid w:val="00573FE7"/>
    <w:rsid w:val="005B2DA8"/>
    <w:rsid w:val="005C6204"/>
    <w:rsid w:val="005D71A6"/>
    <w:rsid w:val="005E616C"/>
    <w:rsid w:val="005E6909"/>
    <w:rsid w:val="00610CCB"/>
    <w:rsid w:val="00612D68"/>
    <w:rsid w:val="00614FB7"/>
    <w:rsid w:val="0061672B"/>
    <w:rsid w:val="00616DDB"/>
    <w:rsid w:val="006200EA"/>
    <w:rsid w:val="006201D8"/>
    <w:rsid w:val="006313C8"/>
    <w:rsid w:val="0066022A"/>
    <w:rsid w:val="0066558A"/>
    <w:rsid w:val="0068555A"/>
    <w:rsid w:val="006D43B5"/>
    <w:rsid w:val="00707D9F"/>
    <w:rsid w:val="00715A5D"/>
    <w:rsid w:val="007218EB"/>
    <w:rsid w:val="007422FB"/>
    <w:rsid w:val="007452FD"/>
    <w:rsid w:val="007601E5"/>
    <w:rsid w:val="00760822"/>
    <w:rsid w:val="0076407B"/>
    <w:rsid w:val="007917D9"/>
    <w:rsid w:val="007B1EDB"/>
    <w:rsid w:val="007C218A"/>
    <w:rsid w:val="007D15C8"/>
    <w:rsid w:val="007D58F5"/>
    <w:rsid w:val="007E40D8"/>
    <w:rsid w:val="00802659"/>
    <w:rsid w:val="008030DD"/>
    <w:rsid w:val="00811FDD"/>
    <w:rsid w:val="00814223"/>
    <w:rsid w:val="0083077E"/>
    <w:rsid w:val="00834BE9"/>
    <w:rsid w:val="00844BCC"/>
    <w:rsid w:val="00852788"/>
    <w:rsid w:val="00856747"/>
    <w:rsid w:val="00863A0D"/>
    <w:rsid w:val="008644EF"/>
    <w:rsid w:val="008845C5"/>
    <w:rsid w:val="008922FD"/>
    <w:rsid w:val="008F146A"/>
    <w:rsid w:val="008F29EB"/>
    <w:rsid w:val="00925333"/>
    <w:rsid w:val="009331C3"/>
    <w:rsid w:val="00950987"/>
    <w:rsid w:val="0095437F"/>
    <w:rsid w:val="00961709"/>
    <w:rsid w:val="0097264E"/>
    <w:rsid w:val="009962E6"/>
    <w:rsid w:val="009965FA"/>
    <w:rsid w:val="009B0125"/>
    <w:rsid w:val="009B6AA8"/>
    <w:rsid w:val="009C407A"/>
    <w:rsid w:val="009D5F95"/>
    <w:rsid w:val="009D6FE6"/>
    <w:rsid w:val="00A126BC"/>
    <w:rsid w:val="00A14A7B"/>
    <w:rsid w:val="00A22AF6"/>
    <w:rsid w:val="00A26486"/>
    <w:rsid w:val="00A338D9"/>
    <w:rsid w:val="00A3575E"/>
    <w:rsid w:val="00A522B1"/>
    <w:rsid w:val="00A57710"/>
    <w:rsid w:val="00A76BF8"/>
    <w:rsid w:val="00A77CA4"/>
    <w:rsid w:val="00A92240"/>
    <w:rsid w:val="00A9494E"/>
    <w:rsid w:val="00AB7545"/>
    <w:rsid w:val="00AD5AFF"/>
    <w:rsid w:val="00B03F68"/>
    <w:rsid w:val="00B259FE"/>
    <w:rsid w:val="00B26785"/>
    <w:rsid w:val="00B40020"/>
    <w:rsid w:val="00B55AB2"/>
    <w:rsid w:val="00B57829"/>
    <w:rsid w:val="00B64760"/>
    <w:rsid w:val="00B7165F"/>
    <w:rsid w:val="00B84589"/>
    <w:rsid w:val="00B84AF5"/>
    <w:rsid w:val="00B864F5"/>
    <w:rsid w:val="00BB2377"/>
    <w:rsid w:val="00BB5D54"/>
    <w:rsid w:val="00BC29A4"/>
    <w:rsid w:val="00BD3FDA"/>
    <w:rsid w:val="00BE10B2"/>
    <w:rsid w:val="00BF08DF"/>
    <w:rsid w:val="00BF5246"/>
    <w:rsid w:val="00BF7AD6"/>
    <w:rsid w:val="00C04996"/>
    <w:rsid w:val="00C100B9"/>
    <w:rsid w:val="00C15CD1"/>
    <w:rsid w:val="00C41918"/>
    <w:rsid w:val="00C46A3C"/>
    <w:rsid w:val="00C70228"/>
    <w:rsid w:val="00C71504"/>
    <w:rsid w:val="00C71785"/>
    <w:rsid w:val="00CA71A9"/>
    <w:rsid w:val="00CB7D10"/>
    <w:rsid w:val="00CC5C92"/>
    <w:rsid w:val="00CC79D3"/>
    <w:rsid w:val="00CD3E3D"/>
    <w:rsid w:val="00CE45A6"/>
    <w:rsid w:val="00CE4F5C"/>
    <w:rsid w:val="00CE581B"/>
    <w:rsid w:val="00D0394C"/>
    <w:rsid w:val="00D048E7"/>
    <w:rsid w:val="00D13969"/>
    <w:rsid w:val="00D34D39"/>
    <w:rsid w:val="00D40455"/>
    <w:rsid w:val="00D507CA"/>
    <w:rsid w:val="00D66D9D"/>
    <w:rsid w:val="00DA0B68"/>
    <w:rsid w:val="00DA38D5"/>
    <w:rsid w:val="00DB67E5"/>
    <w:rsid w:val="00DC31F5"/>
    <w:rsid w:val="00DE7634"/>
    <w:rsid w:val="00DF6850"/>
    <w:rsid w:val="00E05E73"/>
    <w:rsid w:val="00E0707A"/>
    <w:rsid w:val="00E335D9"/>
    <w:rsid w:val="00E34F91"/>
    <w:rsid w:val="00E3525B"/>
    <w:rsid w:val="00E753BE"/>
    <w:rsid w:val="00E76DCA"/>
    <w:rsid w:val="00E85C97"/>
    <w:rsid w:val="00EA6802"/>
    <w:rsid w:val="00EC3247"/>
    <w:rsid w:val="00EE4602"/>
    <w:rsid w:val="00EF1C09"/>
    <w:rsid w:val="00EF273F"/>
    <w:rsid w:val="00F06F8F"/>
    <w:rsid w:val="00F253D0"/>
    <w:rsid w:val="00F34F48"/>
    <w:rsid w:val="00F43D66"/>
    <w:rsid w:val="00F47276"/>
    <w:rsid w:val="00F5269B"/>
    <w:rsid w:val="00F528A5"/>
    <w:rsid w:val="00F67AA9"/>
    <w:rsid w:val="00F72608"/>
    <w:rsid w:val="00F76C81"/>
    <w:rsid w:val="00FB6399"/>
    <w:rsid w:val="00FE12AD"/>
    <w:rsid w:val="00FE2C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1ff9f,white,#ffc"/>
    </o:shapedefaults>
    <o:shapelayout v:ext="edit">
      <o:idmap v:ext="edit" data="1"/>
    </o:shapelayout>
  </w:shapeDefaults>
  <w:decimalSymbol w:val="."/>
  <w:listSeparator w:val=";"/>
  <w14:docId w14:val="40448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4FA"/>
    <w:rPr>
      <w:rFonts w:ascii="Times New Roman" w:eastAsia="Times New Roman" w:hAnsi="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2C04FA"/>
    <w:pPr>
      <w:widowControl w:val="0"/>
    </w:pPr>
    <w:rPr>
      <w:sz w:val="24"/>
      <w:lang w:eastAsia="en-US"/>
    </w:rPr>
  </w:style>
  <w:style w:type="character" w:customStyle="1" w:styleId="CorpodetextoChar">
    <w:name w:val="Corpo de texto Char"/>
    <w:link w:val="Corpodetexto"/>
    <w:rsid w:val="002C04FA"/>
    <w:rPr>
      <w:rFonts w:ascii="Times New Roman" w:eastAsia="Times New Roman" w:hAnsi="Times New Roman" w:cs="Times New Roman"/>
      <w:sz w:val="24"/>
      <w:szCs w:val="20"/>
    </w:rPr>
  </w:style>
  <w:style w:type="paragraph" w:styleId="Corpodetexto3">
    <w:name w:val="Body Text 3"/>
    <w:basedOn w:val="Normal"/>
    <w:link w:val="Corpodetexto3Char"/>
    <w:rsid w:val="002C04FA"/>
    <w:pPr>
      <w:jc w:val="both"/>
    </w:pPr>
    <w:rPr>
      <w:sz w:val="24"/>
    </w:rPr>
  </w:style>
  <w:style w:type="character" w:customStyle="1" w:styleId="Corpodetexto3Char">
    <w:name w:val="Corpo de texto 3 Char"/>
    <w:link w:val="Corpodetexto3"/>
    <w:rsid w:val="002C04FA"/>
    <w:rPr>
      <w:rFonts w:ascii="Times New Roman" w:eastAsia="Times New Roman" w:hAnsi="Times New Roman" w:cs="Times New Roman"/>
      <w:sz w:val="24"/>
      <w:szCs w:val="20"/>
      <w:lang w:eastAsia="pt-BR"/>
    </w:rPr>
  </w:style>
  <w:style w:type="character" w:styleId="Hyperlink">
    <w:name w:val="Hyperlink"/>
    <w:uiPriority w:val="99"/>
    <w:unhideWhenUsed/>
    <w:rsid w:val="00EF1C09"/>
    <w:rPr>
      <w:color w:val="0000FF"/>
      <w:u w:val="single"/>
    </w:rPr>
  </w:style>
  <w:style w:type="paragraph" w:styleId="Cabealho">
    <w:name w:val="header"/>
    <w:basedOn w:val="Normal"/>
    <w:link w:val="CabealhoChar"/>
    <w:uiPriority w:val="99"/>
    <w:unhideWhenUsed/>
    <w:rsid w:val="00392012"/>
    <w:pPr>
      <w:tabs>
        <w:tab w:val="center" w:pos="4252"/>
        <w:tab w:val="right" w:pos="8504"/>
      </w:tabs>
    </w:pPr>
  </w:style>
  <w:style w:type="character" w:customStyle="1" w:styleId="CabealhoChar">
    <w:name w:val="Cabeçalho Char"/>
    <w:link w:val="Cabealho"/>
    <w:uiPriority w:val="99"/>
    <w:rsid w:val="00392012"/>
    <w:rPr>
      <w:rFonts w:ascii="Times New Roman" w:eastAsia="Times New Roman" w:hAnsi="Times New Roman"/>
    </w:rPr>
  </w:style>
  <w:style w:type="paragraph" w:styleId="Rodap">
    <w:name w:val="footer"/>
    <w:basedOn w:val="Normal"/>
    <w:link w:val="RodapChar"/>
    <w:uiPriority w:val="99"/>
    <w:unhideWhenUsed/>
    <w:rsid w:val="00392012"/>
    <w:pPr>
      <w:tabs>
        <w:tab w:val="center" w:pos="4252"/>
        <w:tab w:val="right" w:pos="8504"/>
      </w:tabs>
    </w:pPr>
  </w:style>
  <w:style w:type="character" w:customStyle="1" w:styleId="RodapChar">
    <w:name w:val="Rodapé Char"/>
    <w:link w:val="Rodap"/>
    <w:uiPriority w:val="99"/>
    <w:rsid w:val="00392012"/>
    <w:rPr>
      <w:rFonts w:ascii="Times New Roman" w:eastAsia="Times New Roman" w:hAnsi="Times New Roman"/>
    </w:rPr>
  </w:style>
  <w:style w:type="paragraph" w:styleId="Textodebalo">
    <w:name w:val="Balloon Text"/>
    <w:basedOn w:val="Normal"/>
    <w:link w:val="TextodebaloChar"/>
    <w:uiPriority w:val="99"/>
    <w:semiHidden/>
    <w:unhideWhenUsed/>
    <w:rsid w:val="00261E93"/>
    <w:rPr>
      <w:rFonts w:ascii="Tahoma" w:hAnsi="Tahoma" w:cs="Tahoma"/>
      <w:sz w:val="16"/>
      <w:szCs w:val="16"/>
    </w:rPr>
  </w:style>
  <w:style w:type="character" w:customStyle="1" w:styleId="TextodebaloChar">
    <w:name w:val="Texto de balão Char"/>
    <w:link w:val="Textodebalo"/>
    <w:uiPriority w:val="99"/>
    <w:semiHidden/>
    <w:rsid w:val="00261E93"/>
    <w:rPr>
      <w:rFonts w:ascii="Tahoma" w:eastAsia="Times New Roman" w:hAnsi="Tahoma" w:cs="Tahoma"/>
      <w:sz w:val="16"/>
      <w:szCs w:val="16"/>
    </w:rPr>
  </w:style>
  <w:style w:type="paragraph" w:styleId="PargrafodaLista">
    <w:name w:val="List Paragraph"/>
    <w:basedOn w:val="Normal"/>
    <w:uiPriority w:val="34"/>
    <w:qFormat/>
    <w:rsid w:val="0012462E"/>
    <w:pPr>
      <w:spacing w:after="200" w:line="276" w:lineRule="auto"/>
      <w:ind w:left="720"/>
      <w:contextualSpacing/>
    </w:pPr>
    <w:rPr>
      <w:rFonts w:ascii="Calibri" w:eastAsia="Calibri" w:hAnsi="Calibri"/>
      <w:sz w:val="22"/>
      <w:szCs w:val="22"/>
      <w:lang w:eastAsia="en-US"/>
    </w:rPr>
  </w:style>
  <w:style w:type="paragraph" w:styleId="Textodenotaderodap">
    <w:name w:val="footnote text"/>
    <w:basedOn w:val="Normal"/>
    <w:link w:val="TextodenotaderodapChar"/>
    <w:uiPriority w:val="99"/>
    <w:semiHidden/>
    <w:unhideWhenUsed/>
    <w:rsid w:val="0012462E"/>
    <w:rPr>
      <w:rFonts w:ascii="Calibri" w:eastAsia="Calibri" w:hAnsi="Calibri"/>
      <w:lang w:eastAsia="en-US"/>
    </w:rPr>
  </w:style>
  <w:style w:type="character" w:customStyle="1" w:styleId="TextodenotaderodapChar">
    <w:name w:val="Texto de nota de rodapé Char"/>
    <w:link w:val="Textodenotaderodap"/>
    <w:uiPriority w:val="99"/>
    <w:semiHidden/>
    <w:rsid w:val="0012462E"/>
    <w:rPr>
      <w:lang w:eastAsia="en-US"/>
    </w:rPr>
  </w:style>
  <w:style w:type="character" w:styleId="Refdenotaderodap">
    <w:name w:val="footnote reference"/>
    <w:uiPriority w:val="99"/>
    <w:semiHidden/>
    <w:unhideWhenUsed/>
    <w:rsid w:val="0012462E"/>
    <w:rPr>
      <w:vertAlign w:val="superscript"/>
    </w:rPr>
  </w:style>
  <w:style w:type="paragraph" w:customStyle="1" w:styleId="Default">
    <w:name w:val="Default"/>
    <w:rsid w:val="00E76DCA"/>
    <w:rPr>
      <w:rFonts w:cs="Calibri"/>
      <w:color w:val="000000"/>
      <w:sz w:val="24"/>
      <w:szCs w:val="24"/>
      <w:lang w:eastAsia="en-US"/>
    </w:rPr>
  </w:style>
  <w:style w:type="table" w:styleId="Tabelacomgrade">
    <w:name w:val="Table Grid"/>
    <w:basedOn w:val="Tabelanormal"/>
    <w:uiPriority w:val="59"/>
    <w:rsid w:val="00E76DCA"/>
    <w:rPr>
      <w:rFonts w:hAnsi="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uiPriority w:val="35"/>
    <w:unhideWhenUsed/>
    <w:qFormat/>
    <w:rsid w:val="00555769"/>
    <w:pPr>
      <w:spacing w:after="200"/>
    </w:pPr>
    <w:rPr>
      <w:rFonts w:ascii="Calibri" w:eastAsia="Calibri" w:hAnsi="Calibri"/>
      <w:i/>
      <w:iCs/>
      <w:color w:val="1F497D"/>
      <w:sz w:val="18"/>
      <w:szCs w:val="18"/>
      <w:lang w:eastAsia="en-US"/>
    </w:rPr>
  </w:style>
  <w:style w:type="table" w:customStyle="1" w:styleId="Tabelacomgrade1">
    <w:name w:val="Tabela com grade1"/>
    <w:basedOn w:val="Tabelanormal"/>
    <w:next w:val="Tabelacomgrade"/>
    <w:rsid w:val="0055576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DA38D5"/>
    <w:rPr>
      <w:b/>
      <w:bCs/>
    </w:rPr>
  </w:style>
  <w:style w:type="paragraph" w:customStyle="1" w:styleId="TtulodeTabela">
    <w:name w:val="Título de Tabela"/>
    <w:basedOn w:val="Normal"/>
    <w:next w:val="Normal"/>
    <w:qFormat/>
    <w:rsid w:val="009B6AA8"/>
    <w:pPr>
      <w:spacing w:after="120"/>
      <w:jc w:val="both"/>
    </w:pPr>
    <w:rPr>
      <w:rFonts w:ascii="Arial" w:hAnsi="Arial" w:cs="Arial"/>
      <w:bCs/>
      <w:sz w:val="24"/>
      <w:szCs w:val="24"/>
    </w:rPr>
  </w:style>
  <w:style w:type="character" w:styleId="Refdecomentrio">
    <w:name w:val="annotation reference"/>
    <w:basedOn w:val="Fontepargpadro"/>
    <w:uiPriority w:val="99"/>
    <w:semiHidden/>
    <w:unhideWhenUsed/>
    <w:rsid w:val="000F373C"/>
    <w:rPr>
      <w:sz w:val="16"/>
      <w:szCs w:val="16"/>
    </w:rPr>
  </w:style>
  <w:style w:type="paragraph" w:styleId="Textodecomentrio">
    <w:name w:val="annotation text"/>
    <w:basedOn w:val="Normal"/>
    <w:link w:val="TextodecomentrioChar"/>
    <w:uiPriority w:val="99"/>
    <w:semiHidden/>
    <w:unhideWhenUsed/>
    <w:rsid w:val="000F373C"/>
  </w:style>
  <w:style w:type="character" w:customStyle="1" w:styleId="TextodecomentrioChar">
    <w:name w:val="Texto de comentário Char"/>
    <w:basedOn w:val="Fontepargpadro"/>
    <w:link w:val="Textodecomentrio"/>
    <w:uiPriority w:val="99"/>
    <w:semiHidden/>
    <w:rsid w:val="000F373C"/>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0F373C"/>
    <w:rPr>
      <w:b/>
      <w:bCs/>
    </w:rPr>
  </w:style>
  <w:style w:type="character" w:customStyle="1" w:styleId="AssuntodocomentrioChar">
    <w:name w:val="Assunto do comentário Char"/>
    <w:basedOn w:val="TextodecomentrioChar"/>
    <w:link w:val="Assuntodocomentrio"/>
    <w:uiPriority w:val="99"/>
    <w:semiHidden/>
    <w:rsid w:val="000F373C"/>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4FA"/>
    <w:rPr>
      <w:rFonts w:ascii="Times New Roman" w:eastAsia="Times New Roman" w:hAnsi="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2C04FA"/>
    <w:pPr>
      <w:widowControl w:val="0"/>
    </w:pPr>
    <w:rPr>
      <w:sz w:val="24"/>
      <w:lang w:eastAsia="en-US"/>
    </w:rPr>
  </w:style>
  <w:style w:type="character" w:customStyle="1" w:styleId="CorpodetextoChar">
    <w:name w:val="Corpo de texto Char"/>
    <w:link w:val="Corpodetexto"/>
    <w:rsid w:val="002C04FA"/>
    <w:rPr>
      <w:rFonts w:ascii="Times New Roman" w:eastAsia="Times New Roman" w:hAnsi="Times New Roman" w:cs="Times New Roman"/>
      <w:sz w:val="24"/>
      <w:szCs w:val="20"/>
    </w:rPr>
  </w:style>
  <w:style w:type="paragraph" w:styleId="Corpodetexto3">
    <w:name w:val="Body Text 3"/>
    <w:basedOn w:val="Normal"/>
    <w:link w:val="Corpodetexto3Char"/>
    <w:rsid w:val="002C04FA"/>
    <w:pPr>
      <w:jc w:val="both"/>
    </w:pPr>
    <w:rPr>
      <w:sz w:val="24"/>
    </w:rPr>
  </w:style>
  <w:style w:type="character" w:customStyle="1" w:styleId="Corpodetexto3Char">
    <w:name w:val="Corpo de texto 3 Char"/>
    <w:link w:val="Corpodetexto3"/>
    <w:rsid w:val="002C04FA"/>
    <w:rPr>
      <w:rFonts w:ascii="Times New Roman" w:eastAsia="Times New Roman" w:hAnsi="Times New Roman" w:cs="Times New Roman"/>
      <w:sz w:val="24"/>
      <w:szCs w:val="20"/>
      <w:lang w:eastAsia="pt-BR"/>
    </w:rPr>
  </w:style>
  <w:style w:type="character" w:styleId="Hyperlink">
    <w:name w:val="Hyperlink"/>
    <w:uiPriority w:val="99"/>
    <w:unhideWhenUsed/>
    <w:rsid w:val="00EF1C09"/>
    <w:rPr>
      <w:color w:val="0000FF"/>
      <w:u w:val="single"/>
    </w:rPr>
  </w:style>
  <w:style w:type="paragraph" w:styleId="Cabealho">
    <w:name w:val="header"/>
    <w:basedOn w:val="Normal"/>
    <w:link w:val="CabealhoChar"/>
    <w:uiPriority w:val="99"/>
    <w:unhideWhenUsed/>
    <w:rsid w:val="00392012"/>
    <w:pPr>
      <w:tabs>
        <w:tab w:val="center" w:pos="4252"/>
        <w:tab w:val="right" w:pos="8504"/>
      </w:tabs>
    </w:pPr>
  </w:style>
  <w:style w:type="character" w:customStyle="1" w:styleId="CabealhoChar">
    <w:name w:val="Cabeçalho Char"/>
    <w:link w:val="Cabealho"/>
    <w:uiPriority w:val="99"/>
    <w:rsid w:val="00392012"/>
    <w:rPr>
      <w:rFonts w:ascii="Times New Roman" w:eastAsia="Times New Roman" w:hAnsi="Times New Roman"/>
    </w:rPr>
  </w:style>
  <w:style w:type="paragraph" w:styleId="Rodap">
    <w:name w:val="footer"/>
    <w:basedOn w:val="Normal"/>
    <w:link w:val="RodapChar"/>
    <w:uiPriority w:val="99"/>
    <w:unhideWhenUsed/>
    <w:rsid w:val="00392012"/>
    <w:pPr>
      <w:tabs>
        <w:tab w:val="center" w:pos="4252"/>
        <w:tab w:val="right" w:pos="8504"/>
      </w:tabs>
    </w:pPr>
  </w:style>
  <w:style w:type="character" w:customStyle="1" w:styleId="RodapChar">
    <w:name w:val="Rodapé Char"/>
    <w:link w:val="Rodap"/>
    <w:uiPriority w:val="99"/>
    <w:rsid w:val="00392012"/>
    <w:rPr>
      <w:rFonts w:ascii="Times New Roman" w:eastAsia="Times New Roman" w:hAnsi="Times New Roman"/>
    </w:rPr>
  </w:style>
  <w:style w:type="paragraph" w:styleId="Textodebalo">
    <w:name w:val="Balloon Text"/>
    <w:basedOn w:val="Normal"/>
    <w:link w:val="TextodebaloChar"/>
    <w:uiPriority w:val="99"/>
    <w:semiHidden/>
    <w:unhideWhenUsed/>
    <w:rsid w:val="00261E93"/>
    <w:rPr>
      <w:rFonts w:ascii="Tahoma" w:hAnsi="Tahoma" w:cs="Tahoma"/>
      <w:sz w:val="16"/>
      <w:szCs w:val="16"/>
    </w:rPr>
  </w:style>
  <w:style w:type="character" w:customStyle="1" w:styleId="TextodebaloChar">
    <w:name w:val="Texto de balão Char"/>
    <w:link w:val="Textodebalo"/>
    <w:uiPriority w:val="99"/>
    <w:semiHidden/>
    <w:rsid w:val="00261E93"/>
    <w:rPr>
      <w:rFonts w:ascii="Tahoma" w:eastAsia="Times New Roman" w:hAnsi="Tahoma" w:cs="Tahoma"/>
      <w:sz w:val="16"/>
      <w:szCs w:val="16"/>
    </w:rPr>
  </w:style>
  <w:style w:type="paragraph" w:styleId="PargrafodaLista">
    <w:name w:val="List Paragraph"/>
    <w:basedOn w:val="Normal"/>
    <w:uiPriority w:val="34"/>
    <w:qFormat/>
    <w:rsid w:val="0012462E"/>
    <w:pPr>
      <w:spacing w:after="200" w:line="276" w:lineRule="auto"/>
      <w:ind w:left="720"/>
      <w:contextualSpacing/>
    </w:pPr>
    <w:rPr>
      <w:rFonts w:ascii="Calibri" w:eastAsia="Calibri" w:hAnsi="Calibri"/>
      <w:sz w:val="22"/>
      <w:szCs w:val="22"/>
      <w:lang w:eastAsia="en-US"/>
    </w:rPr>
  </w:style>
  <w:style w:type="paragraph" w:styleId="Textodenotaderodap">
    <w:name w:val="footnote text"/>
    <w:basedOn w:val="Normal"/>
    <w:link w:val="TextodenotaderodapChar"/>
    <w:uiPriority w:val="99"/>
    <w:semiHidden/>
    <w:unhideWhenUsed/>
    <w:rsid w:val="0012462E"/>
    <w:rPr>
      <w:rFonts w:ascii="Calibri" w:eastAsia="Calibri" w:hAnsi="Calibri"/>
      <w:lang w:eastAsia="en-US"/>
    </w:rPr>
  </w:style>
  <w:style w:type="character" w:customStyle="1" w:styleId="TextodenotaderodapChar">
    <w:name w:val="Texto de nota de rodapé Char"/>
    <w:link w:val="Textodenotaderodap"/>
    <w:uiPriority w:val="99"/>
    <w:semiHidden/>
    <w:rsid w:val="0012462E"/>
    <w:rPr>
      <w:lang w:eastAsia="en-US"/>
    </w:rPr>
  </w:style>
  <w:style w:type="character" w:styleId="Refdenotaderodap">
    <w:name w:val="footnote reference"/>
    <w:uiPriority w:val="99"/>
    <w:semiHidden/>
    <w:unhideWhenUsed/>
    <w:rsid w:val="0012462E"/>
    <w:rPr>
      <w:vertAlign w:val="superscript"/>
    </w:rPr>
  </w:style>
  <w:style w:type="paragraph" w:customStyle="1" w:styleId="Default">
    <w:name w:val="Default"/>
    <w:rsid w:val="00E76DCA"/>
    <w:rPr>
      <w:rFonts w:cs="Calibri"/>
      <w:color w:val="000000"/>
      <w:sz w:val="24"/>
      <w:szCs w:val="24"/>
      <w:lang w:eastAsia="en-US"/>
    </w:rPr>
  </w:style>
  <w:style w:type="table" w:styleId="Tabelacomgrade">
    <w:name w:val="Table Grid"/>
    <w:basedOn w:val="Tabelanormal"/>
    <w:uiPriority w:val="59"/>
    <w:rsid w:val="00E76DCA"/>
    <w:rPr>
      <w:rFonts w:hAnsi="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uiPriority w:val="35"/>
    <w:unhideWhenUsed/>
    <w:qFormat/>
    <w:rsid w:val="00555769"/>
    <w:pPr>
      <w:spacing w:after="200"/>
    </w:pPr>
    <w:rPr>
      <w:rFonts w:ascii="Calibri" w:eastAsia="Calibri" w:hAnsi="Calibri"/>
      <w:i/>
      <w:iCs/>
      <w:color w:val="1F497D"/>
      <w:sz w:val="18"/>
      <w:szCs w:val="18"/>
      <w:lang w:eastAsia="en-US"/>
    </w:rPr>
  </w:style>
  <w:style w:type="table" w:customStyle="1" w:styleId="Tabelacomgrade1">
    <w:name w:val="Tabela com grade1"/>
    <w:basedOn w:val="Tabelanormal"/>
    <w:next w:val="Tabelacomgrade"/>
    <w:rsid w:val="0055576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DA38D5"/>
    <w:rPr>
      <w:b/>
      <w:bCs/>
    </w:rPr>
  </w:style>
  <w:style w:type="paragraph" w:customStyle="1" w:styleId="TtulodeTabela">
    <w:name w:val="Título de Tabela"/>
    <w:basedOn w:val="Normal"/>
    <w:next w:val="Normal"/>
    <w:qFormat/>
    <w:rsid w:val="009B6AA8"/>
    <w:pPr>
      <w:spacing w:after="120"/>
      <w:jc w:val="both"/>
    </w:pPr>
    <w:rPr>
      <w:rFonts w:ascii="Arial" w:hAnsi="Arial" w:cs="Arial"/>
      <w:bCs/>
      <w:sz w:val="24"/>
      <w:szCs w:val="24"/>
    </w:rPr>
  </w:style>
  <w:style w:type="character" w:styleId="Refdecomentrio">
    <w:name w:val="annotation reference"/>
    <w:basedOn w:val="Fontepargpadro"/>
    <w:uiPriority w:val="99"/>
    <w:semiHidden/>
    <w:unhideWhenUsed/>
    <w:rsid w:val="000F373C"/>
    <w:rPr>
      <w:sz w:val="16"/>
      <w:szCs w:val="16"/>
    </w:rPr>
  </w:style>
  <w:style w:type="paragraph" w:styleId="Textodecomentrio">
    <w:name w:val="annotation text"/>
    <w:basedOn w:val="Normal"/>
    <w:link w:val="TextodecomentrioChar"/>
    <w:uiPriority w:val="99"/>
    <w:semiHidden/>
    <w:unhideWhenUsed/>
    <w:rsid w:val="000F373C"/>
  </w:style>
  <w:style w:type="character" w:customStyle="1" w:styleId="TextodecomentrioChar">
    <w:name w:val="Texto de comentário Char"/>
    <w:basedOn w:val="Fontepargpadro"/>
    <w:link w:val="Textodecomentrio"/>
    <w:uiPriority w:val="99"/>
    <w:semiHidden/>
    <w:rsid w:val="000F373C"/>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0F373C"/>
    <w:rPr>
      <w:b/>
      <w:bCs/>
    </w:rPr>
  </w:style>
  <w:style w:type="character" w:customStyle="1" w:styleId="AssuntodocomentrioChar">
    <w:name w:val="Assunto do comentário Char"/>
    <w:basedOn w:val="TextodecomentrioChar"/>
    <w:link w:val="Assuntodocomentrio"/>
    <w:uiPriority w:val="99"/>
    <w:semiHidden/>
    <w:rsid w:val="000F373C"/>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5D8BF-263C-489D-9F69-C1DB7772D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3753</Words>
  <Characters>20271</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23977</CharactersWithSpaces>
  <SharedDoc>false</SharedDoc>
  <HLinks>
    <vt:vector size="6" baseType="variant">
      <vt:variant>
        <vt:i4>8192119</vt:i4>
      </vt:variant>
      <vt:variant>
        <vt:i4>0</vt:i4>
      </vt:variant>
      <vt:variant>
        <vt:i4>0</vt:i4>
      </vt:variant>
      <vt:variant>
        <vt:i4>5</vt:i4>
      </vt:variant>
      <vt:variant>
        <vt:lpwstr>http://www.uepa.br/paginas/pcambientais/simposio/submissaodetrabalhos.html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Altem</dc:creator>
  <cp:lastModifiedBy>julle lima</cp:lastModifiedBy>
  <cp:revision>2</cp:revision>
  <cp:lastPrinted>2015-06-04T18:07:00Z</cp:lastPrinted>
  <dcterms:created xsi:type="dcterms:W3CDTF">2018-11-10T23:47:00Z</dcterms:created>
  <dcterms:modified xsi:type="dcterms:W3CDTF">2018-11-10T23:47:00Z</dcterms:modified>
</cp:coreProperties>
</file>