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4C" w:rsidRDefault="00D0394C" w:rsidP="0012462E">
      <w:pPr>
        <w:jc w:val="center"/>
        <w:rPr>
          <w:b/>
          <w:sz w:val="24"/>
          <w:szCs w:val="24"/>
        </w:rPr>
      </w:pPr>
    </w:p>
    <w:p w:rsidR="0012462E" w:rsidRPr="004306A6" w:rsidRDefault="00F54A6D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ANÁLISE FÍSICO-QUÍMICA DE SUCOS</w:t>
      </w:r>
      <w:r w:rsidR="00CE2EC3">
        <w:rPr>
          <w:b/>
          <w:sz w:val="24"/>
          <w:szCs w:val="24"/>
        </w:rPr>
        <w:t xml:space="preserve"> E NÉCTARES</w:t>
      </w:r>
      <w:r>
        <w:rPr>
          <w:b/>
          <w:sz w:val="24"/>
          <w:szCs w:val="24"/>
        </w:rPr>
        <w:t xml:space="preserve"> DE LARANJA INDUSTRIALIZADOS</w:t>
      </w:r>
    </w:p>
    <w:p w:rsidR="0012462E" w:rsidRPr="004F6258" w:rsidRDefault="0012462E" w:rsidP="0012462E">
      <w:pPr>
        <w:jc w:val="center"/>
        <w:rPr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</w:p>
    <w:p w:rsidR="0012462E" w:rsidRPr="00D44606" w:rsidRDefault="00D44606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Amanda Fagundes de Souza Assis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755C74">
        <w:rPr>
          <w:sz w:val="24"/>
          <w:szCs w:val="24"/>
        </w:rPr>
        <w:t xml:space="preserve"> </w:t>
      </w:r>
      <w:r>
        <w:rPr>
          <w:sz w:val="24"/>
          <w:szCs w:val="24"/>
        </w:rPr>
        <w:t>Marcelo Henrique Vilhena da Silva</w:t>
      </w:r>
      <w:r w:rsidR="0012462E" w:rsidRPr="004F6258">
        <w:rPr>
          <w:sz w:val="24"/>
          <w:szCs w:val="24"/>
          <w:vertAlign w:val="superscript"/>
        </w:rPr>
        <w:t>2</w:t>
      </w:r>
      <w:r w:rsidR="00A14A7B">
        <w:rPr>
          <w:sz w:val="24"/>
          <w:szCs w:val="24"/>
        </w:rPr>
        <w:t>;</w:t>
      </w:r>
      <w:r>
        <w:rPr>
          <w:sz w:val="24"/>
          <w:szCs w:val="24"/>
        </w:rPr>
        <w:t xml:space="preserve"> Paulo Vinícius Lima Santos</w:t>
      </w:r>
      <w:r>
        <w:rPr>
          <w:sz w:val="24"/>
          <w:szCs w:val="24"/>
          <w:vertAlign w:val="superscript"/>
        </w:rPr>
        <w:t>3</w:t>
      </w:r>
    </w:p>
    <w:p w:rsidR="0012462E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D44606">
        <w:rPr>
          <w:sz w:val="24"/>
          <w:szCs w:val="24"/>
        </w:rPr>
        <w:t>Pós-graduanda em Docência no Ensino Superior</w:t>
      </w:r>
      <w:r w:rsidRPr="004F6258">
        <w:rPr>
          <w:sz w:val="24"/>
          <w:szCs w:val="24"/>
        </w:rPr>
        <w:t xml:space="preserve">. </w:t>
      </w:r>
      <w:r w:rsidR="00D44606">
        <w:rPr>
          <w:sz w:val="24"/>
          <w:szCs w:val="24"/>
        </w:rPr>
        <w:t>U</w:t>
      </w:r>
      <w:r w:rsidR="00642205">
        <w:rPr>
          <w:sz w:val="24"/>
          <w:szCs w:val="24"/>
        </w:rPr>
        <w:t>NAMA</w:t>
      </w:r>
      <w:r w:rsidRPr="004F6258">
        <w:rPr>
          <w:sz w:val="24"/>
          <w:szCs w:val="24"/>
        </w:rPr>
        <w:t xml:space="preserve">. </w:t>
      </w:r>
      <w:r w:rsidR="00D44606">
        <w:rPr>
          <w:sz w:val="24"/>
          <w:szCs w:val="24"/>
        </w:rPr>
        <w:t>amadafdsa@gmail.com</w:t>
      </w:r>
    </w:p>
    <w:p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872369" w:rsidRPr="00270DAB">
        <w:rPr>
          <w:sz w:val="24"/>
          <w:szCs w:val="24"/>
        </w:rPr>
        <w:t>Químico. P</w:t>
      </w:r>
      <w:r w:rsidR="00642205" w:rsidRPr="00270DAB">
        <w:rPr>
          <w:sz w:val="24"/>
          <w:szCs w:val="24"/>
        </w:rPr>
        <w:t>rofessor MSc. d</w:t>
      </w:r>
      <w:r w:rsidR="00D44606" w:rsidRPr="00270DAB">
        <w:rPr>
          <w:sz w:val="24"/>
          <w:szCs w:val="24"/>
        </w:rPr>
        <w:t>o IFPA</w:t>
      </w:r>
      <w:r w:rsidR="00872369" w:rsidRPr="00270DAB">
        <w:rPr>
          <w:sz w:val="24"/>
          <w:szCs w:val="24"/>
        </w:rPr>
        <w:t>.</w:t>
      </w:r>
      <w:r w:rsidR="002F3D05">
        <w:rPr>
          <w:sz w:val="24"/>
          <w:szCs w:val="24"/>
        </w:rPr>
        <w:t xml:space="preserve"> marcelo.</w:t>
      </w:r>
      <w:r w:rsidR="00872369" w:rsidRPr="00872369">
        <w:rPr>
          <w:sz w:val="24"/>
          <w:szCs w:val="24"/>
        </w:rPr>
        <w:t>silva@</w:t>
      </w:r>
      <w:r w:rsidR="002F3D05">
        <w:rPr>
          <w:sz w:val="24"/>
          <w:szCs w:val="24"/>
        </w:rPr>
        <w:t>ifpa.edu.br</w:t>
      </w:r>
    </w:p>
    <w:p w:rsidR="00872369" w:rsidRPr="00872369" w:rsidRDefault="00872369" w:rsidP="0012462E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116711">
        <w:rPr>
          <w:sz w:val="24"/>
          <w:szCs w:val="24"/>
        </w:rPr>
        <w:t xml:space="preserve"> Graduando em</w:t>
      </w:r>
      <w:r w:rsidR="00116711" w:rsidRPr="00116711">
        <w:rPr>
          <w:sz w:val="24"/>
          <w:szCs w:val="24"/>
        </w:rPr>
        <w:t xml:space="preserve"> Licenciatura Plena em Química. UEPA. paulovinicius552@gmail.com</w:t>
      </w:r>
    </w:p>
    <w:p w:rsidR="0012462E" w:rsidRDefault="0012462E" w:rsidP="0012462E">
      <w:pPr>
        <w:jc w:val="center"/>
        <w:rPr>
          <w:color w:val="FF0000"/>
          <w:sz w:val="24"/>
          <w:szCs w:val="24"/>
        </w:rPr>
      </w:pPr>
    </w:p>
    <w:p w:rsidR="00DA38D5" w:rsidRDefault="00DA38D5" w:rsidP="0012462E">
      <w:pPr>
        <w:jc w:val="center"/>
        <w:rPr>
          <w:rStyle w:val="Forte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12462E" w:rsidRPr="004F6258" w:rsidRDefault="0012462E" w:rsidP="0012462E">
      <w:pPr>
        <w:jc w:val="center"/>
        <w:rPr>
          <w:sz w:val="24"/>
          <w:szCs w:val="24"/>
        </w:rPr>
      </w:pPr>
    </w:p>
    <w:p w:rsidR="0012462E" w:rsidRPr="004F6258" w:rsidRDefault="0012462E" w:rsidP="0012462E">
      <w:pPr>
        <w:jc w:val="both"/>
        <w:rPr>
          <w:bCs/>
          <w:sz w:val="24"/>
          <w:szCs w:val="24"/>
        </w:rPr>
      </w:pPr>
    </w:p>
    <w:p w:rsidR="0012462E" w:rsidRPr="00270DAB" w:rsidRDefault="008509FD" w:rsidP="0012462E">
      <w:pPr>
        <w:jc w:val="both"/>
        <w:rPr>
          <w:sz w:val="24"/>
          <w:szCs w:val="24"/>
        </w:rPr>
      </w:pPr>
      <w:r w:rsidRPr="009728E6">
        <w:rPr>
          <w:bCs/>
          <w:sz w:val="24"/>
          <w:szCs w:val="24"/>
        </w:rPr>
        <w:t>O suco de laranja</w:t>
      </w:r>
      <w:r>
        <w:rPr>
          <w:sz w:val="24"/>
          <w:szCs w:val="24"/>
        </w:rPr>
        <w:t xml:space="preserve"> industrializado é definido como um tipo de</w:t>
      </w:r>
      <w:r w:rsidRPr="00931D46">
        <w:rPr>
          <w:sz w:val="24"/>
          <w:szCs w:val="24"/>
        </w:rPr>
        <w:t xml:space="preserve"> bebida não fermentada e não diluída, obtida da parte comestível da laranja </w:t>
      </w:r>
      <w:r>
        <w:rPr>
          <w:sz w:val="24"/>
          <w:szCs w:val="24"/>
        </w:rPr>
        <w:t>através de processos</w:t>
      </w:r>
      <w:r w:rsidRPr="00931D46">
        <w:rPr>
          <w:sz w:val="24"/>
          <w:szCs w:val="24"/>
        </w:rPr>
        <w:t xml:space="preserve"> adequado</w:t>
      </w:r>
      <w:r>
        <w:rPr>
          <w:sz w:val="24"/>
          <w:szCs w:val="24"/>
        </w:rPr>
        <w:t xml:space="preserve">s. </w:t>
      </w:r>
      <w:r w:rsidR="00A94ED6">
        <w:rPr>
          <w:sz w:val="24"/>
          <w:szCs w:val="24"/>
        </w:rPr>
        <w:t>É</w:t>
      </w:r>
      <w:r w:rsidR="0055571E">
        <w:rPr>
          <w:sz w:val="24"/>
          <w:szCs w:val="24"/>
        </w:rPr>
        <w:t xml:space="preserve"> </w:t>
      </w:r>
      <w:r w:rsidR="00A94ED6">
        <w:rPr>
          <w:sz w:val="24"/>
          <w:szCs w:val="24"/>
        </w:rPr>
        <w:t>um dos produtos mais vendidos</w:t>
      </w:r>
      <w:r>
        <w:rPr>
          <w:sz w:val="24"/>
          <w:szCs w:val="24"/>
        </w:rPr>
        <w:t>, isso ocorre devido a laranja ser considerado uma das melhores fontes de vitamina C</w:t>
      </w:r>
      <w:r w:rsidR="0055571E">
        <w:rPr>
          <w:sz w:val="24"/>
          <w:szCs w:val="24"/>
        </w:rPr>
        <w:t xml:space="preserve"> </w:t>
      </w:r>
      <w:r>
        <w:rPr>
          <w:sz w:val="24"/>
          <w:szCs w:val="24"/>
        </w:rPr>
        <w:t>na dieta. Entretanto, a vida moderna impõe um ritmo acelerado levando ao crescente</w:t>
      </w:r>
      <w:r w:rsidR="0055571E">
        <w:rPr>
          <w:sz w:val="24"/>
          <w:szCs w:val="24"/>
        </w:rPr>
        <w:t xml:space="preserve"> </w:t>
      </w:r>
      <w:r>
        <w:rPr>
          <w:sz w:val="24"/>
          <w:szCs w:val="24"/>
        </w:rPr>
        <w:t>interesse aos produtos industrializados, como os sucos prontos para consumo, apesar da facilidade</w:t>
      </w:r>
      <w:r w:rsidR="0055571E">
        <w:rPr>
          <w:sz w:val="24"/>
          <w:szCs w:val="24"/>
        </w:rPr>
        <w:t>,</w:t>
      </w:r>
      <w:r>
        <w:rPr>
          <w:sz w:val="24"/>
          <w:szCs w:val="24"/>
        </w:rPr>
        <w:t xml:space="preserve"> para esses sucos</w:t>
      </w:r>
      <w:r w:rsidRPr="00FC7CDA">
        <w:rPr>
          <w:sz w:val="24"/>
          <w:szCs w:val="24"/>
        </w:rPr>
        <w:t xml:space="preserve"> serem considerados de boa qualidade, devem apresenta</w:t>
      </w:r>
      <w:r>
        <w:rPr>
          <w:sz w:val="24"/>
          <w:szCs w:val="24"/>
        </w:rPr>
        <w:t>r características</w:t>
      </w:r>
      <w:r w:rsidRPr="00FC7CDA">
        <w:rPr>
          <w:sz w:val="24"/>
          <w:szCs w:val="24"/>
        </w:rPr>
        <w:t xml:space="preserve"> semelhantes ao do produto </w:t>
      </w:r>
      <w:r w:rsidRPr="00FC7CDA">
        <w:rPr>
          <w:i/>
          <w:sz w:val="24"/>
          <w:szCs w:val="24"/>
        </w:rPr>
        <w:t>in natura</w:t>
      </w:r>
      <w:r>
        <w:rPr>
          <w:sz w:val="24"/>
          <w:szCs w:val="24"/>
        </w:rPr>
        <w:t>. Para isso, os sucos de laranja industrializados são regulamentados pela Legislação Brasileira na área de alimentos, através de Instruções Normativas que obedece à l</w:t>
      </w:r>
      <w:r w:rsidR="001869E0">
        <w:rPr>
          <w:sz w:val="24"/>
          <w:szCs w:val="24"/>
        </w:rPr>
        <w:t>ei nº169, de 2016</w:t>
      </w:r>
      <w:r>
        <w:rPr>
          <w:sz w:val="24"/>
          <w:szCs w:val="24"/>
        </w:rPr>
        <w:t>, em que esses sucos devem possuir teor máximo de acidez 7,00g/100g, mínimo de 10,</w:t>
      </w:r>
      <w:r w:rsidR="00C82D80">
        <w:rPr>
          <w:sz w:val="24"/>
          <w:szCs w:val="24"/>
        </w:rPr>
        <w:t xml:space="preserve">50 °Brix, </w:t>
      </w:r>
      <w:r>
        <w:rPr>
          <w:sz w:val="24"/>
          <w:szCs w:val="24"/>
        </w:rPr>
        <w:t xml:space="preserve">e </w:t>
      </w:r>
      <w:r>
        <w:rPr>
          <w:i/>
          <w:sz w:val="24"/>
          <w:szCs w:val="24"/>
        </w:rPr>
        <w:t>ratio</w:t>
      </w:r>
      <w:r>
        <w:rPr>
          <w:sz w:val="24"/>
          <w:szCs w:val="24"/>
        </w:rPr>
        <w:t xml:space="preserve"> de 17,5 para néctares e de 7,0 para sucos de laranja. Em virtude disso, o objetivo deste trabalho foi determinar o</w:t>
      </w:r>
      <w:r w:rsidR="00C82D80">
        <w:rPr>
          <w:sz w:val="24"/>
          <w:szCs w:val="24"/>
        </w:rPr>
        <w:t>s parâmetros físico-químicos estabelecidos pelo MAPA</w:t>
      </w:r>
      <w:r w:rsidR="002C065B">
        <w:rPr>
          <w:i/>
          <w:sz w:val="24"/>
          <w:szCs w:val="24"/>
        </w:rPr>
        <w:t>,</w:t>
      </w:r>
      <w:r w:rsidR="002C065B">
        <w:rPr>
          <w:sz w:val="24"/>
          <w:szCs w:val="24"/>
        </w:rPr>
        <w:t xml:space="preserve"> em oito</w:t>
      </w:r>
      <w:r>
        <w:rPr>
          <w:sz w:val="24"/>
          <w:szCs w:val="24"/>
        </w:rPr>
        <w:t xml:space="preserve"> marcas diferentes</w:t>
      </w:r>
      <w:r w:rsidR="00A94ED6">
        <w:rPr>
          <w:sz w:val="24"/>
          <w:szCs w:val="24"/>
        </w:rPr>
        <w:t xml:space="preserve"> (Mais Vita, Maguary, Maguary</w:t>
      </w:r>
      <w:r w:rsidR="0055571E" w:rsidRPr="0055571E">
        <w:rPr>
          <w:sz w:val="24"/>
          <w:szCs w:val="24"/>
        </w:rPr>
        <w:t xml:space="preserve"> </w:t>
      </w:r>
      <w:r w:rsidR="00A94ED6">
        <w:rPr>
          <w:sz w:val="24"/>
          <w:szCs w:val="24"/>
        </w:rPr>
        <w:t>VitaKids, Da fruta Premium, Maratá, Vigor Vig, Del Valle Kapo, 100% Jandaia)</w:t>
      </w:r>
      <w:r>
        <w:rPr>
          <w:sz w:val="24"/>
          <w:szCs w:val="24"/>
        </w:rPr>
        <w:t xml:space="preserve"> de sucos</w:t>
      </w:r>
      <w:r w:rsidR="002C065B">
        <w:rPr>
          <w:sz w:val="24"/>
          <w:szCs w:val="24"/>
        </w:rPr>
        <w:t xml:space="preserve"> e néctares</w:t>
      </w:r>
      <w:r>
        <w:rPr>
          <w:sz w:val="24"/>
          <w:szCs w:val="24"/>
        </w:rPr>
        <w:t xml:space="preserve"> de laranja industrializados, </w:t>
      </w:r>
      <w:r w:rsidR="00C82D80">
        <w:rPr>
          <w:sz w:val="24"/>
          <w:szCs w:val="24"/>
        </w:rPr>
        <w:t xml:space="preserve">através da análise </w:t>
      </w:r>
      <w:r w:rsidR="001869E0">
        <w:rPr>
          <w:sz w:val="24"/>
          <w:szCs w:val="24"/>
        </w:rPr>
        <w:t>de titulometria</w:t>
      </w:r>
      <w:r>
        <w:rPr>
          <w:sz w:val="24"/>
          <w:szCs w:val="24"/>
        </w:rPr>
        <w:t>, a fim de verificar se as amostras estavam de acordo com o</w:t>
      </w:r>
      <w:r w:rsidR="00BE66FC">
        <w:rPr>
          <w:sz w:val="24"/>
          <w:szCs w:val="24"/>
        </w:rPr>
        <w:t>s</w:t>
      </w:r>
      <w:r>
        <w:rPr>
          <w:sz w:val="24"/>
          <w:szCs w:val="24"/>
        </w:rPr>
        <w:t xml:space="preserve"> valor</w:t>
      </w:r>
      <w:r w:rsidR="00BE66FC">
        <w:rPr>
          <w:sz w:val="24"/>
          <w:szCs w:val="24"/>
        </w:rPr>
        <w:t>es</w:t>
      </w:r>
      <w:r>
        <w:rPr>
          <w:sz w:val="24"/>
          <w:szCs w:val="24"/>
        </w:rPr>
        <w:t xml:space="preserve"> descrito</w:t>
      </w:r>
      <w:r w:rsidR="00BE66FC">
        <w:rPr>
          <w:sz w:val="24"/>
          <w:szCs w:val="24"/>
        </w:rPr>
        <w:t>s</w:t>
      </w:r>
      <w:r>
        <w:rPr>
          <w:sz w:val="24"/>
          <w:szCs w:val="24"/>
        </w:rPr>
        <w:t xml:space="preserve"> na legislação, e </w:t>
      </w:r>
      <w:r w:rsidR="002C065B">
        <w:rPr>
          <w:sz w:val="24"/>
          <w:szCs w:val="24"/>
        </w:rPr>
        <w:t>aptas para consumo</w:t>
      </w:r>
      <w:r>
        <w:rPr>
          <w:sz w:val="24"/>
          <w:szCs w:val="24"/>
        </w:rPr>
        <w:t>. Com os resultados obtidos</w:t>
      </w:r>
      <w:r w:rsidR="00BE66FC">
        <w:rPr>
          <w:sz w:val="24"/>
          <w:szCs w:val="24"/>
        </w:rPr>
        <w:t xml:space="preserve"> </w:t>
      </w:r>
      <w:r>
        <w:rPr>
          <w:sz w:val="24"/>
          <w:szCs w:val="24"/>
        </w:rPr>
        <w:t>foi possível observar as</w:t>
      </w:r>
      <w:r w:rsidR="001869E0">
        <w:rPr>
          <w:sz w:val="24"/>
          <w:szCs w:val="24"/>
        </w:rPr>
        <w:t xml:space="preserve"> elevadas diferenças no SST e no </w:t>
      </w:r>
      <w:r w:rsidR="001869E0">
        <w:rPr>
          <w:i/>
          <w:sz w:val="24"/>
          <w:szCs w:val="24"/>
        </w:rPr>
        <w:t>ratio</w:t>
      </w:r>
      <w:r w:rsidR="001869E0">
        <w:rPr>
          <w:sz w:val="24"/>
          <w:szCs w:val="24"/>
        </w:rPr>
        <w:t>, e valores de pH abaixo de 3,0. Notou</w:t>
      </w:r>
      <w:r>
        <w:rPr>
          <w:sz w:val="24"/>
          <w:szCs w:val="24"/>
        </w:rPr>
        <w:t>-se dentre os resultados</w:t>
      </w:r>
      <w:r w:rsidR="001869E0">
        <w:rPr>
          <w:sz w:val="24"/>
          <w:szCs w:val="24"/>
        </w:rPr>
        <w:t>, que</w:t>
      </w:r>
      <w:r>
        <w:rPr>
          <w:sz w:val="24"/>
          <w:szCs w:val="24"/>
        </w:rPr>
        <w:t xml:space="preserve"> apenas</w:t>
      </w:r>
      <w:r w:rsidR="00617EB4">
        <w:rPr>
          <w:sz w:val="24"/>
          <w:szCs w:val="24"/>
        </w:rPr>
        <w:t xml:space="preserve"> o suco</w:t>
      </w:r>
      <w:r w:rsidR="00F825B8">
        <w:rPr>
          <w:sz w:val="24"/>
          <w:szCs w:val="24"/>
        </w:rPr>
        <w:t xml:space="preserve"> Vi</w:t>
      </w:r>
      <w:r w:rsidR="00617EB4">
        <w:rPr>
          <w:sz w:val="24"/>
          <w:szCs w:val="24"/>
        </w:rPr>
        <w:t>gor Vig encontra</w:t>
      </w:r>
      <w:r w:rsidR="00F825B8">
        <w:rPr>
          <w:sz w:val="24"/>
          <w:szCs w:val="24"/>
        </w:rPr>
        <w:t>-se dentro de todos o</w:t>
      </w:r>
      <w:r w:rsidR="00C82D80">
        <w:rPr>
          <w:sz w:val="24"/>
          <w:szCs w:val="24"/>
        </w:rPr>
        <w:t>s padrões</w:t>
      </w:r>
      <w:r w:rsidR="00F825B8">
        <w:rPr>
          <w:sz w:val="24"/>
          <w:szCs w:val="24"/>
        </w:rPr>
        <w:t>, e de outras pesquisas</w:t>
      </w:r>
      <w:r>
        <w:rPr>
          <w:sz w:val="24"/>
          <w:szCs w:val="24"/>
        </w:rPr>
        <w:t xml:space="preserve">, demonstrando estar apta para consumo, já as </w:t>
      </w:r>
      <w:r w:rsidR="00F825B8">
        <w:rPr>
          <w:sz w:val="24"/>
          <w:szCs w:val="24"/>
        </w:rPr>
        <w:t xml:space="preserve">outras </w:t>
      </w:r>
      <w:r>
        <w:rPr>
          <w:sz w:val="24"/>
          <w:szCs w:val="24"/>
        </w:rPr>
        <w:t>amostras apresentaram valores acima</w:t>
      </w:r>
      <w:r w:rsidR="00F825B8">
        <w:rPr>
          <w:sz w:val="24"/>
          <w:szCs w:val="24"/>
        </w:rPr>
        <w:t xml:space="preserve"> ou abaixo</w:t>
      </w:r>
      <w:r>
        <w:rPr>
          <w:sz w:val="24"/>
          <w:szCs w:val="24"/>
        </w:rPr>
        <w:t xml:space="preserve"> do permitido</w:t>
      </w:r>
      <w:r w:rsidR="001869E0">
        <w:rPr>
          <w:sz w:val="24"/>
          <w:szCs w:val="24"/>
        </w:rPr>
        <w:t xml:space="preserve"> pela legislação brasileira</w:t>
      </w:r>
      <w:r>
        <w:rPr>
          <w:sz w:val="24"/>
          <w:szCs w:val="24"/>
        </w:rPr>
        <w:t xml:space="preserve">. </w:t>
      </w:r>
      <w:r w:rsidR="00A94ED6">
        <w:rPr>
          <w:sz w:val="24"/>
          <w:szCs w:val="24"/>
        </w:rPr>
        <w:t>Apesar disso, e</w:t>
      </w:r>
      <w:r>
        <w:rPr>
          <w:sz w:val="24"/>
          <w:szCs w:val="24"/>
        </w:rPr>
        <w:t>m relação aos atributos</w:t>
      </w:r>
      <w:r w:rsidR="00A94ED6">
        <w:rPr>
          <w:sz w:val="24"/>
          <w:szCs w:val="24"/>
        </w:rPr>
        <w:t xml:space="preserve"> sensoriais</w:t>
      </w:r>
      <w:r>
        <w:rPr>
          <w:sz w:val="24"/>
          <w:szCs w:val="24"/>
        </w:rPr>
        <w:t xml:space="preserve">, todas apresentaram sabor, cor amarela e aroma característicos da laranja. Concluiu-se que apesar da Legislação estar em vigor, </w:t>
      </w:r>
      <w:r w:rsidR="00A94ED6">
        <w:rPr>
          <w:sz w:val="24"/>
          <w:szCs w:val="24"/>
        </w:rPr>
        <w:t xml:space="preserve">apenas </w:t>
      </w:r>
      <w:r w:rsidR="00617EB4">
        <w:rPr>
          <w:sz w:val="24"/>
          <w:szCs w:val="24"/>
        </w:rPr>
        <w:t>um suco industrializado analisado apresentou</w:t>
      </w:r>
      <w:r w:rsidR="00F825B8">
        <w:rPr>
          <w:sz w:val="24"/>
          <w:szCs w:val="24"/>
        </w:rPr>
        <w:t xml:space="preserve">-se </w:t>
      </w:r>
      <w:r w:rsidR="00C82D80">
        <w:rPr>
          <w:sz w:val="24"/>
          <w:szCs w:val="24"/>
        </w:rPr>
        <w:t>esta</w:t>
      </w:r>
      <w:r w:rsidR="00F825B8">
        <w:rPr>
          <w:sz w:val="24"/>
          <w:szCs w:val="24"/>
        </w:rPr>
        <w:t>r</w:t>
      </w:r>
      <w:r>
        <w:rPr>
          <w:sz w:val="24"/>
          <w:szCs w:val="24"/>
        </w:rPr>
        <w:t xml:space="preserve"> em concordância e apto para utilização.</w:t>
      </w:r>
    </w:p>
    <w:p w:rsidR="00D305C8" w:rsidRPr="004F6258" w:rsidRDefault="00D305C8" w:rsidP="0012462E">
      <w:pPr>
        <w:rPr>
          <w:b/>
          <w:bCs/>
          <w:sz w:val="24"/>
          <w:szCs w:val="24"/>
        </w:rPr>
      </w:pPr>
    </w:p>
    <w:p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6D71B5">
        <w:rPr>
          <w:b/>
          <w:bCs/>
          <w:sz w:val="24"/>
          <w:szCs w:val="24"/>
        </w:rPr>
        <w:t xml:space="preserve"> </w:t>
      </w:r>
      <w:r w:rsidR="00156662">
        <w:rPr>
          <w:bCs/>
          <w:sz w:val="24"/>
          <w:szCs w:val="24"/>
        </w:rPr>
        <w:t>Parâmetros físico-químicos. Laranja. Legislação</w:t>
      </w:r>
      <w:r w:rsidR="00856F27">
        <w:rPr>
          <w:bCs/>
          <w:sz w:val="24"/>
          <w:szCs w:val="24"/>
        </w:rPr>
        <w:t>.</w:t>
      </w:r>
    </w:p>
    <w:p w:rsidR="0012462E" w:rsidRPr="004F6258" w:rsidRDefault="0012462E" w:rsidP="0012462E">
      <w:pPr>
        <w:rPr>
          <w:sz w:val="24"/>
          <w:szCs w:val="24"/>
        </w:rPr>
      </w:pP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E002BB">
        <w:rPr>
          <w:sz w:val="24"/>
          <w:szCs w:val="24"/>
        </w:rPr>
        <w:t>Ciência e Tecnologia de Alimentos.</w:t>
      </w:r>
    </w:p>
    <w:p w:rsidR="00A94ED6" w:rsidRDefault="00A94ED6" w:rsidP="0012462E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</w:p>
    <w:p w:rsidR="0012462E" w:rsidRPr="0096111D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4"/>
        </w:rPr>
      </w:pPr>
      <w:r w:rsidRPr="0096111D">
        <w:rPr>
          <w:b/>
          <w:sz w:val="24"/>
          <w:szCs w:val="24"/>
        </w:rPr>
        <w:lastRenderedPageBreak/>
        <w:t>1. INTRODUÇÃO</w:t>
      </w:r>
    </w:p>
    <w:p w:rsidR="000F5D8F" w:rsidRDefault="00241AE8" w:rsidP="000F5D8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decorrer dos anos, a preocupação com a saúde aumentou juntamente com o consumo de bebidas à ba</w:t>
      </w:r>
      <w:r w:rsidR="00086A19">
        <w:rPr>
          <w:sz w:val="24"/>
          <w:szCs w:val="24"/>
        </w:rPr>
        <w:t>se de frutas, levando a procura por</w:t>
      </w:r>
      <w:r w:rsidR="003D7E9B">
        <w:rPr>
          <w:sz w:val="24"/>
          <w:szCs w:val="24"/>
        </w:rPr>
        <w:t xml:space="preserve"> </w:t>
      </w:r>
      <w:r w:rsidR="00086A19">
        <w:rPr>
          <w:sz w:val="24"/>
          <w:szCs w:val="24"/>
        </w:rPr>
        <w:t>bebidas com</w:t>
      </w:r>
      <w:r>
        <w:rPr>
          <w:sz w:val="24"/>
          <w:szCs w:val="24"/>
        </w:rPr>
        <w:t xml:space="preserve"> características nutricionais a fim de prevenir doenças. </w:t>
      </w:r>
      <w:r w:rsidR="00086A19">
        <w:rPr>
          <w:sz w:val="24"/>
          <w:szCs w:val="24"/>
        </w:rPr>
        <w:t>Com isso, devido ao apelo pela praticidade a inclusão por bebidas mais saudáveis começa a ganhar espaço, como por exemplo, a procura por produtos naturais, orgânicos e enriquecidos</w:t>
      </w:r>
      <w:r w:rsidR="00D02A05">
        <w:rPr>
          <w:sz w:val="24"/>
          <w:szCs w:val="24"/>
        </w:rPr>
        <w:t xml:space="preserve"> (</w:t>
      </w:r>
      <w:r w:rsidR="00323265">
        <w:rPr>
          <w:sz w:val="24"/>
          <w:szCs w:val="24"/>
        </w:rPr>
        <w:t>CARMO</w:t>
      </w:r>
      <w:r w:rsidR="00711EB8">
        <w:rPr>
          <w:sz w:val="24"/>
          <w:szCs w:val="24"/>
        </w:rPr>
        <w:t>; DANTAS; RIBEIRO</w:t>
      </w:r>
      <w:r w:rsidR="00323265">
        <w:rPr>
          <w:sz w:val="24"/>
          <w:szCs w:val="24"/>
        </w:rPr>
        <w:t xml:space="preserve">, 2014; </w:t>
      </w:r>
      <w:r w:rsidR="00D02A05">
        <w:rPr>
          <w:sz w:val="24"/>
          <w:szCs w:val="24"/>
        </w:rPr>
        <w:t>ESPERANCINI, 2005</w:t>
      </w:r>
      <w:r w:rsidR="00323265">
        <w:rPr>
          <w:sz w:val="24"/>
          <w:szCs w:val="24"/>
        </w:rPr>
        <w:t>; MACHADO, 2013</w:t>
      </w:r>
      <w:r w:rsidR="00D02A05">
        <w:rPr>
          <w:sz w:val="24"/>
          <w:szCs w:val="24"/>
        </w:rPr>
        <w:t>)</w:t>
      </w:r>
      <w:r w:rsidR="00086A19">
        <w:rPr>
          <w:sz w:val="24"/>
          <w:szCs w:val="24"/>
        </w:rPr>
        <w:t>.</w:t>
      </w:r>
    </w:p>
    <w:p w:rsidR="00241AE8" w:rsidRDefault="00E36180" w:rsidP="000F5D8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764F4">
        <w:rPr>
          <w:sz w:val="24"/>
          <w:szCs w:val="24"/>
        </w:rPr>
        <w:t>s frutas</w:t>
      </w:r>
      <w:r w:rsidR="003D7E9B">
        <w:rPr>
          <w:sz w:val="24"/>
          <w:szCs w:val="24"/>
        </w:rPr>
        <w:t xml:space="preserve"> </w:t>
      </w:r>
      <w:r w:rsidRPr="00B764F4">
        <w:rPr>
          <w:sz w:val="24"/>
          <w:szCs w:val="24"/>
        </w:rPr>
        <w:t>podem ser consumidas ao natural ou utilizadas em várias preparações, processadas para a produção de suco, natural ou industrializado, que buscam obter o mínimo de perdas relacionadas às suas propriedades nutricionais</w:t>
      </w:r>
      <w:r>
        <w:rPr>
          <w:sz w:val="24"/>
          <w:szCs w:val="24"/>
        </w:rPr>
        <w:t xml:space="preserve"> (</w:t>
      </w:r>
      <w:r w:rsidR="0023280F">
        <w:rPr>
          <w:sz w:val="24"/>
          <w:szCs w:val="24"/>
        </w:rPr>
        <w:t xml:space="preserve">SILVA, </w:t>
      </w:r>
      <w:r w:rsidR="00F41701" w:rsidRPr="00F41701">
        <w:rPr>
          <w:i/>
          <w:sz w:val="24"/>
          <w:szCs w:val="24"/>
        </w:rPr>
        <w:t>et al.</w:t>
      </w:r>
      <w:r w:rsidR="00F41701">
        <w:rPr>
          <w:sz w:val="24"/>
          <w:szCs w:val="24"/>
        </w:rPr>
        <w:t xml:space="preserve">, </w:t>
      </w:r>
      <w:r w:rsidR="0023280F">
        <w:rPr>
          <w:sz w:val="24"/>
          <w:szCs w:val="24"/>
        </w:rPr>
        <w:t>2005</w:t>
      </w:r>
      <w:r>
        <w:rPr>
          <w:sz w:val="24"/>
          <w:szCs w:val="24"/>
        </w:rPr>
        <w:t>)</w:t>
      </w:r>
      <w:r w:rsidRPr="00B764F4">
        <w:rPr>
          <w:sz w:val="24"/>
          <w:szCs w:val="24"/>
        </w:rPr>
        <w:t>. De acordo com Castro</w:t>
      </w:r>
      <w:r w:rsidR="0023280F">
        <w:rPr>
          <w:sz w:val="24"/>
          <w:szCs w:val="24"/>
        </w:rPr>
        <w:t xml:space="preserve"> (2007</w:t>
      </w:r>
      <w:r>
        <w:rPr>
          <w:sz w:val="24"/>
          <w:szCs w:val="24"/>
        </w:rPr>
        <w:t>)</w:t>
      </w:r>
      <w:r w:rsidRPr="00B764F4">
        <w:rPr>
          <w:sz w:val="24"/>
          <w:szCs w:val="24"/>
        </w:rPr>
        <w:t>, são fontes de carboidratos, proteínas,</w:t>
      </w:r>
      <w:r w:rsidR="00263E82">
        <w:rPr>
          <w:sz w:val="24"/>
          <w:szCs w:val="24"/>
        </w:rPr>
        <w:t xml:space="preserve"> </w:t>
      </w:r>
      <w:r w:rsidRPr="00B764F4">
        <w:rPr>
          <w:sz w:val="24"/>
          <w:szCs w:val="24"/>
        </w:rPr>
        <w:t>carotenóides, vitaminas, minerais e outros</w:t>
      </w:r>
      <w:r>
        <w:rPr>
          <w:sz w:val="24"/>
          <w:szCs w:val="24"/>
        </w:rPr>
        <w:t>.</w:t>
      </w:r>
    </w:p>
    <w:p w:rsidR="00414231" w:rsidRDefault="00414231" w:rsidP="00414231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414231">
        <w:rPr>
          <w:sz w:val="24"/>
          <w:szCs w:val="24"/>
        </w:rPr>
        <w:t>Na maioria dos sucos de frutas existentes eles são ricos em ácido ascórbico como na laranja</w:t>
      </w:r>
      <w:r w:rsidR="00E65C3A">
        <w:rPr>
          <w:sz w:val="24"/>
          <w:szCs w:val="24"/>
        </w:rPr>
        <w:t>, sendo essa vitamina hidrossolúvel,</w:t>
      </w:r>
      <w:r w:rsidRPr="00414231">
        <w:rPr>
          <w:sz w:val="24"/>
          <w:szCs w:val="24"/>
        </w:rPr>
        <w:t xml:space="preserve"> participa da síntese de colágeno, atua como antioxidante para facilita a absorção de ferro no trato intestinal e promove prevenção</w:t>
      </w:r>
      <w:r w:rsidR="00BE66FC">
        <w:rPr>
          <w:sz w:val="24"/>
          <w:szCs w:val="24"/>
        </w:rPr>
        <w:t xml:space="preserve"> </w:t>
      </w:r>
      <w:r w:rsidRPr="00414231">
        <w:rPr>
          <w:sz w:val="24"/>
          <w:szCs w:val="24"/>
        </w:rPr>
        <w:t>de res</w:t>
      </w:r>
      <w:r w:rsidR="00263E82">
        <w:rPr>
          <w:sz w:val="24"/>
          <w:szCs w:val="24"/>
        </w:rPr>
        <w:t>friados no geral.  Segundo</w:t>
      </w:r>
      <w:r w:rsidRPr="00414231">
        <w:rPr>
          <w:sz w:val="24"/>
          <w:szCs w:val="24"/>
        </w:rPr>
        <w:t xml:space="preserve"> Matsuura e Rolim</w:t>
      </w:r>
      <w:r w:rsidR="0023280F">
        <w:rPr>
          <w:sz w:val="24"/>
          <w:szCs w:val="24"/>
        </w:rPr>
        <w:t xml:space="preserve"> (2002)</w:t>
      </w:r>
      <w:r w:rsidR="008765B6">
        <w:rPr>
          <w:sz w:val="24"/>
          <w:szCs w:val="24"/>
        </w:rPr>
        <w:t xml:space="preserve"> </w:t>
      </w:r>
      <w:r w:rsidRPr="00414231">
        <w:rPr>
          <w:sz w:val="24"/>
          <w:szCs w:val="24"/>
        </w:rPr>
        <w:t>algumas frutas</w:t>
      </w:r>
      <w:r w:rsidR="008765B6">
        <w:rPr>
          <w:sz w:val="24"/>
          <w:szCs w:val="24"/>
        </w:rPr>
        <w:t xml:space="preserve"> </w:t>
      </w:r>
      <w:r w:rsidRPr="00414231">
        <w:rPr>
          <w:sz w:val="24"/>
          <w:szCs w:val="24"/>
        </w:rPr>
        <w:t>possuem baixo teor de vitamina C, como é o caso do abacaxi, fruta na qual o valor nutritivo se resume basicamente ao valor energético, já que possui uma elevada composição de açúcares no seu meio.</w:t>
      </w:r>
    </w:p>
    <w:p w:rsidR="00E36180" w:rsidRPr="00E36180" w:rsidRDefault="00E36180" w:rsidP="00E36180">
      <w:pPr>
        <w:tabs>
          <w:tab w:val="left" w:pos="709"/>
        </w:tabs>
        <w:spacing w:line="360" w:lineRule="auto"/>
        <w:ind w:firstLine="709"/>
        <w:jc w:val="both"/>
        <w:rPr>
          <w:rFonts w:ascii="ArialMT" w:hAnsi="ArialMT"/>
          <w:color w:val="000000"/>
          <w:sz w:val="24"/>
          <w:szCs w:val="24"/>
        </w:rPr>
      </w:pPr>
      <w:r w:rsidRPr="00E36180">
        <w:rPr>
          <w:rFonts w:ascii="ArialMT" w:hAnsi="ArialMT"/>
          <w:color w:val="000000"/>
          <w:sz w:val="24"/>
          <w:szCs w:val="24"/>
        </w:rPr>
        <w:t>De acordo com o Artigo 5º da Lei nº 8.918, o suco</w:t>
      </w:r>
      <w:r>
        <w:rPr>
          <w:rFonts w:ascii="ArialMT" w:hAnsi="ArialMT"/>
          <w:color w:val="000000"/>
          <w:sz w:val="24"/>
          <w:szCs w:val="24"/>
        </w:rPr>
        <w:t xml:space="preserve"> industrializado</w:t>
      </w:r>
      <w:r w:rsidRPr="00E36180">
        <w:rPr>
          <w:rFonts w:ascii="ArialMT" w:hAnsi="ArialMT"/>
          <w:color w:val="000000"/>
          <w:sz w:val="24"/>
          <w:szCs w:val="24"/>
        </w:rPr>
        <w:t xml:space="preserve"> é definido como </w:t>
      </w:r>
      <w:r>
        <w:rPr>
          <w:rFonts w:ascii="ArialMT" w:hAnsi="ArialMT"/>
          <w:color w:val="000000"/>
          <w:sz w:val="24"/>
          <w:szCs w:val="24"/>
        </w:rPr>
        <w:t>um tipo de</w:t>
      </w:r>
      <w:r w:rsidRPr="00E36180">
        <w:rPr>
          <w:rFonts w:ascii="ArialMT" w:hAnsi="ArialMT"/>
          <w:color w:val="000000"/>
          <w:sz w:val="24"/>
          <w:szCs w:val="24"/>
        </w:rPr>
        <w:t xml:space="preserve"> bebida </w:t>
      </w:r>
      <w:r>
        <w:rPr>
          <w:rFonts w:ascii="ArialMT" w:hAnsi="ArialMT"/>
          <w:color w:val="000000"/>
          <w:sz w:val="24"/>
          <w:szCs w:val="24"/>
        </w:rPr>
        <w:t xml:space="preserve">e </w:t>
      </w:r>
      <w:r w:rsidRPr="00E36180">
        <w:rPr>
          <w:rFonts w:ascii="ArialMT" w:hAnsi="ArialMT"/>
          <w:color w:val="000000"/>
          <w:sz w:val="24"/>
          <w:szCs w:val="24"/>
        </w:rPr>
        <w:t>não</w:t>
      </w:r>
      <w:r w:rsidR="00263E82">
        <w:rPr>
          <w:rFonts w:ascii="ArialMT" w:hAnsi="ArialMT"/>
          <w:color w:val="000000"/>
          <w:sz w:val="24"/>
          <w:szCs w:val="24"/>
        </w:rPr>
        <w:t xml:space="preserve"> </w:t>
      </w:r>
      <w:r w:rsidRPr="00E36180">
        <w:rPr>
          <w:rFonts w:ascii="ArialMT" w:hAnsi="ArialMT"/>
          <w:color w:val="000000"/>
          <w:sz w:val="24"/>
          <w:szCs w:val="24"/>
        </w:rPr>
        <w:t xml:space="preserve">fermentada, não concentrada e não diluída, obtida da </w:t>
      </w:r>
      <w:r>
        <w:rPr>
          <w:rFonts w:ascii="ArialMT" w:hAnsi="ArialMT"/>
          <w:color w:val="000000"/>
          <w:sz w:val="24"/>
          <w:szCs w:val="24"/>
        </w:rPr>
        <w:t xml:space="preserve">parte comestível da laranja, através de processos </w:t>
      </w:r>
      <w:r>
        <w:rPr>
          <w:rFonts w:ascii="ArialMT" w:hAnsi="ArialMT" w:hint="eastAsia"/>
          <w:color w:val="000000"/>
          <w:sz w:val="24"/>
          <w:szCs w:val="24"/>
        </w:rPr>
        <w:t>tecnológicos</w:t>
      </w:r>
      <w:r>
        <w:rPr>
          <w:rFonts w:ascii="ArialMT" w:hAnsi="ArialMT"/>
          <w:color w:val="000000"/>
          <w:sz w:val="24"/>
          <w:szCs w:val="24"/>
        </w:rPr>
        <w:t xml:space="preserve"> adequados, submetidas a tratamentos que assegurem a sua conservação até o momento do consumo </w:t>
      </w:r>
      <w:r w:rsidRPr="00E36180">
        <w:rPr>
          <w:rFonts w:ascii="ArialMT" w:hAnsi="ArialMT"/>
          <w:color w:val="000000"/>
          <w:sz w:val="24"/>
          <w:szCs w:val="24"/>
        </w:rPr>
        <w:t>(BRASIL, 1994).</w:t>
      </w:r>
    </w:p>
    <w:p w:rsidR="00086A19" w:rsidRDefault="00E36180" w:rsidP="0025391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do suco de laranja, o néctar também é uma opção para os consumidores de </w:t>
      </w:r>
      <w:r w:rsidR="00124801">
        <w:rPr>
          <w:sz w:val="24"/>
          <w:szCs w:val="24"/>
        </w:rPr>
        <w:t>bebida à base de laranja (QUEIROZ; MENEZES, 2005)</w:t>
      </w:r>
      <w:r>
        <w:rPr>
          <w:sz w:val="24"/>
          <w:szCs w:val="24"/>
        </w:rPr>
        <w:t xml:space="preserve">. O que difere o néctar do </w:t>
      </w:r>
      <w:r w:rsidR="00435C07">
        <w:rPr>
          <w:sz w:val="24"/>
          <w:szCs w:val="24"/>
        </w:rPr>
        <w:t xml:space="preserve">suco é o fato de possuir menor teor de suco (ingrediente de maior custo), </w:t>
      </w:r>
      <w:r w:rsidR="0025391D">
        <w:rPr>
          <w:sz w:val="24"/>
          <w:szCs w:val="24"/>
        </w:rPr>
        <w:t>e o néctar pode conter em sua composição química adoçantes, corantes e conservantes, e, aditivos mais baratos para as indústrias, a</w:t>
      </w:r>
      <w:r w:rsidR="00124801">
        <w:rPr>
          <w:sz w:val="24"/>
          <w:szCs w:val="24"/>
        </w:rPr>
        <w:t>o contrário do suco 100% (VENÂNCIO; MARTINS, 2012)</w:t>
      </w:r>
      <w:r w:rsidR="0025391D">
        <w:rPr>
          <w:sz w:val="24"/>
          <w:szCs w:val="24"/>
        </w:rPr>
        <w:t>, com isso o preço final dos néctares é menor do que os preços dos outros sucos</w:t>
      </w:r>
      <w:r w:rsidR="00124801">
        <w:rPr>
          <w:sz w:val="24"/>
          <w:szCs w:val="24"/>
        </w:rPr>
        <w:t xml:space="preserve"> de laranja</w:t>
      </w:r>
      <w:r w:rsidR="0025391D">
        <w:rPr>
          <w:sz w:val="24"/>
          <w:szCs w:val="24"/>
        </w:rPr>
        <w:t>.</w:t>
      </w:r>
    </w:p>
    <w:p w:rsidR="00512183" w:rsidRDefault="00512183" w:rsidP="0025391D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Correa Neto e Faria (1999), os fatores microbiológicos, enzimáticos, químicos e físicos comprometem as características organolépticas (aroma, sabor, cor, consistência, </w:t>
      </w:r>
      <w:r>
        <w:rPr>
          <w:sz w:val="24"/>
          <w:szCs w:val="24"/>
        </w:rPr>
        <w:lastRenderedPageBreak/>
        <w:t>instabilidade da turbidez, separação de fases, sólido/líquido) e nutricionais dos sucos industrializados influenciando a qualidade dos mesmos.</w:t>
      </w:r>
    </w:p>
    <w:p w:rsidR="00E36180" w:rsidRDefault="001E2B14" w:rsidP="00810D9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1E2B14">
        <w:rPr>
          <w:sz w:val="24"/>
          <w:szCs w:val="24"/>
        </w:rPr>
        <w:t>Os sucos industrializados, para serem considerados de boa qualidade, devem apresentar atributos semelhantes ao do produto</w:t>
      </w:r>
      <w:r w:rsidR="006D71B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in natura</w:t>
      </w:r>
      <w:r w:rsidR="00771C66">
        <w:rPr>
          <w:sz w:val="24"/>
          <w:szCs w:val="24"/>
        </w:rPr>
        <w:t xml:space="preserve"> (LIMA; MELO; LIMA, 2000)</w:t>
      </w:r>
      <w:r w:rsidRPr="001E2B14">
        <w:rPr>
          <w:sz w:val="24"/>
          <w:szCs w:val="24"/>
        </w:rPr>
        <w:t>.</w:t>
      </w:r>
      <w:r>
        <w:rPr>
          <w:sz w:val="24"/>
          <w:szCs w:val="24"/>
        </w:rPr>
        <w:t xml:space="preserve"> Para isso, a fiscalização promovida pelo Ministério da Agricultura, Pecuária e Abastecimento (MAPA) tem o objetivo de garantir à população produtos com a qualidade certificada.</w:t>
      </w:r>
    </w:p>
    <w:p w:rsidR="00810D9F" w:rsidRDefault="00810D9F" w:rsidP="00810D9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dessas informações este trabalho objetivou analisar os parâmetros físico-químicos de sucos e néctares de laranja comercializados, envasados em embalagem Tetra-Pak, e compará-los com o regulamento técnico </w:t>
      </w:r>
      <w:r w:rsidR="00A21AF3">
        <w:rPr>
          <w:sz w:val="24"/>
          <w:szCs w:val="24"/>
        </w:rPr>
        <w:t>dos padrões de qualidade estabelecidos pelo M</w:t>
      </w:r>
      <w:r w:rsidR="00BF200E">
        <w:rPr>
          <w:sz w:val="24"/>
          <w:szCs w:val="24"/>
        </w:rPr>
        <w:t>APA</w:t>
      </w:r>
      <w:r>
        <w:rPr>
          <w:sz w:val="24"/>
          <w:szCs w:val="24"/>
        </w:rPr>
        <w:t>.</w:t>
      </w:r>
    </w:p>
    <w:p w:rsidR="00BF200E" w:rsidRDefault="00BF200E" w:rsidP="00810D9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12462E" w:rsidRPr="0096111D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4"/>
        </w:rPr>
      </w:pPr>
      <w:r w:rsidRPr="0096111D">
        <w:rPr>
          <w:b/>
          <w:sz w:val="24"/>
          <w:szCs w:val="24"/>
        </w:rPr>
        <w:t>2. MATERIAL E MÉTODOS</w:t>
      </w:r>
    </w:p>
    <w:p w:rsidR="007D7A64" w:rsidRDefault="007D7A64" w:rsidP="007D7A64">
      <w:pPr>
        <w:jc w:val="both"/>
        <w:rPr>
          <w:sz w:val="24"/>
          <w:szCs w:val="24"/>
        </w:rPr>
      </w:pPr>
      <w:r>
        <w:rPr>
          <w:sz w:val="24"/>
          <w:szCs w:val="24"/>
        </w:rPr>
        <w:t>2.1 AMOSTRAS</w:t>
      </w:r>
    </w:p>
    <w:p w:rsidR="00771C66" w:rsidRDefault="00771C66" w:rsidP="007D7A64">
      <w:pPr>
        <w:jc w:val="both"/>
        <w:rPr>
          <w:sz w:val="24"/>
          <w:szCs w:val="24"/>
        </w:rPr>
      </w:pPr>
    </w:p>
    <w:p w:rsidR="00C236B2" w:rsidRDefault="002F64F8" w:rsidP="005A71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Foram analisado</w:t>
      </w:r>
      <w:r w:rsidR="00F10F60">
        <w:rPr>
          <w:sz w:val="24"/>
          <w:szCs w:val="24"/>
        </w:rPr>
        <w:t>s o</w:t>
      </w:r>
      <w:r w:rsidR="001E1C8E">
        <w:rPr>
          <w:sz w:val="24"/>
          <w:szCs w:val="24"/>
        </w:rPr>
        <w:t>s sucos de laranja industrializados, envasados em embalagens ‘Tetra-Pak”</w:t>
      </w:r>
      <w:r w:rsidR="00F10F60">
        <w:rPr>
          <w:sz w:val="24"/>
          <w:szCs w:val="24"/>
        </w:rPr>
        <w:t>, de</w:t>
      </w:r>
      <w:r w:rsidR="00BF200E">
        <w:rPr>
          <w:sz w:val="24"/>
          <w:szCs w:val="24"/>
        </w:rPr>
        <w:t xml:space="preserve"> </w:t>
      </w:r>
      <w:r w:rsidR="00C236B2">
        <w:rPr>
          <w:sz w:val="24"/>
          <w:szCs w:val="24"/>
        </w:rPr>
        <w:t>oito marcas e tipos diferentes, como demonstrado no Quadro 1, adquiridos em diferentes supermercados da cidade de Belém, PA, durante setembro de 2018.</w:t>
      </w:r>
    </w:p>
    <w:p w:rsidR="00C236B2" w:rsidRDefault="00C236B2" w:rsidP="00CE5F9C">
      <w:pPr>
        <w:ind w:firstLine="709"/>
        <w:jc w:val="both"/>
        <w:rPr>
          <w:sz w:val="24"/>
          <w:szCs w:val="24"/>
        </w:rPr>
      </w:pPr>
    </w:p>
    <w:p w:rsidR="00A822D5" w:rsidRPr="00555769" w:rsidRDefault="00A822D5" w:rsidP="00C236B2">
      <w:pPr>
        <w:pStyle w:val="Legenda"/>
        <w:keepNext/>
        <w:spacing w:after="0"/>
        <w:rPr>
          <w:rFonts w:ascii="Times New Roman" w:hAnsi="Times New Roman"/>
          <w:i w:val="0"/>
          <w:color w:val="auto"/>
          <w:sz w:val="22"/>
          <w:szCs w:val="22"/>
        </w:rPr>
      </w:pPr>
      <w:r w:rsidRPr="00555769">
        <w:rPr>
          <w:rFonts w:ascii="Times New Roman" w:hAnsi="Times New Roman"/>
          <w:i w:val="0"/>
          <w:color w:val="auto"/>
          <w:sz w:val="22"/>
          <w:szCs w:val="22"/>
        </w:rPr>
        <w:t xml:space="preserve">Quadro </w:t>
      </w:r>
      <w:r w:rsidR="002F3ABE" w:rsidRPr="00555769">
        <w:rPr>
          <w:rFonts w:ascii="Times New Roman" w:hAnsi="Times New Roman"/>
          <w:i w:val="0"/>
          <w:color w:val="auto"/>
          <w:sz w:val="22"/>
          <w:szCs w:val="22"/>
        </w:rPr>
        <w:fldChar w:fldCharType="begin"/>
      </w:r>
      <w:r w:rsidRPr="00555769">
        <w:rPr>
          <w:rFonts w:ascii="Times New Roman" w:hAnsi="Times New Roman"/>
          <w:i w:val="0"/>
          <w:color w:val="auto"/>
          <w:sz w:val="22"/>
          <w:szCs w:val="22"/>
        </w:rPr>
        <w:instrText xml:space="preserve"> SEQ Tabela \* ARABIC </w:instrText>
      </w:r>
      <w:r w:rsidR="002F3ABE" w:rsidRPr="00555769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555769">
        <w:rPr>
          <w:rFonts w:ascii="Times New Roman" w:hAnsi="Times New Roman"/>
          <w:i w:val="0"/>
          <w:noProof/>
          <w:color w:val="auto"/>
          <w:sz w:val="22"/>
          <w:szCs w:val="22"/>
        </w:rPr>
        <w:t>1</w:t>
      </w:r>
      <w:r w:rsidR="002F3ABE" w:rsidRPr="00555769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555769">
        <w:rPr>
          <w:rFonts w:ascii="Times New Roman" w:hAnsi="Times New Roman"/>
          <w:i w:val="0"/>
          <w:color w:val="auto"/>
          <w:sz w:val="22"/>
          <w:szCs w:val="22"/>
        </w:rPr>
        <w:t xml:space="preserve"> – </w:t>
      </w:r>
      <w:r w:rsidRPr="00A822D5">
        <w:rPr>
          <w:rFonts w:ascii="Times New Roman" w:hAnsi="Times New Roman"/>
          <w:i w:val="0"/>
          <w:color w:val="auto"/>
          <w:sz w:val="22"/>
          <w:szCs w:val="22"/>
        </w:rPr>
        <w:t>Sucos de laranja industrializados analisados segundo a forma de marca, tipo e % de suco</w:t>
      </w:r>
      <w:r>
        <w:rPr>
          <w:rFonts w:ascii="Times New Roman" w:hAnsi="Times New Roman"/>
          <w:i w:val="0"/>
          <w:color w:val="auto"/>
          <w:sz w:val="22"/>
          <w:szCs w:val="22"/>
        </w:rPr>
        <w:t xml:space="preserve"> informado</w:t>
      </w:r>
      <w:r w:rsidRPr="00A822D5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tbl>
      <w:tblPr>
        <w:tblStyle w:val="Tabelacomgrade1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694"/>
        <w:gridCol w:w="3685"/>
        <w:gridCol w:w="2977"/>
      </w:tblGrid>
      <w:tr w:rsidR="00A822D5" w:rsidRPr="00555769" w:rsidTr="000D0EF1"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822D5" w:rsidRPr="00555769" w:rsidRDefault="00A822D5" w:rsidP="005175DE">
            <w:pPr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Marca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22D5" w:rsidRPr="00555769" w:rsidRDefault="00A822D5" w:rsidP="005175DE">
            <w:pPr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22D5" w:rsidRPr="00555769" w:rsidRDefault="00A822D5" w:rsidP="005175DE">
            <w:pPr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de suco</w:t>
            </w:r>
          </w:p>
        </w:tc>
      </w:tr>
      <w:tr w:rsidR="00A822D5" w:rsidRPr="00555769" w:rsidTr="000D0EF1">
        <w:tc>
          <w:tcPr>
            <w:tcW w:w="2694" w:type="dxa"/>
            <w:tcBorders>
              <w:top w:val="single" w:sz="12" w:space="0" w:color="auto"/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fruta</w:t>
            </w:r>
            <w:r w:rsidR="00901F22">
              <w:rPr>
                <w:b/>
                <w:sz w:val="22"/>
                <w:szCs w:val="22"/>
              </w:rPr>
              <w:t xml:space="preserve"> Premium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Néctar misto de laranja e maçã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822D5" w:rsidRPr="00555769" w:rsidTr="000D0EF1">
        <w:tc>
          <w:tcPr>
            <w:tcW w:w="2694" w:type="dxa"/>
            <w:tcBorders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 Valle Kapo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A822D5" w:rsidRPr="00555769" w:rsidRDefault="0058632F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Suco misto</w:t>
            </w:r>
            <w:r w:rsidR="000D0EF1">
              <w:rPr>
                <w:sz w:val="22"/>
                <w:szCs w:val="22"/>
              </w:rPr>
              <w:t xml:space="preserve"> adoçad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A822D5" w:rsidRPr="00555769" w:rsidTr="000D0EF1">
        <w:tc>
          <w:tcPr>
            <w:tcW w:w="2694" w:type="dxa"/>
            <w:tcBorders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Mais Vita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Suco </w:t>
            </w:r>
            <w:r w:rsidR="00D5148E">
              <w:rPr>
                <w:sz w:val="22"/>
                <w:szCs w:val="22"/>
              </w:rPr>
              <w:t>de laranja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NI*</w:t>
            </w:r>
          </w:p>
        </w:tc>
      </w:tr>
      <w:tr w:rsidR="00A822D5" w:rsidRPr="00555769" w:rsidTr="000D0EF1">
        <w:tc>
          <w:tcPr>
            <w:tcW w:w="2694" w:type="dxa"/>
            <w:tcBorders>
              <w:bottom w:val="single" w:sz="4" w:space="0" w:color="auto"/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Maratá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Néctar de laranja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236B2">
              <w:rPr>
                <w:sz w:val="22"/>
                <w:szCs w:val="22"/>
              </w:rPr>
              <w:t>5</w:t>
            </w:r>
          </w:p>
        </w:tc>
      </w:tr>
      <w:tr w:rsidR="00A822D5" w:rsidRPr="00555769" w:rsidTr="000D0EF1">
        <w:tc>
          <w:tcPr>
            <w:tcW w:w="2694" w:type="dxa"/>
            <w:tcBorders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Maguary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A822D5" w:rsidRPr="00555769" w:rsidRDefault="000D0EF1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Néctar de laranja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A822D5" w:rsidRPr="00555769" w:rsidRDefault="00C236B2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0D0EF1" w:rsidRPr="00555769" w:rsidTr="000D0EF1">
        <w:tc>
          <w:tcPr>
            <w:tcW w:w="2694" w:type="dxa"/>
            <w:tcBorders>
              <w:right w:val="nil"/>
            </w:tcBorders>
          </w:tcPr>
          <w:p w:rsidR="000D0EF1" w:rsidRDefault="00C236B2" w:rsidP="005175DE">
            <w:pPr>
              <w:spacing w:line="36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Maguary</w:t>
            </w:r>
            <w:r w:rsidR="007848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VitaKids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D0EF1" w:rsidRDefault="00C236B2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Néctar de laranja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0D0EF1" w:rsidRDefault="00C236B2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0D0EF1" w:rsidRPr="00555769" w:rsidTr="000D0EF1">
        <w:tc>
          <w:tcPr>
            <w:tcW w:w="2694" w:type="dxa"/>
            <w:tcBorders>
              <w:right w:val="nil"/>
            </w:tcBorders>
          </w:tcPr>
          <w:p w:rsidR="000D0EF1" w:rsidRDefault="00C236B2" w:rsidP="005175DE">
            <w:pPr>
              <w:spacing w:line="36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Vigor Vig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D0EF1" w:rsidRDefault="0058632F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Suco</w:t>
            </w:r>
            <w:r w:rsidR="00C236B2">
              <w:rPr>
                <w:sz w:val="22"/>
                <w:szCs w:val="22"/>
              </w:rPr>
              <w:t xml:space="preserve"> de fruta adoçad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0D0EF1" w:rsidRDefault="00C236B2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0D0EF1" w:rsidRPr="00555769" w:rsidTr="000D0EF1">
        <w:tc>
          <w:tcPr>
            <w:tcW w:w="2694" w:type="dxa"/>
            <w:tcBorders>
              <w:bottom w:val="single" w:sz="12" w:space="0" w:color="auto"/>
              <w:right w:val="nil"/>
            </w:tcBorders>
          </w:tcPr>
          <w:p w:rsidR="000D0EF1" w:rsidRDefault="00C236B2" w:rsidP="005175DE">
            <w:pPr>
              <w:spacing w:line="360" w:lineRule="auto"/>
              <w:ind w:lef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 Jandaia</w:t>
            </w:r>
          </w:p>
        </w:tc>
        <w:tc>
          <w:tcPr>
            <w:tcW w:w="3685" w:type="dxa"/>
            <w:tcBorders>
              <w:left w:val="nil"/>
              <w:bottom w:val="single" w:sz="12" w:space="0" w:color="auto"/>
              <w:right w:val="nil"/>
            </w:tcBorders>
          </w:tcPr>
          <w:p w:rsidR="000D0EF1" w:rsidRDefault="00C236B2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Suco </w:t>
            </w:r>
            <w:r w:rsidR="00D5148E">
              <w:rPr>
                <w:sz w:val="22"/>
                <w:szCs w:val="22"/>
              </w:rPr>
              <w:t>de laranja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nil"/>
            </w:tcBorders>
          </w:tcPr>
          <w:p w:rsidR="000D0EF1" w:rsidRDefault="00C236B2" w:rsidP="005175DE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236B2" w:rsidRDefault="00C236B2" w:rsidP="00C236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*NI = Não Informado.</w:t>
      </w:r>
    </w:p>
    <w:p w:rsidR="00A822D5" w:rsidRDefault="00C236B2" w:rsidP="00C236B2">
      <w:pPr>
        <w:ind w:firstLine="709"/>
        <w:jc w:val="both"/>
        <w:rPr>
          <w:sz w:val="24"/>
          <w:szCs w:val="24"/>
        </w:rPr>
      </w:pPr>
      <w:r>
        <w:rPr>
          <w:sz w:val="22"/>
          <w:szCs w:val="22"/>
        </w:rPr>
        <w:t>Fonte: Autores (2018</w:t>
      </w:r>
      <w:r w:rsidR="00A822D5" w:rsidRPr="00555769">
        <w:rPr>
          <w:sz w:val="22"/>
          <w:szCs w:val="22"/>
        </w:rPr>
        <w:t>).</w:t>
      </w:r>
    </w:p>
    <w:p w:rsidR="00A822D5" w:rsidRDefault="00A822D5" w:rsidP="00CE5F9C">
      <w:pPr>
        <w:ind w:firstLine="709"/>
        <w:jc w:val="both"/>
        <w:rPr>
          <w:sz w:val="24"/>
          <w:szCs w:val="24"/>
        </w:rPr>
      </w:pPr>
    </w:p>
    <w:p w:rsidR="00386912" w:rsidRDefault="00386912" w:rsidP="00CE5F9C">
      <w:pPr>
        <w:ind w:firstLine="709"/>
        <w:jc w:val="both"/>
        <w:rPr>
          <w:sz w:val="24"/>
          <w:szCs w:val="24"/>
        </w:rPr>
      </w:pPr>
    </w:p>
    <w:p w:rsidR="00E16234" w:rsidRDefault="00CE5F9C" w:rsidP="005A71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 sucos de laranja industrializados</w:t>
      </w:r>
      <w:r w:rsidR="007A3BE4">
        <w:rPr>
          <w:sz w:val="24"/>
          <w:szCs w:val="24"/>
        </w:rPr>
        <w:t xml:space="preserve"> foram</w:t>
      </w:r>
      <w:r>
        <w:rPr>
          <w:sz w:val="24"/>
          <w:szCs w:val="24"/>
        </w:rPr>
        <w:t xml:space="preserve"> analisados, em triplicata, para determinação do pH</w:t>
      </w:r>
      <w:r w:rsidR="00C236B2">
        <w:rPr>
          <w:sz w:val="24"/>
          <w:szCs w:val="24"/>
        </w:rPr>
        <w:t xml:space="preserve"> endógeno</w:t>
      </w:r>
      <w:r>
        <w:rPr>
          <w:sz w:val="24"/>
          <w:szCs w:val="24"/>
        </w:rPr>
        <w:t>, teor d</w:t>
      </w:r>
      <w:r w:rsidR="009D0282">
        <w:rPr>
          <w:sz w:val="24"/>
          <w:szCs w:val="24"/>
        </w:rPr>
        <w:t>e sólidos solúveis totais (SST</w:t>
      </w:r>
      <w:r>
        <w:rPr>
          <w:sz w:val="24"/>
          <w:szCs w:val="24"/>
        </w:rPr>
        <w:t>), acidez titulável</w:t>
      </w:r>
      <w:r w:rsidR="002E77A5">
        <w:rPr>
          <w:sz w:val="24"/>
          <w:szCs w:val="24"/>
        </w:rPr>
        <w:t xml:space="preserve"> (% teor de acidez)</w:t>
      </w:r>
      <w:r>
        <w:rPr>
          <w:sz w:val="24"/>
          <w:szCs w:val="24"/>
        </w:rPr>
        <w:t>,</w:t>
      </w:r>
      <w:r w:rsidR="002E77A5">
        <w:rPr>
          <w:sz w:val="24"/>
          <w:szCs w:val="24"/>
        </w:rPr>
        <w:t xml:space="preserve"> acidez total titulável (ATT), e</w:t>
      </w:r>
      <w:r w:rsidR="00723F8E">
        <w:rPr>
          <w:sz w:val="24"/>
          <w:szCs w:val="24"/>
        </w:rPr>
        <w:t xml:space="preserve"> </w:t>
      </w:r>
      <w:r w:rsidRPr="00CE5F9C">
        <w:rPr>
          <w:i/>
          <w:sz w:val="24"/>
          <w:szCs w:val="24"/>
        </w:rPr>
        <w:t>ratio</w:t>
      </w:r>
      <w:r w:rsidR="002E77A5">
        <w:rPr>
          <w:sz w:val="24"/>
          <w:szCs w:val="24"/>
        </w:rPr>
        <w:t xml:space="preserve"> (relação SST/ATT),</w:t>
      </w:r>
      <w:r w:rsidR="007A3BE4">
        <w:rPr>
          <w:sz w:val="24"/>
          <w:szCs w:val="24"/>
        </w:rPr>
        <w:t xml:space="preserve"> no laboratório de Pesquisa, do Instituto Federal de Educação, Ciência e Tecnologia do Pará, campus Belém</w:t>
      </w:r>
      <w:r w:rsidR="00881FA0">
        <w:rPr>
          <w:sz w:val="24"/>
          <w:szCs w:val="24"/>
        </w:rPr>
        <w:t>, durante setembro de 2018</w:t>
      </w:r>
      <w:r w:rsidR="007A3BE4">
        <w:rPr>
          <w:sz w:val="24"/>
          <w:szCs w:val="24"/>
        </w:rPr>
        <w:t>.</w:t>
      </w:r>
    </w:p>
    <w:p w:rsidR="007D7A64" w:rsidRDefault="007D7A64" w:rsidP="007D7A64">
      <w:pPr>
        <w:jc w:val="both"/>
        <w:rPr>
          <w:sz w:val="24"/>
          <w:szCs w:val="24"/>
        </w:rPr>
      </w:pPr>
    </w:p>
    <w:p w:rsidR="007D7A64" w:rsidRDefault="007D7A64" w:rsidP="007D7A64">
      <w:pPr>
        <w:jc w:val="both"/>
        <w:rPr>
          <w:sz w:val="24"/>
          <w:szCs w:val="24"/>
        </w:rPr>
      </w:pPr>
      <w:r>
        <w:rPr>
          <w:sz w:val="24"/>
          <w:szCs w:val="24"/>
        </w:rPr>
        <w:t>2.2 DETERMINAÇÃO DE pH ENDÓGENO</w:t>
      </w:r>
    </w:p>
    <w:p w:rsidR="00386912" w:rsidRDefault="00386912" w:rsidP="005A7110">
      <w:pPr>
        <w:spacing w:line="360" w:lineRule="auto"/>
        <w:ind w:firstLine="709"/>
        <w:jc w:val="both"/>
        <w:rPr>
          <w:sz w:val="24"/>
          <w:szCs w:val="24"/>
        </w:rPr>
      </w:pPr>
    </w:p>
    <w:p w:rsidR="00C236B2" w:rsidRDefault="00C236B2" w:rsidP="005A71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medidas de pH</w:t>
      </w:r>
      <w:r w:rsidR="00711EE3">
        <w:rPr>
          <w:sz w:val="24"/>
          <w:szCs w:val="24"/>
        </w:rPr>
        <w:t xml:space="preserve"> endógeno</w:t>
      </w:r>
      <w:r>
        <w:rPr>
          <w:sz w:val="24"/>
          <w:szCs w:val="24"/>
        </w:rPr>
        <w:t xml:space="preserve"> foram feitas após a abertura das embalagens. Para ist</w:t>
      </w:r>
      <w:r w:rsidR="00D5148E">
        <w:rPr>
          <w:sz w:val="24"/>
          <w:szCs w:val="24"/>
        </w:rPr>
        <w:t>o, utilizou-se do potenciômetro</w:t>
      </w:r>
      <w:r w:rsidR="005A542D">
        <w:rPr>
          <w:sz w:val="24"/>
          <w:szCs w:val="24"/>
        </w:rPr>
        <w:t>, com uma acurácia de 0,1</w:t>
      </w:r>
      <w:r w:rsidR="00C861AD">
        <w:rPr>
          <w:sz w:val="24"/>
          <w:szCs w:val="24"/>
        </w:rPr>
        <w:t>, temperatura de 26°C (</w:t>
      </w:r>
      <w:r w:rsidR="00711EE3">
        <w:rPr>
          <w:sz w:val="24"/>
          <w:szCs w:val="24"/>
        </w:rPr>
        <w:t>±</w:t>
      </w:r>
      <w:r w:rsidR="00C861AD">
        <w:rPr>
          <w:sz w:val="24"/>
          <w:szCs w:val="24"/>
        </w:rPr>
        <w:t>2</w:t>
      </w:r>
      <w:r w:rsidR="00772AEE">
        <w:rPr>
          <w:sz w:val="24"/>
          <w:szCs w:val="24"/>
        </w:rPr>
        <w:t>).</w:t>
      </w:r>
    </w:p>
    <w:p w:rsidR="007D7A64" w:rsidRDefault="007D7A64" w:rsidP="00CE5F9C">
      <w:pPr>
        <w:ind w:firstLine="709"/>
        <w:jc w:val="both"/>
        <w:rPr>
          <w:sz w:val="24"/>
          <w:szCs w:val="24"/>
        </w:rPr>
      </w:pPr>
    </w:p>
    <w:p w:rsidR="007D7A64" w:rsidRDefault="007D7A64" w:rsidP="007D7A64">
      <w:pPr>
        <w:jc w:val="both"/>
        <w:rPr>
          <w:sz w:val="24"/>
          <w:szCs w:val="24"/>
        </w:rPr>
      </w:pPr>
      <w:r>
        <w:rPr>
          <w:sz w:val="24"/>
          <w:szCs w:val="24"/>
        </w:rPr>
        <w:t>2.3 DETERMINAÇÃO DOS SÓLIDOS SOLÚVEIS TOTAIS (SST)</w:t>
      </w:r>
    </w:p>
    <w:p w:rsidR="00771C66" w:rsidRDefault="00771C66" w:rsidP="005A7110">
      <w:pPr>
        <w:spacing w:line="360" w:lineRule="auto"/>
        <w:ind w:firstLine="709"/>
        <w:jc w:val="both"/>
        <w:rPr>
          <w:sz w:val="24"/>
          <w:szCs w:val="24"/>
        </w:rPr>
      </w:pPr>
    </w:p>
    <w:p w:rsidR="00B61A79" w:rsidRDefault="00B61A79" w:rsidP="005A7110">
      <w:pPr>
        <w:spacing w:line="360" w:lineRule="auto"/>
        <w:ind w:firstLine="709"/>
        <w:jc w:val="both"/>
        <w:rPr>
          <w:sz w:val="24"/>
          <w:szCs w:val="24"/>
        </w:rPr>
      </w:pPr>
      <w:r w:rsidRPr="00B61A79">
        <w:rPr>
          <w:sz w:val="24"/>
          <w:szCs w:val="24"/>
        </w:rPr>
        <w:t>O método para determinação de SST foi baseado na modificação do índice de</w:t>
      </w:r>
      <w:r w:rsidRPr="00B61A79">
        <w:rPr>
          <w:sz w:val="24"/>
          <w:szCs w:val="24"/>
        </w:rPr>
        <w:br/>
        <w:t>refração da solução utilizando um</w:t>
      </w:r>
      <w:r w:rsidR="00852C1F">
        <w:rPr>
          <w:sz w:val="24"/>
          <w:szCs w:val="24"/>
        </w:rPr>
        <w:t xml:space="preserve"> </w:t>
      </w:r>
      <w:r w:rsidRPr="00B61A79">
        <w:rPr>
          <w:sz w:val="24"/>
          <w:szCs w:val="24"/>
        </w:rPr>
        <w:t>refratômetro automático (Rudolph Research-J157), corrigindo para 20°C</w:t>
      </w:r>
      <w:r w:rsidR="00723F8E">
        <w:rPr>
          <w:sz w:val="24"/>
          <w:szCs w:val="24"/>
        </w:rPr>
        <w:t>, ob</w:t>
      </w:r>
      <w:r w:rsidR="00723F8E" w:rsidRPr="00A85296">
        <w:rPr>
          <w:sz w:val="24"/>
          <w:szCs w:val="24"/>
        </w:rPr>
        <w:t>tido a partir do </w:t>
      </w:r>
      <w:r w:rsidR="00723F8E" w:rsidRPr="00A85296">
        <w:rPr>
          <w:bCs/>
          <w:sz w:val="24"/>
          <w:szCs w:val="24"/>
        </w:rPr>
        <w:t>grau Brix</w:t>
      </w:r>
      <w:r w:rsidR="00723F8E">
        <w:rPr>
          <w:bCs/>
          <w:sz w:val="24"/>
          <w:szCs w:val="24"/>
        </w:rPr>
        <w:t xml:space="preserve"> </w:t>
      </w:r>
      <w:r w:rsidR="00723F8E" w:rsidRPr="00A85296">
        <w:rPr>
          <w:sz w:val="24"/>
          <w:szCs w:val="24"/>
        </w:rPr>
        <w:t>do fruto</w:t>
      </w:r>
      <w:r w:rsidR="00723F8E">
        <w:rPr>
          <w:sz w:val="24"/>
          <w:szCs w:val="24"/>
        </w:rPr>
        <w:t>.</w:t>
      </w:r>
    </w:p>
    <w:p w:rsidR="007D7A64" w:rsidRDefault="007D7A64" w:rsidP="005A7110">
      <w:pPr>
        <w:spacing w:line="360" w:lineRule="auto"/>
        <w:jc w:val="both"/>
        <w:rPr>
          <w:sz w:val="24"/>
          <w:szCs w:val="24"/>
        </w:rPr>
      </w:pPr>
    </w:p>
    <w:p w:rsidR="007D7A64" w:rsidRDefault="007D7A64" w:rsidP="007D7A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D46721">
        <w:rPr>
          <w:sz w:val="24"/>
          <w:szCs w:val="24"/>
        </w:rPr>
        <w:t>ACIDEZ TITULÁVEL</w:t>
      </w:r>
      <w:r w:rsidR="00A938E7">
        <w:rPr>
          <w:sz w:val="24"/>
          <w:szCs w:val="24"/>
        </w:rPr>
        <w:t xml:space="preserve"> (TEOR DE ACIDEZ)</w:t>
      </w:r>
    </w:p>
    <w:p w:rsidR="00771C66" w:rsidRDefault="00771C66" w:rsidP="005A7110">
      <w:pPr>
        <w:spacing w:line="360" w:lineRule="auto"/>
        <w:ind w:firstLine="709"/>
        <w:jc w:val="both"/>
        <w:rPr>
          <w:sz w:val="24"/>
          <w:szCs w:val="24"/>
        </w:rPr>
      </w:pPr>
    </w:p>
    <w:p w:rsidR="00D52EF4" w:rsidRDefault="007144F1" w:rsidP="005A71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análises de acidez titulável (titulação com NaOH 0,1</w:t>
      </w:r>
      <w:r w:rsidR="00A41D83">
        <w:rPr>
          <w:sz w:val="24"/>
          <w:szCs w:val="24"/>
        </w:rPr>
        <w:t>N</w:t>
      </w:r>
      <w:r w:rsidR="000C361B">
        <w:rPr>
          <w:sz w:val="24"/>
          <w:szCs w:val="24"/>
        </w:rPr>
        <w:t xml:space="preserve"> – Merck)</w:t>
      </w:r>
      <w:r w:rsidR="00E16234">
        <w:rPr>
          <w:sz w:val="24"/>
          <w:szCs w:val="24"/>
        </w:rPr>
        <w:t xml:space="preserve"> </w:t>
      </w:r>
      <w:r w:rsidR="00772AEE" w:rsidRPr="00772AEE">
        <w:rPr>
          <w:sz w:val="24"/>
          <w:szCs w:val="24"/>
        </w:rPr>
        <w:t>foram realizadas de acordo com</w:t>
      </w:r>
      <w:r w:rsidR="00772AEE">
        <w:rPr>
          <w:sz w:val="24"/>
          <w:szCs w:val="24"/>
        </w:rPr>
        <w:t xml:space="preserve"> </w:t>
      </w:r>
      <w:r w:rsidR="00772AEE" w:rsidRPr="00772AEE">
        <w:rPr>
          <w:sz w:val="24"/>
          <w:szCs w:val="24"/>
        </w:rPr>
        <w:t>o método proposto pelo Instituto Adolfo Lutz</w:t>
      </w:r>
      <w:r w:rsidR="00F341CE">
        <w:rPr>
          <w:sz w:val="24"/>
          <w:szCs w:val="24"/>
        </w:rPr>
        <w:t xml:space="preserve"> (ZENEBON; PASCUET; </w:t>
      </w:r>
      <w:r w:rsidR="00F341CE" w:rsidRPr="00F341CE">
        <w:rPr>
          <w:sz w:val="24"/>
          <w:szCs w:val="24"/>
        </w:rPr>
        <w:t>TIGLEA</w:t>
      </w:r>
      <w:r w:rsidR="00F341CE">
        <w:rPr>
          <w:sz w:val="24"/>
          <w:szCs w:val="24"/>
        </w:rPr>
        <w:t>, 2008)</w:t>
      </w:r>
      <w:r w:rsidR="00772AEE">
        <w:rPr>
          <w:sz w:val="24"/>
          <w:szCs w:val="24"/>
        </w:rPr>
        <w:t>.</w:t>
      </w:r>
    </w:p>
    <w:p w:rsidR="00C42612" w:rsidRDefault="00C42612" w:rsidP="005A7110">
      <w:pPr>
        <w:spacing w:line="360" w:lineRule="auto"/>
        <w:jc w:val="both"/>
        <w:rPr>
          <w:sz w:val="24"/>
          <w:szCs w:val="24"/>
        </w:rPr>
      </w:pPr>
    </w:p>
    <w:p w:rsidR="00C42612" w:rsidRDefault="00C42612" w:rsidP="00C42612">
      <w:pPr>
        <w:jc w:val="both"/>
        <w:rPr>
          <w:sz w:val="24"/>
          <w:szCs w:val="24"/>
        </w:rPr>
      </w:pPr>
      <w:r>
        <w:rPr>
          <w:sz w:val="24"/>
          <w:szCs w:val="24"/>
        </w:rPr>
        <w:t>2.5 ACIDEZ TOTAL TITULÁVEL (ATT)</w:t>
      </w:r>
    </w:p>
    <w:p w:rsidR="00771C66" w:rsidRDefault="00771C66" w:rsidP="005A7110">
      <w:pPr>
        <w:spacing w:line="360" w:lineRule="auto"/>
        <w:ind w:firstLine="709"/>
        <w:jc w:val="both"/>
        <w:rPr>
          <w:sz w:val="24"/>
          <w:szCs w:val="24"/>
        </w:rPr>
      </w:pPr>
    </w:p>
    <w:p w:rsidR="00852C1F" w:rsidRPr="00852C1F" w:rsidRDefault="00852C1F" w:rsidP="00852C1F">
      <w:pPr>
        <w:spacing w:line="360" w:lineRule="auto"/>
        <w:ind w:firstLine="709"/>
        <w:jc w:val="both"/>
        <w:rPr>
          <w:sz w:val="24"/>
          <w:szCs w:val="24"/>
        </w:rPr>
      </w:pPr>
      <w:r w:rsidRPr="00852C1F">
        <w:rPr>
          <w:sz w:val="24"/>
          <w:szCs w:val="24"/>
        </w:rPr>
        <w:t xml:space="preserve">A metodologia utilizada para a análise de ATT foi realizada </w:t>
      </w:r>
      <w:r>
        <w:rPr>
          <w:sz w:val="24"/>
          <w:szCs w:val="24"/>
        </w:rPr>
        <w:t xml:space="preserve">segundo método </w:t>
      </w:r>
      <w:r w:rsidRPr="00852C1F">
        <w:rPr>
          <w:sz w:val="24"/>
          <w:szCs w:val="24"/>
        </w:rPr>
        <w:t>nº 942.15</w:t>
      </w:r>
      <w:r w:rsidR="00772AEE">
        <w:rPr>
          <w:sz w:val="24"/>
          <w:szCs w:val="24"/>
        </w:rPr>
        <w:t xml:space="preserve"> da</w:t>
      </w:r>
      <w:r w:rsidRPr="00852C1F">
        <w:rPr>
          <w:sz w:val="24"/>
          <w:szCs w:val="24"/>
        </w:rPr>
        <w:t xml:space="preserve"> AOAC (1997).</w:t>
      </w:r>
    </w:p>
    <w:p w:rsidR="00746CF0" w:rsidRDefault="00746CF0" w:rsidP="00746CF0">
      <w:pPr>
        <w:jc w:val="both"/>
        <w:rPr>
          <w:sz w:val="24"/>
          <w:szCs w:val="24"/>
        </w:rPr>
      </w:pPr>
    </w:p>
    <w:p w:rsidR="00746CF0" w:rsidRDefault="00746CF0" w:rsidP="00746C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 DETERMINAÇÃO DE </w:t>
      </w:r>
      <w:r w:rsidRPr="00B13821">
        <w:rPr>
          <w:i/>
          <w:sz w:val="24"/>
          <w:szCs w:val="24"/>
        </w:rPr>
        <w:t>RATIO</w:t>
      </w:r>
    </w:p>
    <w:p w:rsidR="00771C66" w:rsidRDefault="00771C66" w:rsidP="005A7110">
      <w:pPr>
        <w:spacing w:line="360" w:lineRule="auto"/>
        <w:ind w:firstLine="709"/>
        <w:jc w:val="both"/>
        <w:rPr>
          <w:sz w:val="24"/>
          <w:szCs w:val="24"/>
        </w:rPr>
      </w:pPr>
    </w:p>
    <w:p w:rsidR="00B13821" w:rsidRDefault="00B13821" w:rsidP="005A7110">
      <w:pPr>
        <w:spacing w:line="360" w:lineRule="auto"/>
        <w:ind w:firstLine="709"/>
        <w:jc w:val="both"/>
        <w:rPr>
          <w:rFonts w:ascii="Times-Roman" w:hAnsi="Times-Roman"/>
          <w:color w:val="000000"/>
          <w:sz w:val="22"/>
          <w:szCs w:val="22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ratio</w:t>
      </w:r>
      <w:r>
        <w:rPr>
          <w:sz w:val="24"/>
          <w:szCs w:val="24"/>
        </w:rPr>
        <w:t xml:space="preserve"> é um importante indicador de qualidade do flavor em sucos cítricos, pelo fato de determinar as interações que ocorrerão entre o suco e receptores de paladar na língua humana, responsáveis pela recepção do sabor, sendo obtida pelo quociente entre o valor de </w:t>
      </w:r>
      <w:r w:rsidRPr="00B13821">
        <w:rPr>
          <w:rFonts w:ascii="Times-Roman" w:hAnsi="Times-Roman"/>
          <w:color w:val="000000"/>
          <w:sz w:val="22"/>
          <w:szCs w:val="22"/>
        </w:rPr>
        <w:t>sólidos solúveis totais (</w:t>
      </w:r>
      <w:r>
        <w:rPr>
          <w:rFonts w:ascii="Times-Roman" w:hAnsi="Times-Roman"/>
          <w:color w:val="000000"/>
          <w:sz w:val="22"/>
          <w:szCs w:val="22"/>
        </w:rPr>
        <w:t>SST</w:t>
      </w:r>
      <w:r w:rsidRPr="00B13821">
        <w:rPr>
          <w:rFonts w:ascii="Times-Roman" w:hAnsi="Times-Roman"/>
          <w:color w:val="000000"/>
          <w:sz w:val="22"/>
          <w:szCs w:val="22"/>
        </w:rPr>
        <w:t>) e a acidez total do</w:t>
      </w:r>
      <w:r w:rsidR="00EF06C5">
        <w:rPr>
          <w:rFonts w:ascii="Times-Roman" w:hAnsi="Times-Roman"/>
          <w:color w:val="000000"/>
          <w:sz w:val="22"/>
          <w:szCs w:val="22"/>
        </w:rPr>
        <w:t xml:space="preserve"> </w:t>
      </w:r>
      <w:r w:rsidRPr="00B13821">
        <w:rPr>
          <w:rFonts w:ascii="Times-Roman" w:hAnsi="Times-Roman"/>
          <w:color w:val="000000"/>
          <w:sz w:val="22"/>
          <w:szCs w:val="22"/>
        </w:rPr>
        <w:t>suco</w:t>
      </w:r>
      <w:r>
        <w:rPr>
          <w:rFonts w:ascii="Times-Roman" w:hAnsi="Times-Roman"/>
          <w:color w:val="000000"/>
          <w:sz w:val="22"/>
          <w:szCs w:val="22"/>
        </w:rPr>
        <w:t xml:space="preserve"> (ATT).</w:t>
      </w:r>
    </w:p>
    <w:p w:rsidR="0012462E" w:rsidRPr="0096111D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96111D">
        <w:rPr>
          <w:b/>
          <w:sz w:val="24"/>
          <w:szCs w:val="24"/>
        </w:rPr>
        <w:lastRenderedPageBreak/>
        <w:t>3. RESULTADOS E DISCUSSÃO</w:t>
      </w:r>
    </w:p>
    <w:p w:rsidR="00BF200E" w:rsidRDefault="00BF200E" w:rsidP="0020548D">
      <w:pPr>
        <w:spacing w:line="360" w:lineRule="auto"/>
        <w:ind w:firstLine="708"/>
        <w:rPr>
          <w:sz w:val="24"/>
          <w:szCs w:val="24"/>
        </w:rPr>
      </w:pPr>
    </w:p>
    <w:p w:rsidR="00363E96" w:rsidRDefault="00363E96" w:rsidP="0020548D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Os parâmetros físico-químicos obtidos a partir das análises efetuadas nos sucos de laranja industrializados obtidos em diferentes estabelecimentos na região central de Belém</w:t>
      </w:r>
      <w:r w:rsidR="00A21929">
        <w:rPr>
          <w:sz w:val="24"/>
          <w:szCs w:val="24"/>
        </w:rPr>
        <w:t xml:space="preserve"> encontram-se</w:t>
      </w:r>
      <w:r>
        <w:rPr>
          <w:sz w:val="24"/>
          <w:szCs w:val="24"/>
        </w:rPr>
        <w:t xml:space="preserve"> na Tabela 1.</w:t>
      </w:r>
    </w:p>
    <w:p w:rsidR="00771C66" w:rsidRDefault="00771C66" w:rsidP="0020548D">
      <w:pPr>
        <w:spacing w:line="360" w:lineRule="auto"/>
        <w:ind w:firstLine="708"/>
        <w:rPr>
          <w:sz w:val="24"/>
          <w:szCs w:val="24"/>
        </w:rPr>
      </w:pPr>
    </w:p>
    <w:p w:rsidR="00A22AF6" w:rsidRPr="00D44606" w:rsidRDefault="0012462E" w:rsidP="00E76DCA">
      <w:pPr>
        <w:spacing w:after="240"/>
        <w:contextualSpacing/>
        <w:jc w:val="both"/>
        <w:rPr>
          <w:color w:val="FF0000"/>
          <w:sz w:val="22"/>
          <w:szCs w:val="22"/>
        </w:rPr>
      </w:pPr>
      <w:r w:rsidRPr="00D13969">
        <w:rPr>
          <w:sz w:val="22"/>
          <w:szCs w:val="22"/>
        </w:rPr>
        <w:t>Tabela 1</w:t>
      </w:r>
      <w:r w:rsidRPr="00D13969">
        <w:rPr>
          <w:b/>
          <w:sz w:val="22"/>
          <w:szCs w:val="22"/>
        </w:rPr>
        <w:t xml:space="preserve"> – </w:t>
      </w:r>
      <w:r w:rsidR="00A22AF6" w:rsidRPr="00A22AF6">
        <w:rPr>
          <w:sz w:val="22"/>
          <w:szCs w:val="22"/>
        </w:rPr>
        <w:t xml:space="preserve">Parâmetros </w:t>
      </w:r>
      <w:r w:rsidR="00A21929">
        <w:rPr>
          <w:sz w:val="22"/>
          <w:szCs w:val="22"/>
        </w:rPr>
        <w:t>físico-químicos obtidos dos sucos de laranja industrializados</w:t>
      </w:r>
      <w:r w:rsidRPr="00D13969">
        <w:rPr>
          <w:sz w:val="22"/>
          <w:szCs w:val="22"/>
        </w:rPr>
        <w:t>.</w:t>
      </w:r>
    </w:p>
    <w:tbl>
      <w:tblPr>
        <w:tblpPr w:leftFromText="141" w:rightFromText="141" w:vertAnchor="text" w:tblpXSpec="center" w:tblpY="1"/>
        <w:tblW w:w="9621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3085"/>
        <w:gridCol w:w="851"/>
        <w:gridCol w:w="992"/>
        <w:gridCol w:w="2126"/>
        <w:gridCol w:w="1418"/>
        <w:gridCol w:w="1149"/>
      </w:tblGrid>
      <w:tr w:rsidR="00EA7AE8" w:rsidRPr="00A21929" w:rsidTr="00F80BBC">
        <w:trPr>
          <w:trHeight w:val="376"/>
        </w:trPr>
        <w:tc>
          <w:tcPr>
            <w:tcW w:w="3085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</w:tcPr>
          <w:p w:rsidR="001869E0" w:rsidRDefault="001869E0" w:rsidP="005175DE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EA7AE8" w:rsidRPr="00A21929" w:rsidRDefault="00EA7AE8" w:rsidP="005175DE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Amostras</w:t>
            </w:r>
          </w:p>
        </w:tc>
        <w:tc>
          <w:tcPr>
            <w:tcW w:w="65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7AE8" w:rsidRDefault="00EA7AE8" w:rsidP="005175DE">
            <w:pPr>
              <w:spacing w:line="36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Análises físico-químicas</w:t>
            </w:r>
          </w:p>
        </w:tc>
      </w:tr>
      <w:tr w:rsidR="00EA7AE8" w:rsidRPr="00A21929" w:rsidTr="00F80BBC">
        <w:trPr>
          <w:trHeight w:val="376"/>
        </w:trPr>
        <w:tc>
          <w:tcPr>
            <w:tcW w:w="3085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7AE8" w:rsidRPr="00A21929" w:rsidRDefault="00EA7AE8" w:rsidP="005175DE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7AE8" w:rsidRPr="00A21929" w:rsidRDefault="00EA7AE8" w:rsidP="005175D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7AE8" w:rsidRPr="008E682E" w:rsidRDefault="00EA7AE8" w:rsidP="005175D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</w:t>
            </w:r>
            <w:r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7AE8" w:rsidRPr="008E682E" w:rsidRDefault="00EA7AE8" w:rsidP="005175D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Teor de Acidez (%)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7AE8" w:rsidRPr="008E682E" w:rsidRDefault="00EA7AE8" w:rsidP="005175D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SST</w:t>
            </w:r>
            <w:r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7AE8" w:rsidRPr="008E682E" w:rsidRDefault="00EA7AE8" w:rsidP="005175D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Ratio</w:t>
            </w:r>
            <w:r>
              <w:rPr>
                <w:bCs/>
                <w:sz w:val="22"/>
                <w:szCs w:val="22"/>
                <w:vertAlign w:val="superscript"/>
              </w:rPr>
              <w:t>4</w:t>
            </w:r>
          </w:p>
        </w:tc>
      </w:tr>
      <w:tr w:rsidR="009766ED" w:rsidRPr="00A21929" w:rsidTr="00F80BBC">
        <w:trPr>
          <w:trHeight w:val="376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9766ED" w:rsidP="005175DE">
            <w:pPr>
              <w:spacing w:before="100" w:beforeAutospacing="1" w:line="360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A21929">
              <w:rPr>
                <w:bCs/>
                <w:sz w:val="22"/>
                <w:szCs w:val="22"/>
              </w:rPr>
              <w:t>Da fruta Premium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8E682E" w:rsidP="005175DE">
            <w:pPr>
              <w:spacing w:before="100" w:before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2,99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EA7AE8" w:rsidP="005175DE">
            <w:pPr>
              <w:spacing w:before="100" w:before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EA7AE8" w:rsidP="005175DE">
            <w:pPr>
              <w:spacing w:before="100" w:before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EA7AE8" w:rsidP="005175DE">
            <w:pPr>
              <w:spacing w:before="100" w:before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6,76</w:t>
            </w: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EA7AE8" w:rsidP="005175DE">
            <w:pPr>
              <w:spacing w:before="100" w:before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37,55</w:t>
            </w:r>
          </w:p>
        </w:tc>
      </w:tr>
      <w:tr w:rsidR="009766ED" w:rsidRPr="00A21929" w:rsidTr="00F80BBC">
        <w:trPr>
          <w:trHeight w:val="39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9766ED" w:rsidP="005175DE">
            <w:pPr>
              <w:spacing w:before="100" w:beforeAutospacing="1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21929">
              <w:rPr>
                <w:bCs/>
                <w:sz w:val="22"/>
                <w:szCs w:val="22"/>
              </w:rPr>
              <w:t>Del Valle Kapo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8E682E" w:rsidP="005175DE">
            <w:pPr>
              <w:spacing w:before="100" w:before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EA7AE8" w:rsidP="005175DE">
            <w:pPr>
              <w:spacing w:before="100" w:before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EA7AE8" w:rsidP="005175DE">
            <w:pPr>
              <w:spacing w:before="100" w:before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EA7AE8" w:rsidP="005175DE">
            <w:pPr>
              <w:spacing w:before="100" w:before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9,71</w:t>
            </w: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FFFFFF"/>
          </w:tcPr>
          <w:p w:rsidR="009766ED" w:rsidRPr="00A21929" w:rsidRDefault="00EA7AE8" w:rsidP="005175DE">
            <w:pPr>
              <w:spacing w:before="100" w:before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60,69</w:t>
            </w:r>
          </w:p>
        </w:tc>
      </w:tr>
      <w:tr w:rsidR="009766ED" w:rsidRPr="00A21929" w:rsidTr="00F80BBC">
        <w:trPr>
          <w:trHeight w:val="291"/>
        </w:trPr>
        <w:tc>
          <w:tcPr>
            <w:tcW w:w="3085" w:type="dxa"/>
            <w:shd w:val="clear" w:color="auto" w:fill="FFFFFF"/>
          </w:tcPr>
          <w:p w:rsidR="009766ED" w:rsidRPr="00A21929" w:rsidRDefault="009766ED" w:rsidP="005175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21929">
              <w:rPr>
                <w:bCs/>
                <w:sz w:val="22"/>
                <w:szCs w:val="22"/>
              </w:rPr>
              <w:t>Mais Vita</w:t>
            </w:r>
          </w:p>
        </w:tc>
        <w:tc>
          <w:tcPr>
            <w:tcW w:w="851" w:type="dxa"/>
            <w:shd w:val="clear" w:color="auto" w:fill="FFFFFF"/>
          </w:tcPr>
          <w:p w:rsidR="009766ED" w:rsidRPr="008E682E" w:rsidRDefault="008E682E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3,98</w:t>
            </w:r>
          </w:p>
        </w:tc>
        <w:tc>
          <w:tcPr>
            <w:tcW w:w="992" w:type="dxa"/>
          </w:tcPr>
          <w:p w:rsidR="009766ED" w:rsidRPr="00A21929" w:rsidRDefault="00EA7AE8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2126" w:type="dxa"/>
          </w:tcPr>
          <w:p w:rsidR="009766ED" w:rsidRPr="00A21929" w:rsidRDefault="00EA7AE8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3,09</w:t>
            </w:r>
          </w:p>
        </w:tc>
        <w:tc>
          <w:tcPr>
            <w:tcW w:w="1418" w:type="dxa"/>
          </w:tcPr>
          <w:p w:rsidR="009766ED" w:rsidRPr="00A21929" w:rsidRDefault="00EA7AE8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1149" w:type="dxa"/>
          </w:tcPr>
          <w:p w:rsidR="009766ED" w:rsidRPr="00A21929" w:rsidRDefault="00EA7AE8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31,25</w:t>
            </w:r>
          </w:p>
        </w:tc>
      </w:tr>
      <w:tr w:rsidR="009766ED" w:rsidRPr="00A21929" w:rsidTr="00F80BBC">
        <w:trPr>
          <w:trHeight w:val="291"/>
        </w:trPr>
        <w:tc>
          <w:tcPr>
            <w:tcW w:w="3085" w:type="dxa"/>
            <w:shd w:val="clear" w:color="auto" w:fill="FFFFFF"/>
          </w:tcPr>
          <w:p w:rsidR="009766ED" w:rsidRPr="00A21929" w:rsidRDefault="009766ED" w:rsidP="005175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21929">
              <w:rPr>
                <w:bCs/>
                <w:sz w:val="22"/>
                <w:szCs w:val="22"/>
              </w:rPr>
              <w:t>Maratá</w:t>
            </w:r>
          </w:p>
        </w:tc>
        <w:tc>
          <w:tcPr>
            <w:tcW w:w="851" w:type="dxa"/>
            <w:shd w:val="clear" w:color="auto" w:fill="FFFFFF"/>
          </w:tcPr>
          <w:p w:rsidR="009766ED" w:rsidRPr="00A21929" w:rsidRDefault="008E682E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3,65</w:t>
            </w:r>
          </w:p>
        </w:tc>
        <w:tc>
          <w:tcPr>
            <w:tcW w:w="992" w:type="dxa"/>
          </w:tcPr>
          <w:p w:rsidR="009766ED" w:rsidRPr="00A21929" w:rsidRDefault="000A0D10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2126" w:type="dxa"/>
          </w:tcPr>
          <w:p w:rsidR="009766ED" w:rsidRPr="00A21929" w:rsidRDefault="000A0D10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2,65</w:t>
            </w:r>
          </w:p>
        </w:tc>
        <w:tc>
          <w:tcPr>
            <w:tcW w:w="1418" w:type="dxa"/>
          </w:tcPr>
          <w:p w:rsidR="009766ED" w:rsidRPr="00A21929" w:rsidRDefault="000A0D10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11,25</w:t>
            </w:r>
          </w:p>
        </w:tc>
        <w:tc>
          <w:tcPr>
            <w:tcW w:w="1149" w:type="dxa"/>
          </w:tcPr>
          <w:p w:rsidR="009766ED" w:rsidRPr="00A21929" w:rsidRDefault="000A0D10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66,17</w:t>
            </w:r>
          </w:p>
        </w:tc>
      </w:tr>
      <w:tr w:rsidR="009766ED" w:rsidRPr="00A21929" w:rsidTr="00F80BBC">
        <w:trPr>
          <w:trHeight w:val="291"/>
        </w:trPr>
        <w:tc>
          <w:tcPr>
            <w:tcW w:w="3085" w:type="dxa"/>
            <w:shd w:val="clear" w:color="auto" w:fill="FFFFFF"/>
          </w:tcPr>
          <w:p w:rsidR="009766ED" w:rsidRPr="00A21929" w:rsidRDefault="009766ED" w:rsidP="005175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21929">
              <w:rPr>
                <w:bCs/>
                <w:sz w:val="22"/>
                <w:szCs w:val="22"/>
              </w:rPr>
              <w:t>Maguary</w:t>
            </w:r>
          </w:p>
        </w:tc>
        <w:tc>
          <w:tcPr>
            <w:tcW w:w="851" w:type="dxa"/>
            <w:shd w:val="clear" w:color="auto" w:fill="FFFFFF"/>
          </w:tcPr>
          <w:p w:rsidR="009766ED" w:rsidRPr="00A21929" w:rsidRDefault="008E682E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</w:t>
            </w:r>
          </w:p>
        </w:tc>
        <w:tc>
          <w:tcPr>
            <w:tcW w:w="992" w:type="dxa"/>
          </w:tcPr>
          <w:p w:rsidR="009766ED" w:rsidRPr="00A21929" w:rsidRDefault="000A0D10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2126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1418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12,05</w:t>
            </w:r>
          </w:p>
        </w:tc>
        <w:tc>
          <w:tcPr>
            <w:tcW w:w="1149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50,21</w:t>
            </w:r>
          </w:p>
        </w:tc>
      </w:tr>
      <w:tr w:rsidR="009766ED" w:rsidRPr="00A21929" w:rsidTr="00F80BBC">
        <w:trPr>
          <w:trHeight w:val="291"/>
        </w:trPr>
        <w:tc>
          <w:tcPr>
            <w:tcW w:w="3085" w:type="dxa"/>
            <w:shd w:val="clear" w:color="auto" w:fill="FFFFFF"/>
          </w:tcPr>
          <w:p w:rsidR="009766ED" w:rsidRPr="00A21929" w:rsidRDefault="009766ED" w:rsidP="005175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21929">
              <w:rPr>
                <w:bCs/>
                <w:sz w:val="22"/>
                <w:szCs w:val="22"/>
              </w:rPr>
              <w:t>MaguaryVitaKids</w:t>
            </w:r>
          </w:p>
        </w:tc>
        <w:tc>
          <w:tcPr>
            <w:tcW w:w="851" w:type="dxa"/>
            <w:shd w:val="clear" w:color="auto" w:fill="FFFFFF"/>
          </w:tcPr>
          <w:p w:rsidR="009766ED" w:rsidRPr="00A21929" w:rsidRDefault="008E682E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2,83</w:t>
            </w:r>
          </w:p>
        </w:tc>
        <w:tc>
          <w:tcPr>
            <w:tcW w:w="992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2126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2,62</w:t>
            </w:r>
          </w:p>
        </w:tc>
        <w:tc>
          <w:tcPr>
            <w:tcW w:w="1418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11,47</w:t>
            </w:r>
          </w:p>
        </w:tc>
        <w:tc>
          <w:tcPr>
            <w:tcW w:w="1149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67,47</w:t>
            </w:r>
          </w:p>
        </w:tc>
      </w:tr>
      <w:tr w:rsidR="009766ED" w:rsidRPr="00A21929" w:rsidTr="00F80BBC">
        <w:trPr>
          <w:trHeight w:val="291"/>
        </w:trPr>
        <w:tc>
          <w:tcPr>
            <w:tcW w:w="3085" w:type="dxa"/>
            <w:shd w:val="clear" w:color="auto" w:fill="FFFFFF"/>
          </w:tcPr>
          <w:p w:rsidR="009766ED" w:rsidRPr="00A21929" w:rsidRDefault="009766ED" w:rsidP="005175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21929">
              <w:rPr>
                <w:bCs/>
                <w:sz w:val="22"/>
                <w:szCs w:val="22"/>
              </w:rPr>
              <w:t>Vigor Vig</w:t>
            </w:r>
          </w:p>
        </w:tc>
        <w:tc>
          <w:tcPr>
            <w:tcW w:w="851" w:type="dxa"/>
            <w:shd w:val="clear" w:color="auto" w:fill="FFFFFF"/>
          </w:tcPr>
          <w:p w:rsidR="009766ED" w:rsidRPr="00A21929" w:rsidRDefault="008E682E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3,70</w:t>
            </w:r>
          </w:p>
        </w:tc>
        <w:tc>
          <w:tcPr>
            <w:tcW w:w="992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2126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3,08</w:t>
            </w:r>
          </w:p>
        </w:tc>
        <w:tc>
          <w:tcPr>
            <w:tcW w:w="1418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13,37</w:t>
            </w:r>
          </w:p>
        </w:tc>
        <w:tc>
          <w:tcPr>
            <w:tcW w:w="1149" w:type="dxa"/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66,85</w:t>
            </w:r>
          </w:p>
        </w:tc>
      </w:tr>
      <w:tr w:rsidR="009766ED" w:rsidRPr="00A21929" w:rsidTr="00F80BBC">
        <w:trPr>
          <w:trHeight w:val="29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FFFFF"/>
          </w:tcPr>
          <w:p w:rsidR="009766ED" w:rsidRPr="00A21929" w:rsidRDefault="009766ED" w:rsidP="005175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21929">
              <w:rPr>
                <w:bCs/>
                <w:sz w:val="22"/>
                <w:szCs w:val="22"/>
              </w:rPr>
              <w:t>100% Jandaia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9766ED" w:rsidRPr="00A21929" w:rsidRDefault="008E682E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66ED" w:rsidRPr="00A21929" w:rsidRDefault="005D1393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66ED" w:rsidRPr="00A21929" w:rsidRDefault="00C56DDF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66ED" w:rsidRPr="00A21929" w:rsidRDefault="00C56DDF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10,35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9766ED" w:rsidRPr="00A21929" w:rsidRDefault="00C56DDF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57,50</w:t>
            </w:r>
          </w:p>
        </w:tc>
      </w:tr>
      <w:tr w:rsidR="006D71B5" w:rsidRPr="00A21929" w:rsidTr="00F80BBC">
        <w:trPr>
          <w:trHeight w:val="291"/>
        </w:trPr>
        <w:tc>
          <w:tcPr>
            <w:tcW w:w="3085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6D71B5" w:rsidRPr="006D71B5" w:rsidRDefault="006D71B5" w:rsidP="00F80B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Média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6D71B5" w:rsidRDefault="0078489F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D71B5" w:rsidRDefault="0038513B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6D71B5" w:rsidRDefault="0038513B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D71B5" w:rsidRDefault="0038513B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10,15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</w:tcPr>
          <w:p w:rsidR="006D71B5" w:rsidRDefault="0038513B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54,71</w:t>
            </w:r>
          </w:p>
        </w:tc>
      </w:tr>
      <w:tr w:rsidR="006D71B5" w:rsidRPr="00A21929" w:rsidTr="00F80BBC">
        <w:trPr>
          <w:trHeight w:val="291"/>
        </w:trPr>
        <w:tc>
          <w:tcPr>
            <w:tcW w:w="3085" w:type="dxa"/>
            <w:tcBorders>
              <w:top w:val="nil"/>
            </w:tcBorders>
            <w:shd w:val="clear" w:color="auto" w:fill="FFFFFF"/>
          </w:tcPr>
          <w:p w:rsidR="006D71B5" w:rsidRPr="006D71B5" w:rsidRDefault="006D71B5" w:rsidP="00F80B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Desvio-padrão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6D71B5" w:rsidRDefault="0078489F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nil"/>
            </w:tcBorders>
          </w:tcPr>
          <w:p w:rsidR="006D71B5" w:rsidRDefault="0078489F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2126" w:type="dxa"/>
            <w:tcBorders>
              <w:top w:val="nil"/>
            </w:tcBorders>
          </w:tcPr>
          <w:p w:rsidR="006D71B5" w:rsidRDefault="0078489F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418" w:type="dxa"/>
            <w:tcBorders>
              <w:top w:val="nil"/>
            </w:tcBorders>
          </w:tcPr>
          <w:p w:rsidR="006D71B5" w:rsidRDefault="008D7C0E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1149" w:type="dxa"/>
            <w:tcBorders>
              <w:top w:val="nil"/>
            </w:tcBorders>
          </w:tcPr>
          <w:p w:rsidR="006D71B5" w:rsidRDefault="008D7C0E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13,89</w:t>
            </w:r>
          </w:p>
        </w:tc>
      </w:tr>
      <w:tr w:rsidR="006D71B5" w:rsidRPr="00A21929" w:rsidTr="00F80BBC">
        <w:trPr>
          <w:trHeight w:val="291"/>
        </w:trPr>
        <w:tc>
          <w:tcPr>
            <w:tcW w:w="3085" w:type="dxa"/>
            <w:shd w:val="clear" w:color="auto" w:fill="FFFFFF"/>
          </w:tcPr>
          <w:p w:rsidR="006D71B5" w:rsidRPr="006D71B5" w:rsidRDefault="006D71B5" w:rsidP="00F80B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Coeficiente de Variância (%)</w:t>
            </w:r>
          </w:p>
        </w:tc>
        <w:tc>
          <w:tcPr>
            <w:tcW w:w="851" w:type="dxa"/>
            <w:shd w:val="clear" w:color="auto" w:fill="FFFFFF"/>
          </w:tcPr>
          <w:p w:rsidR="006D71B5" w:rsidRDefault="0038513B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  <w:r w:rsidR="00B1429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D71B5" w:rsidRPr="008D7C0E" w:rsidRDefault="0038513B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  <w:r w:rsidR="00B1429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6D71B5" w:rsidRDefault="0038513B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  <w:r w:rsidR="00B1429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D71B5" w:rsidRDefault="0038513B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  <w:r w:rsidR="00B14295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</w:tcPr>
          <w:p w:rsidR="006D71B5" w:rsidRDefault="00B14295" w:rsidP="005175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25,40</w:t>
            </w:r>
          </w:p>
        </w:tc>
      </w:tr>
    </w:tbl>
    <w:p w:rsidR="00AD5837" w:rsidRPr="00AD5837" w:rsidRDefault="00AD5837" w:rsidP="00A21929">
      <w:pPr>
        <w:spacing w:before="120"/>
        <w:contextualSpacing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EC66A2">
        <w:rPr>
          <w:sz w:val="22"/>
          <w:szCs w:val="22"/>
        </w:rPr>
        <w:t>ATT:</w:t>
      </w:r>
      <w:r>
        <w:rPr>
          <w:sz w:val="22"/>
          <w:szCs w:val="22"/>
        </w:rPr>
        <w:t xml:space="preserve"> g% de ácido cítrico; </w:t>
      </w:r>
      <w:r w:rsidRPr="00AD5837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Teor de Acidez (%): </w:t>
      </w:r>
      <w:r w:rsidRPr="00AD5837">
        <w:rPr>
          <w:sz w:val="22"/>
          <w:szCs w:val="22"/>
        </w:rPr>
        <w:t>Acidez</w:t>
      </w:r>
      <w:r w:rsidR="00EC66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Titulável; 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SST: °Brix; </w:t>
      </w:r>
      <w:r>
        <w:rPr>
          <w:sz w:val="22"/>
          <w:szCs w:val="22"/>
          <w:vertAlign w:val="superscript"/>
        </w:rPr>
        <w:t>4</w:t>
      </w:r>
      <w:r>
        <w:rPr>
          <w:i/>
          <w:sz w:val="22"/>
          <w:szCs w:val="22"/>
        </w:rPr>
        <w:t>Ratio</w:t>
      </w:r>
      <w:r>
        <w:rPr>
          <w:sz w:val="22"/>
          <w:szCs w:val="22"/>
        </w:rPr>
        <w:t>: relação SST/ATT.</w:t>
      </w:r>
    </w:p>
    <w:p w:rsidR="0012462E" w:rsidRPr="00D44606" w:rsidRDefault="00E76DCA" w:rsidP="00A21929">
      <w:pPr>
        <w:spacing w:before="120"/>
        <w:contextualSpacing/>
        <w:jc w:val="both"/>
        <w:rPr>
          <w:color w:val="FF0000"/>
          <w:sz w:val="22"/>
          <w:szCs w:val="22"/>
        </w:rPr>
      </w:pPr>
      <w:r w:rsidRPr="00D13969">
        <w:rPr>
          <w:sz w:val="22"/>
          <w:szCs w:val="22"/>
        </w:rPr>
        <w:t>F</w:t>
      </w:r>
      <w:r w:rsidR="0012462E" w:rsidRPr="00D13969">
        <w:rPr>
          <w:sz w:val="22"/>
          <w:szCs w:val="22"/>
        </w:rPr>
        <w:t>onte:</w:t>
      </w:r>
      <w:r w:rsidR="00B14295">
        <w:rPr>
          <w:sz w:val="22"/>
          <w:szCs w:val="22"/>
        </w:rPr>
        <w:t xml:space="preserve"> </w:t>
      </w:r>
      <w:r w:rsidR="00A21929">
        <w:rPr>
          <w:sz w:val="22"/>
          <w:szCs w:val="22"/>
        </w:rPr>
        <w:t>Autores</w:t>
      </w:r>
      <w:r w:rsidR="00A22AF6" w:rsidRPr="00A22AF6">
        <w:rPr>
          <w:sz w:val="22"/>
          <w:szCs w:val="22"/>
        </w:rPr>
        <w:t xml:space="preserve"> (</w:t>
      </w:r>
      <w:r w:rsidR="00A21929">
        <w:rPr>
          <w:sz w:val="22"/>
          <w:szCs w:val="22"/>
        </w:rPr>
        <w:t>2018</w:t>
      </w:r>
      <w:r w:rsidR="00A22AF6" w:rsidRPr="00A22AF6">
        <w:rPr>
          <w:sz w:val="22"/>
          <w:szCs w:val="22"/>
        </w:rPr>
        <w:t>)</w:t>
      </w:r>
      <w:r w:rsidR="00A22AF6">
        <w:rPr>
          <w:sz w:val="22"/>
          <w:szCs w:val="22"/>
        </w:rPr>
        <w:t>.</w:t>
      </w:r>
    </w:p>
    <w:p w:rsidR="00E76DCA" w:rsidRDefault="00E76DCA" w:rsidP="00C56DDF">
      <w:pPr>
        <w:spacing w:line="360" w:lineRule="auto"/>
        <w:ind w:firstLine="708"/>
        <w:rPr>
          <w:sz w:val="24"/>
          <w:szCs w:val="24"/>
        </w:rPr>
      </w:pPr>
    </w:p>
    <w:p w:rsidR="00D742EF" w:rsidRDefault="00FF68E8" w:rsidP="00D742E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 parâmetros físico-químicos analisados</w:t>
      </w:r>
      <w:r w:rsidR="00D742EF">
        <w:rPr>
          <w:sz w:val="24"/>
          <w:szCs w:val="24"/>
        </w:rPr>
        <w:t xml:space="preserve"> no presente estudo</w:t>
      </w:r>
      <w:r>
        <w:rPr>
          <w:sz w:val="24"/>
          <w:szCs w:val="24"/>
        </w:rPr>
        <w:t xml:space="preserve"> são indicadores de características organolépticas, importantes no processo de industrialização dos sucos </w:t>
      </w:r>
      <w:r w:rsidR="005429DE">
        <w:rPr>
          <w:sz w:val="24"/>
          <w:szCs w:val="24"/>
        </w:rPr>
        <w:t xml:space="preserve">(DANIELI </w:t>
      </w:r>
      <w:r w:rsidR="005429DE" w:rsidRPr="005429DE">
        <w:rPr>
          <w:i/>
          <w:sz w:val="24"/>
          <w:szCs w:val="24"/>
        </w:rPr>
        <w:t>et al</w:t>
      </w:r>
      <w:r w:rsidR="005429DE">
        <w:rPr>
          <w:sz w:val="24"/>
          <w:szCs w:val="24"/>
        </w:rPr>
        <w:t>.</w:t>
      </w:r>
      <w:r w:rsidR="00D742EF">
        <w:rPr>
          <w:sz w:val="24"/>
          <w:szCs w:val="24"/>
        </w:rPr>
        <w:t>, 2009).</w:t>
      </w:r>
      <w:r w:rsidR="00386912">
        <w:rPr>
          <w:sz w:val="24"/>
          <w:szCs w:val="24"/>
        </w:rPr>
        <w:t xml:space="preserve"> </w:t>
      </w:r>
      <w:r w:rsidR="001869E0" w:rsidRPr="001869E0">
        <w:rPr>
          <w:sz w:val="24"/>
          <w:szCs w:val="24"/>
        </w:rPr>
        <w:t>Em relação aos atributos</w:t>
      </w:r>
      <w:r w:rsidR="001869E0">
        <w:rPr>
          <w:sz w:val="24"/>
          <w:szCs w:val="24"/>
        </w:rPr>
        <w:t xml:space="preserve"> sensoriais</w:t>
      </w:r>
      <w:r w:rsidR="001869E0" w:rsidRPr="001869E0">
        <w:rPr>
          <w:sz w:val="24"/>
          <w:szCs w:val="24"/>
        </w:rPr>
        <w:t>, todas apresentaram sabor, cor amarela e aroma característicos da laranja.</w:t>
      </w:r>
    </w:p>
    <w:p w:rsidR="0058632F" w:rsidRDefault="004C4047" w:rsidP="0098370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Como observado, na Tabela 1,</w:t>
      </w:r>
      <w:r w:rsidR="00D742EF">
        <w:rPr>
          <w:sz w:val="24"/>
          <w:szCs w:val="24"/>
        </w:rPr>
        <w:t xml:space="preserve"> o pH para o suco 100% Jandaia foi o mais elevado entre as amostras, e o</w:t>
      </w:r>
      <w:r>
        <w:rPr>
          <w:sz w:val="24"/>
          <w:szCs w:val="24"/>
        </w:rPr>
        <w:t>s</w:t>
      </w:r>
      <w:r w:rsidR="0058632F">
        <w:rPr>
          <w:sz w:val="24"/>
          <w:szCs w:val="24"/>
        </w:rPr>
        <w:t xml:space="preserve"> néctares</w:t>
      </w:r>
      <w:r w:rsidR="00386912">
        <w:rPr>
          <w:sz w:val="24"/>
          <w:szCs w:val="24"/>
        </w:rPr>
        <w:t xml:space="preserve"> </w:t>
      </w:r>
      <w:r w:rsidR="00D742EF">
        <w:rPr>
          <w:sz w:val="24"/>
          <w:szCs w:val="24"/>
        </w:rPr>
        <w:t>Maguary</w:t>
      </w:r>
      <w:r w:rsidR="000F7B90">
        <w:rPr>
          <w:sz w:val="24"/>
          <w:szCs w:val="24"/>
        </w:rPr>
        <w:t>,</w:t>
      </w:r>
      <w:r w:rsidR="00386912">
        <w:rPr>
          <w:sz w:val="24"/>
          <w:szCs w:val="24"/>
        </w:rPr>
        <w:t xml:space="preserve"> </w:t>
      </w:r>
      <w:r w:rsidR="00D742EF">
        <w:rPr>
          <w:sz w:val="24"/>
          <w:szCs w:val="24"/>
        </w:rPr>
        <w:t>VitaKi</w:t>
      </w:r>
      <w:r>
        <w:rPr>
          <w:sz w:val="24"/>
          <w:szCs w:val="24"/>
        </w:rPr>
        <w:t>d</w:t>
      </w:r>
      <w:r w:rsidR="00D742EF">
        <w:rPr>
          <w:sz w:val="24"/>
          <w:szCs w:val="24"/>
        </w:rPr>
        <w:t>s</w:t>
      </w:r>
      <w:r w:rsidR="00386912">
        <w:rPr>
          <w:sz w:val="24"/>
          <w:szCs w:val="24"/>
        </w:rPr>
        <w:t xml:space="preserve"> </w:t>
      </w:r>
      <w:r>
        <w:rPr>
          <w:sz w:val="24"/>
          <w:szCs w:val="24"/>
        </w:rPr>
        <w:t>e Da fruta Premium apresentaram as</w:t>
      </w:r>
      <w:r w:rsidR="00D742EF">
        <w:rPr>
          <w:sz w:val="24"/>
          <w:szCs w:val="24"/>
        </w:rPr>
        <w:t xml:space="preserve"> menor</w:t>
      </w:r>
      <w:r>
        <w:rPr>
          <w:sz w:val="24"/>
          <w:szCs w:val="24"/>
        </w:rPr>
        <w:t xml:space="preserve">es médias de pH. </w:t>
      </w:r>
      <w:r w:rsidR="00733566">
        <w:rPr>
          <w:sz w:val="24"/>
          <w:szCs w:val="24"/>
        </w:rPr>
        <w:t xml:space="preserve">De acordo com Oliveira </w:t>
      </w:r>
      <w:r w:rsidR="00733566" w:rsidRPr="00733566">
        <w:rPr>
          <w:i/>
          <w:sz w:val="24"/>
          <w:szCs w:val="24"/>
        </w:rPr>
        <w:t>et al</w:t>
      </w:r>
      <w:r w:rsidR="00733566">
        <w:rPr>
          <w:sz w:val="24"/>
          <w:szCs w:val="24"/>
        </w:rPr>
        <w:t xml:space="preserve">. (2006), Silva </w:t>
      </w:r>
      <w:r w:rsidR="00733566" w:rsidRPr="00733566">
        <w:rPr>
          <w:i/>
          <w:sz w:val="24"/>
          <w:szCs w:val="24"/>
        </w:rPr>
        <w:t>et al</w:t>
      </w:r>
      <w:r w:rsidR="00733566">
        <w:rPr>
          <w:sz w:val="24"/>
          <w:szCs w:val="24"/>
        </w:rPr>
        <w:t xml:space="preserve">. (2005), Jordão (2005) e Tavares </w:t>
      </w:r>
      <w:r w:rsidR="00733566" w:rsidRPr="00733566">
        <w:rPr>
          <w:i/>
          <w:sz w:val="24"/>
          <w:szCs w:val="24"/>
        </w:rPr>
        <w:t>et al</w:t>
      </w:r>
      <w:r w:rsidR="00733566">
        <w:rPr>
          <w:sz w:val="24"/>
          <w:szCs w:val="24"/>
        </w:rPr>
        <w:t xml:space="preserve">. (2000) o pH para os sucos de frutas cítricas industrializados deve variar de 3,40 a 4,00, </w:t>
      </w:r>
      <w:r w:rsidR="0098370E">
        <w:rPr>
          <w:sz w:val="24"/>
          <w:szCs w:val="24"/>
        </w:rPr>
        <w:t>o que</w:t>
      </w:r>
      <w:r w:rsidR="00733566">
        <w:rPr>
          <w:sz w:val="24"/>
          <w:szCs w:val="24"/>
        </w:rPr>
        <w:t xml:space="preserve"> ape</w:t>
      </w:r>
      <w:r w:rsidR="0098370E">
        <w:rPr>
          <w:sz w:val="24"/>
          <w:szCs w:val="24"/>
        </w:rPr>
        <w:t>nas as marcas Mais Vita, Maratá e</w:t>
      </w:r>
      <w:r w:rsidR="00733566">
        <w:rPr>
          <w:sz w:val="24"/>
          <w:szCs w:val="24"/>
        </w:rPr>
        <w:t xml:space="preserve"> Vigor Vig e</w:t>
      </w:r>
      <w:r w:rsidR="0098370E">
        <w:rPr>
          <w:sz w:val="24"/>
          <w:szCs w:val="24"/>
        </w:rPr>
        <w:t xml:space="preserve">ncontram-se dentro dessa faixa, isso pode ser </w:t>
      </w:r>
      <w:r w:rsidR="0098370E">
        <w:rPr>
          <w:sz w:val="24"/>
          <w:szCs w:val="24"/>
        </w:rPr>
        <w:lastRenderedPageBreak/>
        <w:t>justificado pela utilização de aditivos acidulantes, afim de prolongar a validade do produto (BARBOZA, 2018).</w:t>
      </w:r>
    </w:p>
    <w:p w:rsidR="004C4047" w:rsidRDefault="0098370E" w:rsidP="0098370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Apesar disso</w:t>
      </w:r>
      <w:r w:rsidR="00733566">
        <w:rPr>
          <w:sz w:val="24"/>
          <w:szCs w:val="24"/>
        </w:rPr>
        <w:t xml:space="preserve">, </w:t>
      </w:r>
      <w:r w:rsidR="00FE3F18">
        <w:rPr>
          <w:sz w:val="24"/>
          <w:szCs w:val="24"/>
        </w:rPr>
        <w:t>o Ministério da Agricultura</w:t>
      </w:r>
      <w:r w:rsidR="008E61F3">
        <w:rPr>
          <w:sz w:val="24"/>
          <w:szCs w:val="24"/>
        </w:rPr>
        <w:t>, Pecuária</w:t>
      </w:r>
      <w:r w:rsidR="00FE3F18">
        <w:rPr>
          <w:sz w:val="24"/>
          <w:szCs w:val="24"/>
        </w:rPr>
        <w:t xml:space="preserve"> e do Abastecimento </w:t>
      </w:r>
      <w:r>
        <w:rPr>
          <w:sz w:val="24"/>
          <w:szCs w:val="24"/>
        </w:rPr>
        <w:t>(2016) não estabelece um valor mínimo ou máximo</w:t>
      </w:r>
      <w:r w:rsidR="00B01E50">
        <w:rPr>
          <w:sz w:val="24"/>
          <w:szCs w:val="24"/>
        </w:rPr>
        <w:t xml:space="preserve"> de pH</w:t>
      </w:r>
      <w:r>
        <w:rPr>
          <w:sz w:val="24"/>
          <w:szCs w:val="24"/>
        </w:rPr>
        <w:t xml:space="preserve"> como padrão de </w:t>
      </w:r>
      <w:r w:rsidR="00352F94">
        <w:rPr>
          <w:sz w:val="24"/>
          <w:szCs w:val="24"/>
        </w:rPr>
        <w:t xml:space="preserve">identidade e </w:t>
      </w:r>
      <w:r>
        <w:rPr>
          <w:sz w:val="24"/>
          <w:szCs w:val="24"/>
        </w:rPr>
        <w:t>qualidade</w:t>
      </w:r>
      <w:r w:rsidR="00352F94">
        <w:rPr>
          <w:sz w:val="24"/>
          <w:szCs w:val="24"/>
        </w:rPr>
        <w:t xml:space="preserve"> (PIQ)</w:t>
      </w:r>
      <w:r>
        <w:rPr>
          <w:sz w:val="24"/>
          <w:szCs w:val="24"/>
        </w:rPr>
        <w:t xml:space="preserve"> para os sucos de laranja industrializados</w:t>
      </w:r>
      <w:r w:rsidR="0058632F">
        <w:rPr>
          <w:sz w:val="24"/>
          <w:szCs w:val="24"/>
        </w:rPr>
        <w:t>, somente para os néctares cujo valor é 3,00</w:t>
      </w:r>
      <w:r w:rsidR="00352F94">
        <w:rPr>
          <w:sz w:val="24"/>
          <w:szCs w:val="24"/>
        </w:rPr>
        <w:t>. Com isso</w:t>
      </w:r>
      <w:r w:rsidR="0058632F">
        <w:rPr>
          <w:sz w:val="24"/>
          <w:szCs w:val="24"/>
        </w:rPr>
        <w:t xml:space="preserve">, os néctares Da fruta Premium e </w:t>
      </w:r>
      <w:r w:rsidR="00352F94">
        <w:rPr>
          <w:sz w:val="24"/>
          <w:szCs w:val="24"/>
        </w:rPr>
        <w:t>Maguary</w:t>
      </w:r>
      <w:r w:rsidR="00386912">
        <w:rPr>
          <w:sz w:val="24"/>
          <w:szCs w:val="24"/>
        </w:rPr>
        <w:t xml:space="preserve"> </w:t>
      </w:r>
      <w:r w:rsidR="00352F94">
        <w:rPr>
          <w:sz w:val="24"/>
          <w:szCs w:val="24"/>
        </w:rPr>
        <w:t>VitaKids</w:t>
      </w:r>
      <w:r w:rsidR="0058632F">
        <w:rPr>
          <w:sz w:val="24"/>
          <w:szCs w:val="24"/>
        </w:rPr>
        <w:t xml:space="preserve"> apresentam valo</w:t>
      </w:r>
      <w:r w:rsidR="003B2445">
        <w:rPr>
          <w:sz w:val="24"/>
          <w:szCs w:val="24"/>
        </w:rPr>
        <w:t>res abaixo do permitido pela l</w:t>
      </w:r>
      <w:r w:rsidR="0058632F">
        <w:rPr>
          <w:sz w:val="24"/>
          <w:szCs w:val="24"/>
        </w:rPr>
        <w:t>e</w:t>
      </w:r>
      <w:r w:rsidR="003B2445">
        <w:rPr>
          <w:sz w:val="24"/>
          <w:szCs w:val="24"/>
        </w:rPr>
        <w:t>gislação b</w:t>
      </w:r>
      <w:r w:rsidR="0058632F">
        <w:rPr>
          <w:sz w:val="24"/>
          <w:szCs w:val="24"/>
        </w:rPr>
        <w:t>rasileira</w:t>
      </w:r>
      <w:r>
        <w:rPr>
          <w:sz w:val="24"/>
          <w:szCs w:val="24"/>
        </w:rPr>
        <w:t>.</w:t>
      </w:r>
    </w:p>
    <w:p w:rsidR="00DF0CAE" w:rsidRDefault="000971CF" w:rsidP="00181A6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amostra de suco Del Valle Kapo apresenta o menor valor de acidez titulável, sendo a amostra de néctar Maguary a que apresenta o teor de acidez mais elevado.</w:t>
      </w:r>
      <w:r w:rsidR="00EC66A2">
        <w:rPr>
          <w:sz w:val="24"/>
          <w:szCs w:val="24"/>
        </w:rPr>
        <w:t xml:space="preserve"> Segundo Venânc</w:t>
      </w:r>
      <w:r w:rsidR="00181A6C">
        <w:rPr>
          <w:sz w:val="24"/>
          <w:szCs w:val="24"/>
        </w:rPr>
        <w:t>i</w:t>
      </w:r>
      <w:r w:rsidR="00EC66A2">
        <w:rPr>
          <w:sz w:val="24"/>
          <w:szCs w:val="24"/>
        </w:rPr>
        <w:t>o e Martins (2012) a composição química dos sucos e néctares pode diferir</w:t>
      </w:r>
      <w:r w:rsidR="00181A6C">
        <w:rPr>
          <w:sz w:val="24"/>
          <w:szCs w:val="24"/>
        </w:rPr>
        <w:t xml:space="preserve"> de acordo com o processo de fabricação, essa diferença de composição</w:t>
      </w:r>
      <w:r w:rsidR="00EC66A2">
        <w:rPr>
          <w:sz w:val="24"/>
          <w:szCs w:val="24"/>
        </w:rPr>
        <w:t xml:space="preserve"> pode ser um dos motivos da variação para acidez titulável.</w:t>
      </w:r>
      <w:r w:rsidR="00181A6C">
        <w:rPr>
          <w:sz w:val="24"/>
          <w:szCs w:val="24"/>
        </w:rPr>
        <w:t xml:space="preserve"> </w:t>
      </w:r>
      <w:r>
        <w:rPr>
          <w:sz w:val="24"/>
          <w:szCs w:val="24"/>
        </w:rPr>
        <w:t>Entretanto, p</w:t>
      </w:r>
      <w:r w:rsidR="004B4033">
        <w:rPr>
          <w:sz w:val="24"/>
          <w:szCs w:val="24"/>
        </w:rPr>
        <w:t xml:space="preserve">ara sucos de laranja industrializados o MAPA (2016) não estabelece limites para acidez titulável, assim como não </w:t>
      </w:r>
      <w:r w:rsidR="00D85CCC">
        <w:rPr>
          <w:sz w:val="24"/>
          <w:szCs w:val="24"/>
        </w:rPr>
        <w:t xml:space="preserve">se </w:t>
      </w:r>
      <w:r w:rsidR="004B4033">
        <w:rPr>
          <w:sz w:val="24"/>
          <w:szCs w:val="24"/>
        </w:rPr>
        <w:t>encontra valores na literatura para esta variável de qualidade</w:t>
      </w:r>
      <w:r w:rsidR="00012C28">
        <w:rPr>
          <w:sz w:val="24"/>
          <w:szCs w:val="24"/>
        </w:rPr>
        <w:t xml:space="preserve"> (FIGUEIRA </w:t>
      </w:r>
      <w:r w:rsidR="00012C28" w:rsidRPr="004B4033">
        <w:rPr>
          <w:i/>
          <w:sz w:val="24"/>
          <w:szCs w:val="24"/>
        </w:rPr>
        <w:t>et al</w:t>
      </w:r>
      <w:r w:rsidR="00012C28">
        <w:rPr>
          <w:sz w:val="24"/>
          <w:szCs w:val="24"/>
        </w:rPr>
        <w:t>., 2010)</w:t>
      </w:r>
      <w:r w:rsidR="004B4033">
        <w:rPr>
          <w:sz w:val="24"/>
          <w:szCs w:val="24"/>
        </w:rPr>
        <w:t>.</w:t>
      </w:r>
    </w:p>
    <w:p w:rsidR="00786E5E" w:rsidRDefault="00786E5E" w:rsidP="00786E5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os parâmetros de qualidade exigidos pela Instrumentação Normativa nº 169 de 1 de setembro de 2016, do MAPA, estabelece que para o suco de laranja industrializado os seguintes limites: SST, mínimo de 10,50 °Brix, e, </w:t>
      </w:r>
      <w:r>
        <w:rPr>
          <w:i/>
          <w:sz w:val="24"/>
          <w:szCs w:val="24"/>
        </w:rPr>
        <w:t>ratio</w:t>
      </w:r>
      <w:r>
        <w:rPr>
          <w:sz w:val="24"/>
          <w:szCs w:val="24"/>
        </w:rPr>
        <w:t>, mínimo de 7,0. Já o valor mínimo, estabelecido pelo MAPA (2016),</w:t>
      </w:r>
      <w:r w:rsidR="003869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néctares é de: SST, mínimo de 10,50 °Brix, </w:t>
      </w:r>
      <w:r>
        <w:rPr>
          <w:i/>
          <w:sz w:val="24"/>
          <w:szCs w:val="24"/>
        </w:rPr>
        <w:t>ratio</w:t>
      </w:r>
      <w:r>
        <w:rPr>
          <w:sz w:val="24"/>
          <w:szCs w:val="24"/>
        </w:rPr>
        <w:t>, mínimo de 17,50, e, ATT, mínimo de 0,60.</w:t>
      </w:r>
    </w:p>
    <w:p w:rsidR="0040649D" w:rsidRDefault="00A12B9B" w:rsidP="008D7D8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relação aos resultados de sólidos solúveis (SST) foi menor que 10,50 °Brix em </w:t>
      </w:r>
      <w:r w:rsidR="00972BF6">
        <w:rPr>
          <w:sz w:val="24"/>
          <w:szCs w:val="24"/>
        </w:rPr>
        <w:t>quatro</w:t>
      </w:r>
      <w:r>
        <w:rPr>
          <w:sz w:val="24"/>
          <w:szCs w:val="24"/>
        </w:rPr>
        <w:t xml:space="preserve"> amostras (Mais Vita, Da </w:t>
      </w:r>
      <w:r w:rsidR="00AE1F4A">
        <w:rPr>
          <w:sz w:val="24"/>
          <w:szCs w:val="24"/>
        </w:rPr>
        <w:t>fruta Pre</w:t>
      </w:r>
      <w:r w:rsidR="00972BF6">
        <w:rPr>
          <w:sz w:val="24"/>
          <w:szCs w:val="24"/>
        </w:rPr>
        <w:t>mium,</w:t>
      </w:r>
      <w:r w:rsidR="00AE1F4A">
        <w:rPr>
          <w:sz w:val="24"/>
          <w:szCs w:val="24"/>
        </w:rPr>
        <w:t xml:space="preserve"> Del Valle Kapo</w:t>
      </w:r>
      <w:r w:rsidR="00972BF6">
        <w:rPr>
          <w:sz w:val="24"/>
          <w:szCs w:val="24"/>
        </w:rPr>
        <w:t xml:space="preserve"> e 100% Jandaia</w:t>
      </w:r>
      <w:r w:rsidR="00AE1F4A">
        <w:rPr>
          <w:sz w:val="24"/>
          <w:szCs w:val="24"/>
        </w:rPr>
        <w:t>),</w:t>
      </w:r>
      <w:r>
        <w:rPr>
          <w:sz w:val="24"/>
          <w:szCs w:val="24"/>
        </w:rPr>
        <w:t xml:space="preserve"> os valores de °Brix muito baixo</w:t>
      </w:r>
      <w:r w:rsidR="00AE1F4A">
        <w:rPr>
          <w:sz w:val="24"/>
          <w:szCs w:val="24"/>
        </w:rPr>
        <w:t>s</w:t>
      </w:r>
      <w:r>
        <w:rPr>
          <w:sz w:val="24"/>
          <w:szCs w:val="24"/>
        </w:rPr>
        <w:t xml:space="preserve"> podem ser </w:t>
      </w:r>
      <w:r w:rsidR="00972BF6">
        <w:rPr>
          <w:sz w:val="24"/>
          <w:szCs w:val="24"/>
        </w:rPr>
        <w:t>devido à adição excessiva de água, e como observados essas quatro</w:t>
      </w:r>
      <w:r>
        <w:rPr>
          <w:sz w:val="24"/>
          <w:szCs w:val="24"/>
        </w:rPr>
        <w:t xml:space="preserve"> amostras não respeitaram os </w:t>
      </w:r>
      <w:r w:rsidR="003B2445">
        <w:rPr>
          <w:sz w:val="24"/>
          <w:szCs w:val="24"/>
        </w:rPr>
        <w:t>valores mínimos previstos pela l</w:t>
      </w:r>
      <w:r>
        <w:rPr>
          <w:sz w:val="24"/>
          <w:szCs w:val="24"/>
        </w:rPr>
        <w:t>egislação em vigor</w:t>
      </w:r>
      <w:r w:rsidR="008D7D8A">
        <w:rPr>
          <w:sz w:val="24"/>
          <w:szCs w:val="24"/>
        </w:rPr>
        <w:t>, assim como algumas amostras analisadas por Santos</w:t>
      </w:r>
      <w:r w:rsidR="00386912">
        <w:rPr>
          <w:sz w:val="24"/>
          <w:szCs w:val="24"/>
        </w:rPr>
        <w:t xml:space="preserve"> </w:t>
      </w:r>
      <w:r w:rsidRPr="00A12B9B">
        <w:rPr>
          <w:i/>
          <w:sz w:val="24"/>
          <w:szCs w:val="24"/>
        </w:rPr>
        <w:t>et. al</w:t>
      </w:r>
      <w:r>
        <w:rPr>
          <w:sz w:val="24"/>
          <w:szCs w:val="24"/>
        </w:rPr>
        <w:t xml:space="preserve">. </w:t>
      </w:r>
      <w:r w:rsidR="008D7D8A">
        <w:rPr>
          <w:sz w:val="24"/>
          <w:szCs w:val="24"/>
        </w:rPr>
        <w:t>(</w:t>
      </w:r>
      <w:r>
        <w:rPr>
          <w:sz w:val="24"/>
          <w:szCs w:val="24"/>
        </w:rPr>
        <w:t>2012).</w:t>
      </w:r>
      <w:r w:rsidR="00386912">
        <w:rPr>
          <w:sz w:val="24"/>
          <w:szCs w:val="24"/>
        </w:rPr>
        <w:t xml:space="preserve"> No suco adoçado</w:t>
      </w:r>
      <w:r w:rsidR="0040649D">
        <w:rPr>
          <w:sz w:val="24"/>
          <w:szCs w:val="24"/>
        </w:rPr>
        <w:t xml:space="preserve"> a adição de açúcar eleva o teor de SST, e para retornar à concentração original, as indústrias adicionam água ao suco (FIGUEIRA, 2010).</w:t>
      </w:r>
    </w:p>
    <w:p w:rsidR="00A12B9B" w:rsidRDefault="008D7D8A" w:rsidP="008D7D8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caso das outras amostras de sucos de laranja</w:t>
      </w:r>
      <w:r w:rsidR="00AB4324">
        <w:rPr>
          <w:sz w:val="24"/>
          <w:szCs w:val="24"/>
        </w:rPr>
        <w:t>, Jordão (2005), Tavares</w:t>
      </w:r>
      <w:r w:rsidR="00AB4324" w:rsidRPr="00AB4324">
        <w:rPr>
          <w:i/>
          <w:sz w:val="24"/>
          <w:szCs w:val="24"/>
        </w:rPr>
        <w:t xml:space="preserve"> et </w:t>
      </w:r>
      <w:r w:rsidR="00AB4324">
        <w:rPr>
          <w:i/>
          <w:sz w:val="24"/>
          <w:szCs w:val="24"/>
        </w:rPr>
        <w:t>al.</w:t>
      </w:r>
      <w:r w:rsidR="00AB4324">
        <w:rPr>
          <w:sz w:val="24"/>
          <w:szCs w:val="24"/>
        </w:rPr>
        <w:t xml:space="preserve"> (2000), Barboza</w:t>
      </w:r>
      <w:r w:rsidR="00AB4324" w:rsidRPr="00AB4324">
        <w:rPr>
          <w:i/>
          <w:sz w:val="24"/>
          <w:szCs w:val="24"/>
        </w:rPr>
        <w:t xml:space="preserve"> et </w:t>
      </w:r>
      <w:r w:rsidR="00AB4324">
        <w:rPr>
          <w:i/>
          <w:sz w:val="24"/>
          <w:szCs w:val="24"/>
        </w:rPr>
        <w:t>al.</w:t>
      </w:r>
      <w:r w:rsidR="00AB4324">
        <w:rPr>
          <w:sz w:val="24"/>
          <w:szCs w:val="24"/>
        </w:rPr>
        <w:t xml:space="preserve"> (2018), Figueira </w:t>
      </w:r>
      <w:r w:rsidR="00AB4324" w:rsidRPr="00AB4324">
        <w:rPr>
          <w:i/>
          <w:sz w:val="24"/>
          <w:szCs w:val="24"/>
        </w:rPr>
        <w:t>et al</w:t>
      </w:r>
      <w:r w:rsidR="00AB4324">
        <w:rPr>
          <w:i/>
          <w:sz w:val="24"/>
          <w:szCs w:val="24"/>
        </w:rPr>
        <w:t xml:space="preserve">. </w:t>
      </w:r>
      <w:r w:rsidR="00AB4324">
        <w:rPr>
          <w:sz w:val="24"/>
          <w:szCs w:val="24"/>
        </w:rPr>
        <w:t xml:space="preserve">(2010), Venâncio e Martins (2012), Silva </w:t>
      </w:r>
      <w:r w:rsidR="00AB4324" w:rsidRPr="00AB4324">
        <w:rPr>
          <w:i/>
          <w:sz w:val="24"/>
          <w:szCs w:val="24"/>
        </w:rPr>
        <w:t>et al</w:t>
      </w:r>
      <w:r w:rsidR="00AB4324">
        <w:rPr>
          <w:sz w:val="24"/>
          <w:szCs w:val="24"/>
        </w:rPr>
        <w:t>. (2005), e, Danieli</w:t>
      </w:r>
      <w:r w:rsidR="00AB4324" w:rsidRPr="00AB4324">
        <w:rPr>
          <w:i/>
          <w:sz w:val="24"/>
          <w:szCs w:val="24"/>
        </w:rPr>
        <w:t xml:space="preserve"> et </w:t>
      </w:r>
      <w:r w:rsidR="00AB4324">
        <w:rPr>
          <w:i/>
          <w:sz w:val="24"/>
          <w:szCs w:val="24"/>
        </w:rPr>
        <w:t>al.</w:t>
      </w:r>
      <w:r w:rsidR="00AB4324">
        <w:rPr>
          <w:sz w:val="24"/>
          <w:szCs w:val="24"/>
        </w:rPr>
        <w:t xml:space="preserve"> (2009) também analisaram o teor de </w:t>
      </w:r>
      <w:r>
        <w:rPr>
          <w:sz w:val="24"/>
          <w:szCs w:val="24"/>
        </w:rPr>
        <w:t xml:space="preserve">sólidos solúveis totais (SST) em sucos de </w:t>
      </w:r>
      <w:r>
        <w:rPr>
          <w:sz w:val="24"/>
          <w:szCs w:val="24"/>
        </w:rPr>
        <w:lastRenderedPageBreak/>
        <w:t>laranja industrializados encontrando resultados semelhantes, maiores ou iguais a 10,50 °Brix estabelecidos pelas normas do MAPA.</w:t>
      </w:r>
    </w:p>
    <w:p w:rsidR="0018455B" w:rsidRDefault="00E32154" w:rsidP="00D3523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</w:t>
      </w:r>
      <w:r w:rsidR="00B208CC">
        <w:rPr>
          <w:sz w:val="24"/>
          <w:szCs w:val="24"/>
        </w:rPr>
        <w:t>à</w:t>
      </w:r>
      <w:r>
        <w:rPr>
          <w:sz w:val="24"/>
          <w:szCs w:val="24"/>
        </w:rPr>
        <w:t xml:space="preserve"> acidez total titulável (ATT), </w:t>
      </w:r>
      <w:r w:rsidR="00B208CC">
        <w:rPr>
          <w:sz w:val="24"/>
          <w:szCs w:val="24"/>
        </w:rPr>
        <w:t>a l</w:t>
      </w:r>
      <w:r>
        <w:rPr>
          <w:sz w:val="24"/>
          <w:szCs w:val="24"/>
        </w:rPr>
        <w:t xml:space="preserve">egislação </w:t>
      </w:r>
      <w:r w:rsidR="00B208CC">
        <w:rPr>
          <w:sz w:val="24"/>
          <w:szCs w:val="24"/>
        </w:rPr>
        <w:t>b</w:t>
      </w:r>
      <w:r>
        <w:rPr>
          <w:sz w:val="24"/>
          <w:szCs w:val="24"/>
        </w:rPr>
        <w:t xml:space="preserve">rasileira estabelece </w:t>
      </w:r>
      <w:r w:rsidR="00B208CC">
        <w:rPr>
          <w:sz w:val="24"/>
          <w:szCs w:val="24"/>
        </w:rPr>
        <w:t>para os néctares de laranja o valor mínimo de 0,60, o que não é observado em nenhuma das amostras de néctares analisadas. Já em relação aos sucos de laranja a legislação brasileira não estabelece um valor mínimo ou máximo de ATT.</w:t>
      </w:r>
    </w:p>
    <w:p w:rsidR="00555769" w:rsidRDefault="00D35231" w:rsidP="00D3523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 valores da relação SST/ATT (</w:t>
      </w:r>
      <w:r>
        <w:rPr>
          <w:i/>
          <w:sz w:val="24"/>
          <w:szCs w:val="24"/>
        </w:rPr>
        <w:t>ratio</w:t>
      </w:r>
      <w:r>
        <w:rPr>
          <w:sz w:val="24"/>
          <w:szCs w:val="24"/>
        </w:rPr>
        <w:t>) obtidos de todas as amostras diferentes de sucos de laranja industrializados estão de acordo com o que é estabelecido pe</w:t>
      </w:r>
      <w:r w:rsidR="003B2445">
        <w:rPr>
          <w:sz w:val="24"/>
          <w:szCs w:val="24"/>
        </w:rPr>
        <w:t>la legislação b</w:t>
      </w:r>
      <w:r>
        <w:rPr>
          <w:sz w:val="24"/>
          <w:szCs w:val="24"/>
        </w:rPr>
        <w:t xml:space="preserve">rasileira. </w:t>
      </w:r>
      <w:r w:rsidR="0018455B">
        <w:rPr>
          <w:sz w:val="24"/>
          <w:szCs w:val="24"/>
        </w:rPr>
        <w:t xml:space="preserve">Os altos valores de </w:t>
      </w:r>
      <w:r w:rsidR="0018455B">
        <w:rPr>
          <w:i/>
          <w:sz w:val="24"/>
          <w:szCs w:val="24"/>
        </w:rPr>
        <w:t>ratio</w:t>
      </w:r>
      <w:r w:rsidR="00EC66A2">
        <w:rPr>
          <w:i/>
          <w:sz w:val="24"/>
          <w:szCs w:val="24"/>
        </w:rPr>
        <w:t xml:space="preserve"> </w:t>
      </w:r>
      <w:r w:rsidR="0018455B">
        <w:rPr>
          <w:sz w:val="24"/>
          <w:szCs w:val="24"/>
        </w:rPr>
        <w:t>encontrados nas análises se assemelham aos resultados obtidos por Figueira</w:t>
      </w:r>
      <w:r w:rsidR="00EC66A2">
        <w:rPr>
          <w:sz w:val="24"/>
          <w:szCs w:val="24"/>
        </w:rPr>
        <w:t xml:space="preserve"> </w:t>
      </w:r>
      <w:r w:rsidR="0018455B" w:rsidRPr="00AB4324">
        <w:rPr>
          <w:i/>
          <w:sz w:val="24"/>
          <w:szCs w:val="24"/>
        </w:rPr>
        <w:t>et al</w:t>
      </w:r>
      <w:r w:rsidR="0018455B">
        <w:rPr>
          <w:i/>
          <w:sz w:val="24"/>
          <w:szCs w:val="24"/>
        </w:rPr>
        <w:t>.</w:t>
      </w:r>
      <w:r w:rsidR="0018455B">
        <w:rPr>
          <w:sz w:val="24"/>
          <w:szCs w:val="24"/>
        </w:rPr>
        <w:t xml:space="preserve"> (2010), entretanto, a</w:t>
      </w:r>
      <w:r w:rsidR="003758F2">
        <w:rPr>
          <w:sz w:val="24"/>
          <w:szCs w:val="24"/>
        </w:rPr>
        <w:t xml:space="preserve">pesar das amostras estarem de acordo com as normas estabelecidas, Kimball (1991) cita que os consumidores preferem produtos com </w:t>
      </w:r>
      <w:r w:rsidR="003758F2">
        <w:rPr>
          <w:i/>
          <w:sz w:val="24"/>
          <w:szCs w:val="24"/>
        </w:rPr>
        <w:t>ratio</w:t>
      </w:r>
      <w:r w:rsidR="003758F2">
        <w:rPr>
          <w:sz w:val="24"/>
          <w:szCs w:val="24"/>
        </w:rPr>
        <w:t xml:space="preserve"> entre 15 a 18 para os sucos cítricos.</w:t>
      </w:r>
    </w:p>
    <w:p w:rsidR="00081508" w:rsidRDefault="00081508" w:rsidP="00F53DCB">
      <w:pPr>
        <w:spacing w:line="360" w:lineRule="auto"/>
        <w:jc w:val="both"/>
        <w:rPr>
          <w:sz w:val="24"/>
          <w:szCs w:val="24"/>
        </w:rPr>
      </w:pPr>
    </w:p>
    <w:p w:rsidR="00F53DCB" w:rsidRDefault="0012462E" w:rsidP="00F53DCB">
      <w:pPr>
        <w:spacing w:line="360" w:lineRule="auto"/>
        <w:jc w:val="both"/>
        <w:rPr>
          <w:sz w:val="24"/>
          <w:szCs w:val="24"/>
        </w:rPr>
      </w:pPr>
      <w:r w:rsidRPr="0096111D">
        <w:rPr>
          <w:b/>
          <w:sz w:val="24"/>
          <w:szCs w:val="24"/>
        </w:rPr>
        <w:t xml:space="preserve">4. </w:t>
      </w:r>
      <w:r w:rsidR="0042057D" w:rsidRPr="0096111D">
        <w:rPr>
          <w:b/>
          <w:sz w:val="24"/>
          <w:szCs w:val="24"/>
        </w:rPr>
        <w:t>CONCLUSÃO</w:t>
      </w:r>
    </w:p>
    <w:p w:rsidR="00752AB7" w:rsidRDefault="00522B8E" w:rsidP="00752AB7">
      <w:pPr>
        <w:spacing w:line="360" w:lineRule="auto"/>
        <w:ind w:firstLine="708"/>
        <w:jc w:val="both"/>
        <w:rPr>
          <w:sz w:val="24"/>
          <w:szCs w:val="24"/>
        </w:rPr>
      </w:pPr>
      <w:r w:rsidRPr="00522B8E">
        <w:rPr>
          <w:sz w:val="24"/>
          <w:szCs w:val="24"/>
        </w:rPr>
        <w:t>A partir dos resultados obtidos observou-se que</w:t>
      </w:r>
      <w:r w:rsidR="00752AB7">
        <w:rPr>
          <w:sz w:val="24"/>
          <w:szCs w:val="24"/>
        </w:rPr>
        <w:t>, embora, algumas amostras analisadas estarem de acordo com as normas estabelecidas os diferentes tipos e marcas de sucos de laranja industrializados difere nos resultados dos parâmetros físico-químicos, isso pode ocorrer devido à distinta composição química dos néctares e sucos de laranja.</w:t>
      </w:r>
    </w:p>
    <w:p w:rsidR="00BA1F9E" w:rsidRDefault="00BA1F9E" w:rsidP="00752AB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Dentre as oito amostras de sucos e néctares de laranja industrializados analisados, apenas a amostra de suco Vigor Vig encontra-se no limite dos padrões determinados pelo MAPA, apresentando-se estar apta para consumo, pois as quatro amostras de néctares e as outras três amostras de suco não estavam dentro de algum parâmetro físico-químico</w:t>
      </w:r>
      <w:r w:rsidR="00905163">
        <w:rPr>
          <w:sz w:val="24"/>
          <w:szCs w:val="24"/>
        </w:rPr>
        <w:t xml:space="preserve"> estabelecido.</w:t>
      </w:r>
    </w:p>
    <w:p w:rsidR="00A16D12" w:rsidRDefault="00FC737C" w:rsidP="0008150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A16D12">
        <w:rPr>
          <w:sz w:val="24"/>
          <w:szCs w:val="24"/>
        </w:rPr>
        <w:t xml:space="preserve">ste resultado reforça a necessidade de maior controle por parte dos órgãos responsáveis pela fiscalização, assim como a necessidade de mais pesquisas </w:t>
      </w:r>
      <w:r>
        <w:rPr>
          <w:sz w:val="24"/>
          <w:szCs w:val="24"/>
        </w:rPr>
        <w:t xml:space="preserve">sobre </w:t>
      </w:r>
      <w:r w:rsidR="00A16D12">
        <w:rPr>
          <w:sz w:val="24"/>
          <w:szCs w:val="24"/>
        </w:rPr>
        <w:t>a composição química</w:t>
      </w:r>
      <w:r w:rsidR="0006197B">
        <w:rPr>
          <w:sz w:val="24"/>
          <w:szCs w:val="24"/>
        </w:rPr>
        <w:t xml:space="preserve"> dos sucos industrializados</w:t>
      </w:r>
      <w:r w:rsidR="00A16D12">
        <w:rPr>
          <w:sz w:val="24"/>
          <w:szCs w:val="24"/>
        </w:rPr>
        <w:t>, das embalagens “Tetra-Pak”,</w:t>
      </w:r>
      <w:r w:rsidR="0006197B">
        <w:rPr>
          <w:sz w:val="24"/>
          <w:szCs w:val="24"/>
        </w:rPr>
        <w:t xml:space="preserve"> refrigeração inadequada,</w:t>
      </w:r>
      <w:r w:rsidR="00181A6C">
        <w:rPr>
          <w:sz w:val="24"/>
          <w:szCs w:val="24"/>
        </w:rPr>
        <w:t xml:space="preserve"> </w:t>
      </w:r>
      <w:r w:rsidR="0006197B">
        <w:rPr>
          <w:sz w:val="24"/>
          <w:szCs w:val="24"/>
        </w:rPr>
        <w:t>d</w:t>
      </w:r>
      <w:r w:rsidR="00A16D12">
        <w:rPr>
          <w:sz w:val="24"/>
          <w:szCs w:val="24"/>
        </w:rPr>
        <w:t>entre outros</w:t>
      </w:r>
      <w:r>
        <w:rPr>
          <w:sz w:val="24"/>
          <w:szCs w:val="24"/>
        </w:rPr>
        <w:t xml:space="preserve"> fatores que</w:t>
      </w:r>
      <w:r w:rsidR="0006197B">
        <w:rPr>
          <w:sz w:val="24"/>
          <w:szCs w:val="24"/>
        </w:rPr>
        <w:t xml:space="preserve"> podem</w:t>
      </w:r>
      <w:r>
        <w:rPr>
          <w:sz w:val="24"/>
          <w:szCs w:val="24"/>
        </w:rPr>
        <w:t xml:space="preserve"> influencia</w:t>
      </w:r>
      <w:r w:rsidR="0006197B">
        <w:rPr>
          <w:sz w:val="24"/>
          <w:szCs w:val="24"/>
        </w:rPr>
        <w:t>r</w:t>
      </w:r>
      <w:r w:rsidR="00A16D12">
        <w:rPr>
          <w:sz w:val="24"/>
          <w:szCs w:val="24"/>
        </w:rPr>
        <w:t xml:space="preserve"> nos resultados dos parâmetros físico-químicos</w:t>
      </w:r>
      <w:r w:rsidR="00CE2EC3">
        <w:rPr>
          <w:sz w:val="24"/>
          <w:szCs w:val="24"/>
        </w:rPr>
        <w:t xml:space="preserve"> dos sucos e néctares de laranja</w:t>
      </w:r>
      <w:r w:rsidR="00A16D12">
        <w:rPr>
          <w:sz w:val="24"/>
          <w:szCs w:val="24"/>
        </w:rPr>
        <w:t>.</w:t>
      </w:r>
      <w:r w:rsidR="00B20FD7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>Além disso, observa-se a ausência de alguns atributos na legislação brasileira tanto dos sucos quanto dos néctares de laranja industrializados, impossibilitando um controle de qualidade mais elaborado e rigoroso.</w:t>
      </w:r>
      <w:r w:rsidR="00CE2EC3">
        <w:rPr>
          <w:sz w:val="24"/>
          <w:szCs w:val="24"/>
        </w:rPr>
        <w:t xml:space="preserve"> Portanto, recomenda-se a fixação desses parâmetros</w:t>
      </w:r>
      <w:r w:rsidR="0006197B">
        <w:rPr>
          <w:sz w:val="24"/>
          <w:szCs w:val="24"/>
        </w:rPr>
        <w:t xml:space="preserve"> pelo órgão responsável</w:t>
      </w:r>
      <w:r w:rsidR="00CE2EC3">
        <w:rPr>
          <w:sz w:val="24"/>
          <w:szCs w:val="24"/>
        </w:rPr>
        <w:t>.</w:t>
      </w:r>
    </w:p>
    <w:p w:rsidR="0012462E" w:rsidRPr="0096111D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  <w:r w:rsidRPr="0096111D">
        <w:rPr>
          <w:b/>
          <w:sz w:val="24"/>
          <w:szCs w:val="24"/>
        </w:rPr>
        <w:lastRenderedPageBreak/>
        <w:t>REFERÊNCIAS</w:t>
      </w:r>
    </w:p>
    <w:p w:rsidR="007E5E89" w:rsidRPr="0096111D" w:rsidRDefault="007E5E89" w:rsidP="0012462E">
      <w:pPr>
        <w:tabs>
          <w:tab w:val="left" w:pos="1290"/>
        </w:tabs>
        <w:jc w:val="both"/>
        <w:rPr>
          <w:sz w:val="24"/>
          <w:szCs w:val="24"/>
        </w:rPr>
      </w:pPr>
    </w:p>
    <w:p w:rsidR="00FA4980" w:rsidRPr="00FA4980" w:rsidRDefault="00FA4980" w:rsidP="00557487">
      <w:pPr>
        <w:tabs>
          <w:tab w:val="left" w:pos="1290"/>
        </w:tabs>
        <w:rPr>
          <w:sz w:val="24"/>
          <w:szCs w:val="24"/>
        </w:rPr>
      </w:pPr>
      <w:r w:rsidRPr="00FA4980">
        <w:rPr>
          <w:sz w:val="24"/>
          <w:szCs w:val="24"/>
          <w:lang w:val="en-US"/>
        </w:rPr>
        <w:t xml:space="preserve">AOAC. ASSOCIATION OF OFICIAL ANALYTICAL CHEMISTS. </w:t>
      </w:r>
      <w:r w:rsidRPr="00F341CE">
        <w:rPr>
          <w:b/>
          <w:sz w:val="24"/>
          <w:szCs w:val="24"/>
        </w:rPr>
        <w:t>Official methods of analysis</w:t>
      </w:r>
      <w:r w:rsidRPr="00F341CE">
        <w:rPr>
          <w:sz w:val="24"/>
          <w:szCs w:val="24"/>
        </w:rPr>
        <w:t>.</w:t>
      </w:r>
      <w:r w:rsidR="00F341CE" w:rsidRPr="00F341CE">
        <w:rPr>
          <w:sz w:val="24"/>
          <w:szCs w:val="24"/>
        </w:rPr>
        <w:t xml:space="preserve"> 1</w:t>
      </w:r>
      <w:r w:rsidR="00F341CE">
        <w:rPr>
          <w:sz w:val="24"/>
          <w:szCs w:val="24"/>
        </w:rPr>
        <w:t>6th ed.,</w:t>
      </w:r>
      <w:r w:rsidRPr="00F341CE">
        <w:rPr>
          <w:sz w:val="24"/>
          <w:szCs w:val="24"/>
        </w:rPr>
        <w:t xml:space="preserve"> </w:t>
      </w:r>
      <w:r w:rsidRPr="00FA4980">
        <w:rPr>
          <w:sz w:val="24"/>
          <w:szCs w:val="24"/>
        </w:rPr>
        <w:t>Washington D.C.: AOAC, v.</w:t>
      </w:r>
      <w:r>
        <w:rPr>
          <w:sz w:val="24"/>
          <w:szCs w:val="24"/>
        </w:rPr>
        <w:t xml:space="preserve"> 2,</w:t>
      </w:r>
      <w:r w:rsidRPr="00FA4980">
        <w:rPr>
          <w:sz w:val="24"/>
          <w:szCs w:val="24"/>
        </w:rPr>
        <w:t xml:space="preserve"> 1997.</w:t>
      </w:r>
    </w:p>
    <w:p w:rsidR="00FA4980" w:rsidRPr="00FA4980" w:rsidRDefault="00FA4980" w:rsidP="00FA4980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F92879" w:rsidRDefault="00F92879" w:rsidP="00557487">
      <w:pPr>
        <w:tabs>
          <w:tab w:val="left" w:pos="1290"/>
        </w:tabs>
        <w:rPr>
          <w:bCs/>
          <w:sz w:val="24"/>
          <w:szCs w:val="24"/>
        </w:rPr>
      </w:pPr>
      <w:r w:rsidRPr="00F92879">
        <w:rPr>
          <w:sz w:val="24"/>
          <w:szCs w:val="24"/>
        </w:rPr>
        <w:t xml:space="preserve">BARBOZA, A. C. S. OLIVEIRA, G. F.; AZEVEDO, J. L.; ALVES, J. C.; PAULA, B. M. D. </w:t>
      </w:r>
      <w:r w:rsidRPr="00F9287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arâmetros físicos e químicos de suco, néctar, suco tropical e </w:t>
      </w:r>
      <w:r w:rsidRPr="00F92879">
        <w:rPr>
          <w:b/>
          <w:bCs/>
          <w:sz w:val="24"/>
          <w:szCs w:val="24"/>
        </w:rPr>
        <w:t>bebida mista de laranja</w:t>
      </w:r>
      <w:r w:rsidRPr="00F92879">
        <w:rPr>
          <w:bCs/>
          <w:sz w:val="24"/>
          <w:szCs w:val="24"/>
        </w:rPr>
        <w:t>. In: Universidade, EaD e Software Livre (UEADSL), 2018.</w:t>
      </w:r>
    </w:p>
    <w:p w:rsidR="00F92879" w:rsidRDefault="00F92879" w:rsidP="00557487">
      <w:pPr>
        <w:tabs>
          <w:tab w:val="left" w:pos="1290"/>
        </w:tabs>
        <w:spacing w:line="480" w:lineRule="auto"/>
        <w:rPr>
          <w:bCs/>
          <w:sz w:val="24"/>
          <w:szCs w:val="24"/>
        </w:rPr>
      </w:pPr>
    </w:p>
    <w:p w:rsidR="00584CF3" w:rsidRPr="00584CF3" w:rsidRDefault="00584CF3" w:rsidP="00557487">
      <w:pPr>
        <w:tabs>
          <w:tab w:val="left" w:pos="1290"/>
        </w:tabs>
        <w:rPr>
          <w:b/>
          <w:bCs/>
          <w:sz w:val="24"/>
          <w:szCs w:val="24"/>
        </w:rPr>
      </w:pPr>
      <w:r w:rsidRPr="00584CF3">
        <w:rPr>
          <w:bCs/>
          <w:sz w:val="24"/>
          <w:szCs w:val="24"/>
        </w:rPr>
        <w:t>BRASIL.</w:t>
      </w:r>
      <w:r w:rsidRPr="00584CF3">
        <w:rPr>
          <w:b/>
          <w:bCs/>
          <w:sz w:val="24"/>
          <w:szCs w:val="24"/>
        </w:rPr>
        <w:t xml:space="preserve"> Ministério da Agricultura, Pecuária e Abastecimento. Instrução Normativa nº </w:t>
      </w:r>
      <w:r>
        <w:rPr>
          <w:b/>
          <w:bCs/>
          <w:sz w:val="24"/>
          <w:szCs w:val="24"/>
        </w:rPr>
        <w:t xml:space="preserve">169 </w:t>
      </w:r>
      <w:r w:rsidRPr="00584CF3">
        <w:rPr>
          <w:b/>
          <w:bCs/>
          <w:sz w:val="24"/>
          <w:szCs w:val="24"/>
        </w:rPr>
        <w:t xml:space="preserve">de 1 de setembro de 2016. </w:t>
      </w:r>
      <w:r w:rsidRPr="00584CF3">
        <w:rPr>
          <w:bCs/>
          <w:sz w:val="24"/>
          <w:szCs w:val="24"/>
        </w:rPr>
        <w:t xml:space="preserve">Complementa padrões de identidade e </w:t>
      </w:r>
      <w:r>
        <w:rPr>
          <w:bCs/>
          <w:sz w:val="24"/>
          <w:szCs w:val="24"/>
        </w:rPr>
        <w:t xml:space="preserve">qualidade para suco de laranja. </w:t>
      </w:r>
      <w:r w:rsidRPr="00584CF3">
        <w:rPr>
          <w:bCs/>
          <w:sz w:val="24"/>
          <w:szCs w:val="24"/>
        </w:rPr>
        <w:t>Diário Oficial da União da República Federativa do Brasil. Brasília (DF), 2016.</w:t>
      </w:r>
    </w:p>
    <w:p w:rsidR="00584CF3" w:rsidRDefault="00584CF3" w:rsidP="00557487">
      <w:pPr>
        <w:tabs>
          <w:tab w:val="left" w:pos="1290"/>
        </w:tabs>
        <w:spacing w:line="480" w:lineRule="auto"/>
        <w:rPr>
          <w:bCs/>
          <w:sz w:val="24"/>
          <w:szCs w:val="24"/>
        </w:rPr>
      </w:pPr>
    </w:p>
    <w:p w:rsidR="00584CF3" w:rsidRDefault="00584CF3" w:rsidP="00557487">
      <w:pPr>
        <w:tabs>
          <w:tab w:val="left" w:pos="1290"/>
        </w:tabs>
        <w:rPr>
          <w:bCs/>
          <w:sz w:val="24"/>
          <w:szCs w:val="24"/>
        </w:rPr>
      </w:pPr>
      <w:r w:rsidRPr="00584CF3">
        <w:rPr>
          <w:bCs/>
          <w:sz w:val="24"/>
          <w:szCs w:val="24"/>
        </w:rPr>
        <w:t xml:space="preserve">BRASIL. </w:t>
      </w:r>
      <w:r w:rsidRPr="00584CF3">
        <w:rPr>
          <w:b/>
          <w:bCs/>
          <w:sz w:val="24"/>
          <w:szCs w:val="24"/>
        </w:rPr>
        <w:t>MINISTÉRIO DA AGRICULTURA. Lei Nº 8.918, DE 14 DE JULHO DE</w:t>
      </w:r>
      <w:r w:rsidRPr="00584CF3">
        <w:rPr>
          <w:b/>
          <w:bCs/>
          <w:sz w:val="24"/>
          <w:szCs w:val="24"/>
        </w:rPr>
        <w:br/>
        <w:t xml:space="preserve">1994. </w:t>
      </w:r>
      <w:r w:rsidRPr="00584CF3">
        <w:rPr>
          <w:bCs/>
          <w:sz w:val="24"/>
          <w:szCs w:val="24"/>
        </w:rPr>
        <w:t>Dispõe sobre a padronização, a classificação, o registro, a inspeção, aprodução e a fiscalização de bebidas, autoriza a criação da Comissão Intersetorial</w:t>
      </w:r>
      <w:r>
        <w:rPr>
          <w:bCs/>
          <w:sz w:val="24"/>
          <w:szCs w:val="24"/>
        </w:rPr>
        <w:t xml:space="preserve"> de Bebidas e dá outras </w:t>
      </w:r>
      <w:r w:rsidRPr="00584CF3">
        <w:rPr>
          <w:bCs/>
          <w:sz w:val="24"/>
          <w:szCs w:val="24"/>
        </w:rPr>
        <w:t>providências. Diário Oficial da União da República Federativa do Brasil. Brasília (DF), 1994.</w:t>
      </w:r>
    </w:p>
    <w:p w:rsidR="00584CF3" w:rsidRDefault="00584CF3" w:rsidP="00557487">
      <w:pPr>
        <w:tabs>
          <w:tab w:val="left" w:pos="1290"/>
        </w:tabs>
        <w:spacing w:line="480" w:lineRule="auto"/>
        <w:rPr>
          <w:b/>
          <w:bCs/>
          <w:sz w:val="24"/>
          <w:szCs w:val="24"/>
        </w:rPr>
      </w:pPr>
    </w:p>
    <w:p w:rsidR="00D73B30" w:rsidRPr="00D73B30" w:rsidRDefault="00D73B30" w:rsidP="00557487">
      <w:pPr>
        <w:tabs>
          <w:tab w:val="left" w:pos="1290"/>
        </w:tabs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CARMO, M. C. L.; DANTAS, M. I. S.; RIBEIRO, S. M. R. </w:t>
      </w:r>
      <w:r w:rsidRPr="00D73B30">
        <w:rPr>
          <w:bCs/>
          <w:sz w:val="24"/>
          <w:szCs w:val="24"/>
        </w:rPr>
        <w:t>Caracterização do mercado consumidor de sucos prontos para o consumo</w:t>
      </w:r>
      <w:r>
        <w:rPr>
          <w:bCs/>
          <w:sz w:val="24"/>
          <w:szCs w:val="24"/>
        </w:rPr>
        <w:t>.</w:t>
      </w:r>
      <w:r w:rsidR="004C0937" w:rsidRPr="004C0937">
        <w:rPr>
          <w:b/>
          <w:bCs/>
          <w:sz w:val="24"/>
          <w:szCs w:val="24"/>
        </w:rPr>
        <w:t xml:space="preserve"> </w:t>
      </w:r>
      <w:r w:rsidR="004C0937" w:rsidRPr="004C0937">
        <w:rPr>
          <w:b/>
          <w:bCs/>
          <w:sz w:val="24"/>
          <w:szCs w:val="24"/>
          <w:lang w:val="en-US"/>
        </w:rPr>
        <w:t>Brazilian Journal of Food Technology</w:t>
      </w:r>
      <w:r w:rsidRPr="00D73B30">
        <w:rPr>
          <w:bCs/>
          <w:sz w:val="24"/>
          <w:szCs w:val="24"/>
          <w:lang w:val="en-US"/>
        </w:rPr>
        <w:t xml:space="preserve">, Campinas, v. </w:t>
      </w:r>
      <w:r w:rsidR="004C0937">
        <w:rPr>
          <w:bCs/>
          <w:sz w:val="24"/>
          <w:szCs w:val="24"/>
          <w:lang w:val="en-US"/>
        </w:rPr>
        <w:t xml:space="preserve">17, n. 4, p. 305-309, </w:t>
      </w:r>
      <w:r w:rsidRPr="00D73B30">
        <w:rPr>
          <w:bCs/>
          <w:sz w:val="24"/>
          <w:szCs w:val="24"/>
          <w:lang w:val="en-US"/>
        </w:rPr>
        <w:t>2014</w:t>
      </w:r>
      <w:r>
        <w:rPr>
          <w:bCs/>
          <w:sz w:val="24"/>
          <w:szCs w:val="24"/>
          <w:lang w:val="en-US"/>
        </w:rPr>
        <w:t>.</w:t>
      </w:r>
    </w:p>
    <w:p w:rsidR="00D73B30" w:rsidRPr="00D73B30" w:rsidRDefault="00D73B30" w:rsidP="00557487">
      <w:pPr>
        <w:tabs>
          <w:tab w:val="left" w:pos="1290"/>
        </w:tabs>
        <w:spacing w:line="480" w:lineRule="auto"/>
        <w:rPr>
          <w:bCs/>
          <w:sz w:val="24"/>
          <w:szCs w:val="24"/>
          <w:lang w:val="en-US"/>
        </w:rPr>
      </w:pPr>
    </w:p>
    <w:p w:rsidR="00C76065" w:rsidRPr="00C76065" w:rsidRDefault="00C76065" w:rsidP="00557487">
      <w:pPr>
        <w:tabs>
          <w:tab w:val="left" w:pos="1290"/>
        </w:tabs>
        <w:rPr>
          <w:b/>
          <w:bCs/>
          <w:sz w:val="24"/>
          <w:szCs w:val="24"/>
        </w:rPr>
      </w:pPr>
      <w:r w:rsidRPr="00A66A66">
        <w:rPr>
          <w:bCs/>
          <w:sz w:val="24"/>
          <w:szCs w:val="24"/>
        </w:rPr>
        <w:t>CASTRO, M. V.</w:t>
      </w:r>
      <w:r w:rsidR="00A66A66">
        <w:rPr>
          <w:bCs/>
          <w:sz w:val="24"/>
          <w:szCs w:val="24"/>
        </w:rPr>
        <w:t>; OLIVEIRA, J. P.; MAGALHÃES JUNIOR, M. J.; ASSUNÇÃO, E. A. O.; BRASIL, A. P.; RABELO, F. L. A.; VALE, C. H. B.</w:t>
      </w:r>
      <w:r w:rsidR="00A66A66" w:rsidRPr="00A66A66">
        <w:rPr>
          <w:bCs/>
          <w:sz w:val="24"/>
          <w:szCs w:val="24"/>
        </w:rPr>
        <w:t xml:space="preserve"> </w:t>
      </w:r>
      <w:r w:rsidRPr="00C76065">
        <w:rPr>
          <w:bCs/>
          <w:sz w:val="24"/>
          <w:szCs w:val="24"/>
        </w:rPr>
        <w:t>Análise Química, Físico-Quimica e Microbiológica de Sucos de Frutas Industrializados.</w:t>
      </w:r>
      <w:r w:rsidR="00A66A66">
        <w:rPr>
          <w:bCs/>
          <w:sz w:val="24"/>
          <w:szCs w:val="24"/>
        </w:rPr>
        <w:t xml:space="preserve"> </w:t>
      </w:r>
      <w:r w:rsidRPr="00C76065">
        <w:rPr>
          <w:b/>
          <w:bCs/>
          <w:sz w:val="24"/>
          <w:szCs w:val="24"/>
        </w:rPr>
        <w:t>Diál</w:t>
      </w:r>
      <w:r w:rsidR="00A66A66">
        <w:rPr>
          <w:b/>
          <w:bCs/>
          <w:sz w:val="24"/>
          <w:szCs w:val="24"/>
        </w:rPr>
        <w:t>ogos &amp;</w:t>
      </w:r>
      <w:r w:rsidRPr="00C76065">
        <w:rPr>
          <w:b/>
          <w:bCs/>
          <w:sz w:val="24"/>
          <w:szCs w:val="24"/>
        </w:rPr>
        <w:t xml:space="preserve"> Ciênc</w:t>
      </w:r>
      <w:r w:rsidR="00A66A66">
        <w:rPr>
          <w:b/>
          <w:bCs/>
          <w:sz w:val="24"/>
          <w:szCs w:val="24"/>
        </w:rPr>
        <w:t>ia</w:t>
      </w:r>
      <w:r w:rsidRPr="00C76065">
        <w:rPr>
          <w:b/>
          <w:bCs/>
          <w:sz w:val="24"/>
          <w:szCs w:val="24"/>
        </w:rPr>
        <w:t xml:space="preserve">. </w:t>
      </w:r>
      <w:r w:rsidR="005C69E8">
        <w:rPr>
          <w:bCs/>
          <w:sz w:val="24"/>
          <w:szCs w:val="24"/>
        </w:rPr>
        <w:t xml:space="preserve">Salvador, </w:t>
      </w:r>
      <w:r w:rsidRPr="00C76065">
        <w:rPr>
          <w:bCs/>
          <w:sz w:val="24"/>
          <w:szCs w:val="24"/>
        </w:rPr>
        <w:t>Ano V, n. 12, 2007.</w:t>
      </w:r>
    </w:p>
    <w:p w:rsidR="00C76065" w:rsidRPr="00584CF3" w:rsidRDefault="00C76065" w:rsidP="00557487">
      <w:pPr>
        <w:tabs>
          <w:tab w:val="left" w:pos="1290"/>
        </w:tabs>
        <w:spacing w:line="480" w:lineRule="auto"/>
        <w:rPr>
          <w:b/>
          <w:bCs/>
          <w:sz w:val="24"/>
          <w:szCs w:val="24"/>
        </w:rPr>
      </w:pPr>
    </w:p>
    <w:p w:rsidR="00F92879" w:rsidRPr="00F92879" w:rsidRDefault="00C76065" w:rsidP="00557487">
      <w:pPr>
        <w:tabs>
          <w:tab w:val="left" w:pos="1290"/>
        </w:tabs>
        <w:rPr>
          <w:bCs/>
          <w:sz w:val="24"/>
          <w:szCs w:val="24"/>
        </w:rPr>
      </w:pPr>
      <w:r w:rsidRPr="00C76065">
        <w:rPr>
          <w:bCs/>
          <w:sz w:val="24"/>
          <w:szCs w:val="24"/>
        </w:rPr>
        <w:t xml:space="preserve">CORREA NETO, R.; FARIA, J. A. F. Fatores que influem na qualidade do suco de laranja. </w:t>
      </w:r>
      <w:r w:rsidRPr="00C76065">
        <w:rPr>
          <w:b/>
          <w:bCs/>
          <w:sz w:val="24"/>
          <w:szCs w:val="24"/>
        </w:rPr>
        <w:t>Ciência e Tecnologia de Alimentos</w:t>
      </w:r>
      <w:r w:rsidRPr="00C76065">
        <w:rPr>
          <w:bCs/>
          <w:sz w:val="24"/>
          <w:szCs w:val="24"/>
        </w:rPr>
        <w:t xml:space="preserve">, </w:t>
      </w:r>
      <w:r w:rsidR="005C69E8">
        <w:rPr>
          <w:bCs/>
          <w:sz w:val="24"/>
          <w:szCs w:val="24"/>
        </w:rPr>
        <w:t xml:space="preserve">Campinas, </w:t>
      </w:r>
      <w:r w:rsidRPr="00C76065">
        <w:rPr>
          <w:bCs/>
          <w:sz w:val="24"/>
          <w:szCs w:val="24"/>
        </w:rPr>
        <w:t>v. 19, n. 1, p. 153-160, 1999.</w:t>
      </w:r>
    </w:p>
    <w:p w:rsidR="007E5E89" w:rsidRDefault="007E5E89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C76065" w:rsidRDefault="003824D6" w:rsidP="00557487">
      <w:pPr>
        <w:tabs>
          <w:tab w:val="left" w:pos="1290"/>
        </w:tabs>
        <w:rPr>
          <w:sz w:val="24"/>
          <w:szCs w:val="24"/>
        </w:rPr>
      </w:pPr>
      <w:r w:rsidRPr="003824D6">
        <w:rPr>
          <w:sz w:val="24"/>
          <w:szCs w:val="24"/>
        </w:rPr>
        <w:t xml:space="preserve">DANIELI, F.; COSTA, L. R. L. G.; SILVA, L. C.; HARA, A. S. S.; SILVA, A. A. Determinação de vitamina C em amostras de suco de laranja </w:t>
      </w:r>
      <w:r w:rsidRPr="003824D6">
        <w:rPr>
          <w:i/>
          <w:sz w:val="24"/>
          <w:szCs w:val="24"/>
        </w:rPr>
        <w:t>in natura</w:t>
      </w:r>
      <w:r w:rsidRPr="003824D6">
        <w:rPr>
          <w:sz w:val="24"/>
          <w:szCs w:val="24"/>
        </w:rPr>
        <w:t xml:space="preserve"> e amostras comerciais de suco de laranja pasteurizado e envasado em embalagem Tetra Pak. </w:t>
      </w:r>
      <w:r w:rsidRPr="003824D6">
        <w:rPr>
          <w:b/>
          <w:sz w:val="24"/>
          <w:szCs w:val="24"/>
        </w:rPr>
        <w:t>Inst</w:t>
      </w:r>
      <w:r w:rsidR="00A66A66">
        <w:rPr>
          <w:b/>
          <w:sz w:val="24"/>
          <w:szCs w:val="24"/>
        </w:rPr>
        <w:t xml:space="preserve">ituto de </w:t>
      </w:r>
      <w:r w:rsidRPr="003824D6">
        <w:rPr>
          <w:b/>
          <w:sz w:val="24"/>
          <w:szCs w:val="24"/>
        </w:rPr>
        <w:t>Ciênc</w:t>
      </w:r>
      <w:r w:rsidR="00A66A66">
        <w:rPr>
          <w:b/>
          <w:sz w:val="24"/>
          <w:szCs w:val="24"/>
        </w:rPr>
        <w:t>ias da</w:t>
      </w:r>
      <w:r w:rsidRPr="003824D6">
        <w:rPr>
          <w:b/>
          <w:sz w:val="24"/>
          <w:szCs w:val="24"/>
        </w:rPr>
        <w:t xml:space="preserve"> Saúde</w:t>
      </w:r>
      <w:r w:rsidRPr="003824D6">
        <w:rPr>
          <w:sz w:val="24"/>
          <w:szCs w:val="24"/>
        </w:rPr>
        <w:t xml:space="preserve">, </w:t>
      </w:r>
      <w:r w:rsidR="005C69E8">
        <w:rPr>
          <w:sz w:val="24"/>
          <w:szCs w:val="24"/>
        </w:rPr>
        <w:t xml:space="preserve">São Paulo, </w:t>
      </w:r>
      <w:r w:rsidRPr="003824D6">
        <w:rPr>
          <w:sz w:val="24"/>
          <w:szCs w:val="24"/>
        </w:rPr>
        <w:t>v. 27, n. 4, p.</w:t>
      </w:r>
      <w:r w:rsidR="00A66A66">
        <w:rPr>
          <w:sz w:val="24"/>
          <w:szCs w:val="24"/>
        </w:rPr>
        <w:t xml:space="preserve"> </w:t>
      </w:r>
      <w:r w:rsidRPr="003824D6">
        <w:rPr>
          <w:sz w:val="24"/>
          <w:szCs w:val="24"/>
        </w:rPr>
        <w:t>361-165, 2009.</w:t>
      </w:r>
    </w:p>
    <w:p w:rsidR="003824D6" w:rsidRDefault="003824D6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3824D6" w:rsidRDefault="0014137C" w:rsidP="00557487">
      <w:pPr>
        <w:tabs>
          <w:tab w:val="left" w:pos="1290"/>
        </w:tabs>
        <w:rPr>
          <w:sz w:val="24"/>
          <w:szCs w:val="24"/>
        </w:rPr>
      </w:pPr>
      <w:r w:rsidRPr="0014137C">
        <w:rPr>
          <w:sz w:val="24"/>
          <w:szCs w:val="24"/>
        </w:rPr>
        <w:lastRenderedPageBreak/>
        <w:t xml:space="preserve">ESPERANCINI, M. S. T. </w:t>
      </w:r>
      <w:r w:rsidRPr="0014137C">
        <w:rPr>
          <w:b/>
          <w:sz w:val="24"/>
          <w:szCs w:val="24"/>
        </w:rPr>
        <w:t>Mercado brasileiro de bebidas</w:t>
      </w:r>
      <w:r w:rsidRPr="0014137C">
        <w:rPr>
          <w:sz w:val="24"/>
          <w:szCs w:val="24"/>
        </w:rPr>
        <w:t>.</w:t>
      </w:r>
      <w:r w:rsidR="00A66A66">
        <w:rPr>
          <w:sz w:val="24"/>
          <w:szCs w:val="24"/>
        </w:rPr>
        <w:t xml:space="preserve"> </w:t>
      </w:r>
      <w:r w:rsidR="002F3ABE" w:rsidRPr="002F3ABE">
        <w:rPr>
          <w:sz w:val="24"/>
          <w:szCs w:val="24"/>
        </w:rPr>
        <w:t xml:space="preserve">In: VENTURINI FILHO, W. G. (Coord.) </w:t>
      </w:r>
      <w:r w:rsidRPr="0014137C">
        <w:rPr>
          <w:bCs/>
          <w:sz w:val="24"/>
          <w:szCs w:val="24"/>
        </w:rPr>
        <w:t>Tecnologia</w:t>
      </w:r>
      <w:r w:rsidR="00A66A66">
        <w:rPr>
          <w:bCs/>
          <w:sz w:val="24"/>
          <w:szCs w:val="24"/>
        </w:rPr>
        <w:t xml:space="preserve"> </w:t>
      </w:r>
      <w:r w:rsidRPr="0014137C">
        <w:rPr>
          <w:bCs/>
          <w:sz w:val="24"/>
          <w:szCs w:val="24"/>
        </w:rPr>
        <w:t>de bebidas</w:t>
      </w:r>
      <w:r w:rsidRPr="0014137C">
        <w:rPr>
          <w:sz w:val="24"/>
          <w:szCs w:val="24"/>
        </w:rPr>
        <w:t>: matéria-prima, BPF/APPCC, legislação</w:t>
      </w:r>
      <w:r w:rsidR="00A66A66">
        <w:rPr>
          <w:sz w:val="24"/>
          <w:szCs w:val="24"/>
        </w:rPr>
        <w:t xml:space="preserve"> </w:t>
      </w:r>
      <w:r w:rsidRPr="0014137C">
        <w:rPr>
          <w:sz w:val="24"/>
          <w:szCs w:val="24"/>
        </w:rPr>
        <w:t>e mercado. S</w:t>
      </w:r>
      <w:r w:rsidR="00A66A66">
        <w:rPr>
          <w:sz w:val="24"/>
          <w:szCs w:val="24"/>
        </w:rPr>
        <w:t xml:space="preserve">ão Paulo: Edgard Blücher, </w:t>
      </w:r>
      <w:r w:rsidRPr="0014137C">
        <w:rPr>
          <w:sz w:val="24"/>
          <w:szCs w:val="24"/>
        </w:rPr>
        <w:t>cap. 2,</w:t>
      </w:r>
      <w:r w:rsidR="00A66A66">
        <w:rPr>
          <w:sz w:val="24"/>
          <w:szCs w:val="24"/>
        </w:rPr>
        <w:t xml:space="preserve"> </w:t>
      </w:r>
      <w:r w:rsidRPr="0014137C">
        <w:rPr>
          <w:sz w:val="24"/>
          <w:szCs w:val="24"/>
        </w:rPr>
        <w:t>p. 21-49</w:t>
      </w:r>
      <w:r w:rsidR="00A66A66">
        <w:rPr>
          <w:sz w:val="24"/>
          <w:szCs w:val="24"/>
        </w:rPr>
        <w:t>, 2005</w:t>
      </w:r>
      <w:r w:rsidRPr="0014137C">
        <w:rPr>
          <w:sz w:val="24"/>
          <w:szCs w:val="24"/>
        </w:rPr>
        <w:t>.</w:t>
      </w:r>
    </w:p>
    <w:p w:rsidR="0014137C" w:rsidRDefault="0014137C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1E6347" w:rsidRDefault="001E6347" w:rsidP="00557487">
      <w:pPr>
        <w:tabs>
          <w:tab w:val="left" w:pos="1290"/>
        </w:tabs>
        <w:rPr>
          <w:sz w:val="24"/>
          <w:szCs w:val="24"/>
        </w:rPr>
      </w:pPr>
      <w:r w:rsidRPr="001E6347">
        <w:rPr>
          <w:sz w:val="24"/>
          <w:szCs w:val="24"/>
        </w:rPr>
        <w:t>FIGUEIRA, R.; NOGUEIRA, A. M. P.; VENTU</w:t>
      </w:r>
      <w:r>
        <w:rPr>
          <w:sz w:val="24"/>
          <w:szCs w:val="24"/>
        </w:rPr>
        <w:t xml:space="preserve">RINI FILHO, W. G.; DUCATTI, C.; </w:t>
      </w:r>
      <w:r w:rsidRPr="001E6347">
        <w:rPr>
          <w:sz w:val="24"/>
          <w:szCs w:val="24"/>
        </w:rPr>
        <w:t>QUEIROZ, E. C.; PEREIRA, A. G. S.</w:t>
      </w:r>
      <w:r w:rsidR="008E7F50">
        <w:rPr>
          <w:sz w:val="24"/>
          <w:szCs w:val="24"/>
        </w:rPr>
        <w:t xml:space="preserve"> </w:t>
      </w:r>
      <w:r w:rsidRPr="001E6347">
        <w:rPr>
          <w:sz w:val="24"/>
          <w:szCs w:val="24"/>
        </w:rPr>
        <w:t>A</w:t>
      </w:r>
      <w:r w:rsidRPr="001E6347">
        <w:rPr>
          <w:bCs/>
          <w:sz w:val="24"/>
          <w:szCs w:val="24"/>
        </w:rPr>
        <w:t>nálise</w:t>
      </w:r>
      <w:r>
        <w:rPr>
          <w:bCs/>
          <w:sz w:val="24"/>
          <w:szCs w:val="24"/>
        </w:rPr>
        <w:t xml:space="preserve"> físico-química e legalidade em </w:t>
      </w:r>
      <w:r w:rsidRPr="001E6347">
        <w:rPr>
          <w:bCs/>
          <w:sz w:val="24"/>
          <w:szCs w:val="24"/>
        </w:rPr>
        <w:t>bebidas</w:t>
      </w:r>
      <w:r w:rsidR="008E7F50">
        <w:rPr>
          <w:bCs/>
          <w:sz w:val="24"/>
          <w:szCs w:val="24"/>
        </w:rPr>
        <w:t xml:space="preserve"> </w:t>
      </w:r>
      <w:r w:rsidRPr="001E6347">
        <w:rPr>
          <w:bCs/>
          <w:sz w:val="24"/>
          <w:szCs w:val="24"/>
        </w:rPr>
        <w:t>de laranja.</w:t>
      </w:r>
      <w:r w:rsidR="008E7F50">
        <w:rPr>
          <w:bCs/>
          <w:sz w:val="24"/>
          <w:szCs w:val="24"/>
        </w:rPr>
        <w:t xml:space="preserve"> </w:t>
      </w:r>
      <w:r w:rsidR="00AA6032">
        <w:rPr>
          <w:b/>
          <w:bCs/>
          <w:sz w:val="24"/>
          <w:szCs w:val="24"/>
        </w:rPr>
        <w:t>Alimentos e</w:t>
      </w:r>
      <w:r w:rsidRPr="001E6347">
        <w:rPr>
          <w:b/>
          <w:bCs/>
          <w:sz w:val="24"/>
          <w:szCs w:val="24"/>
        </w:rPr>
        <w:t xml:space="preserve"> Nutr</w:t>
      </w:r>
      <w:r w:rsidR="00AA6032">
        <w:rPr>
          <w:b/>
          <w:bCs/>
          <w:sz w:val="24"/>
          <w:szCs w:val="24"/>
        </w:rPr>
        <w:t>ição</w:t>
      </w:r>
      <w:r w:rsidRPr="001E6347">
        <w:rPr>
          <w:sz w:val="24"/>
          <w:szCs w:val="24"/>
        </w:rPr>
        <w:t xml:space="preserve"> </w:t>
      </w:r>
      <w:r w:rsidRPr="00AA6032">
        <w:rPr>
          <w:b/>
          <w:sz w:val="24"/>
          <w:szCs w:val="24"/>
        </w:rPr>
        <w:t>Araraquara</w:t>
      </w:r>
      <w:r w:rsidR="008E7F50">
        <w:rPr>
          <w:sz w:val="24"/>
          <w:szCs w:val="24"/>
        </w:rPr>
        <w:t>,</w:t>
      </w:r>
      <w:r w:rsidR="005C69E8">
        <w:rPr>
          <w:sz w:val="24"/>
          <w:szCs w:val="24"/>
        </w:rPr>
        <w:t xml:space="preserve"> São Paulo,</w:t>
      </w:r>
      <w:r w:rsidRPr="001E6347">
        <w:rPr>
          <w:sz w:val="24"/>
          <w:szCs w:val="24"/>
        </w:rPr>
        <w:t xml:space="preserve"> v. 21, n. 2, p. 267-272, 2010.</w:t>
      </w:r>
    </w:p>
    <w:p w:rsidR="001E6347" w:rsidRDefault="001E6347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1E6347" w:rsidRPr="00AA6032" w:rsidRDefault="00CC4CC4" w:rsidP="00557487">
      <w:pPr>
        <w:tabs>
          <w:tab w:val="left" w:pos="1290"/>
        </w:tabs>
        <w:rPr>
          <w:sz w:val="24"/>
          <w:szCs w:val="24"/>
        </w:rPr>
      </w:pPr>
      <w:r w:rsidRPr="00CC4CC4">
        <w:rPr>
          <w:sz w:val="24"/>
          <w:szCs w:val="24"/>
        </w:rPr>
        <w:t xml:space="preserve">JORDÃO, F. G. </w:t>
      </w:r>
      <w:r w:rsidRPr="00CC4CC4">
        <w:rPr>
          <w:b/>
          <w:sz w:val="24"/>
          <w:szCs w:val="24"/>
        </w:rPr>
        <w:t>Perfil sensorial e aceitabilidade de suco de laranja integral pasteurizado e suco de laranja reconstituído.</w:t>
      </w:r>
      <w:r w:rsidR="00AA6032">
        <w:rPr>
          <w:sz w:val="24"/>
          <w:szCs w:val="24"/>
        </w:rPr>
        <w:t xml:space="preserve"> 2005. 58 f. Dissertação (</w:t>
      </w:r>
      <w:r w:rsidRPr="00CC4CC4">
        <w:rPr>
          <w:sz w:val="24"/>
          <w:szCs w:val="24"/>
        </w:rPr>
        <w:t>Mestrado</w:t>
      </w:r>
      <w:r w:rsidR="00AA6032">
        <w:rPr>
          <w:sz w:val="24"/>
          <w:szCs w:val="24"/>
        </w:rPr>
        <w:t xml:space="preserve"> em Ciência e Tecnologia de Alimentos) – </w:t>
      </w:r>
      <w:r w:rsidRPr="00CC4CC4">
        <w:rPr>
          <w:sz w:val="24"/>
          <w:szCs w:val="24"/>
        </w:rPr>
        <w:t>Escola Superior de Agricultura Luiz de Queiroz</w:t>
      </w:r>
      <w:r w:rsidR="00AA6032">
        <w:rPr>
          <w:sz w:val="24"/>
          <w:szCs w:val="24"/>
        </w:rPr>
        <w:t>, Piracicaba</w:t>
      </w:r>
      <w:r w:rsidRPr="00CC4CC4">
        <w:rPr>
          <w:sz w:val="24"/>
          <w:szCs w:val="24"/>
        </w:rPr>
        <w:t>, 2005.</w:t>
      </w:r>
    </w:p>
    <w:p w:rsidR="0014137C" w:rsidRDefault="0014137C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167C6B" w:rsidRPr="00744250" w:rsidRDefault="00167C6B" w:rsidP="00557487">
      <w:pPr>
        <w:tabs>
          <w:tab w:val="left" w:pos="1290"/>
        </w:tabs>
        <w:rPr>
          <w:b/>
          <w:sz w:val="24"/>
          <w:szCs w:val="24"/>
        </w:rPr>
      </w:pPr>
      <w:r w:rsidRPr="004C576A">
        <w:rPr>
          <w:sz w:val="24"/>
          <w:szCs w:val="24"/>
          <w:lang w:val="en-US"/>
        </w:rPr>
        <w:t xml:space="preserve">KIMBALL, D. A. </w:t>
      </w:r>
      <w:r w:rsidRPr="004C576A">
        <w:rPr>
          <w:b/>
          <w:bCs/>
          <w:sz w:val="24"/>
          <w:szCs w:val="24"/>
          <w:lang w:val="en-US"/>
        </w:rPr>
        <w:t>Citrus processing</w:t>
      </w:r>
      <w:r w:rsidRPr="004C576A">
        <w:rPr>
          <w:bCs/>
          <w:sz w:val="24"/>
          <w:szCs w:val="24"/>
          <w:lang w:val="en-US"/>
        </w:rPr>
        <w:t>:</w:t>
      </w:r>
      <w:r w:rsidR="004C576A" w:rsidRPr="004C576A">
        <w:rPr>
          <w:bCs/>
          <w:sz w:val="24"/>
          <w:szCs w:val="24"/>
          <w:lang w:val="en-US"/>
        </w:rPr>
        <w:t xml:space="preserve"> </w:t>
      </w:r>
      <w:r w:rsidRPr="004C576A">
        <w:rPr>
          <w:sz w:val="24"/>
          <w:szCs w:val="24"/>
          <w:lang w:val="en-US"/>
        </w:rPr>
        <w:t>quality controland technology.</w:t>
      </w:r>
      <w:r w:rsidRPr="004C576A">
        <w:rPr>
          <w:b/>
          <w:sz w:val="24"/>
          <w:szCs w:val="24"/>
          <w:lang w:val="en-US"/>
        </w:rPr>
        <w:t xml:space="preserve"> </w:t>
      </w:r>
      <w:r w:rsidR="002F3ABE" w:rsidRPr="00AA6032">
        <w:rPr>
          <w:sz w:val="24"/>
          <w:szCs w:val="24"/>
        </w:rPr>
        <w:t>New York</w:t>
      </w:r>
      <w:r w:rsidR="002F3ABE" w:rsidRPr="002F3ABE">
        <w:rPr>
          <w:sz w:val="24"/>
          <w:szCs w:val="24"/>
          <w:lang w:val="en-US"/>
        </w:rPr>
        <w:t xml:space="preserve">: Van Nostrand Reinhold, 1991. </w:t>
      </w:r>
      <w:r w:rsidRPr="00744250">
        <w:rPr>
          <w:sz w:val="24"/>
          <w:szCs w:val="24"/>
        </w:rPr>
        <w:t>473p.</w:t>
      </w:r>
    </w:p>
    <w:p w:rsidR="00CC4CC4" w:rsidRPr="00744250" w:rsidRDefault="00CC4CC4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167C6B" w:rsidRDefault="00450CFD" w:rsidP="00557487">
      <w:pPr>
        <w:tabs>
          <w:tab w:val="left" w:pos="1290"/>
        </w:tabs>
        <w:rPr>
          <w:sz w:val="24"/>
          <w:szCs w:val="24"/>
        </w:rPr>
      </w:pPr>
      <w:r w:rsidRPr="00450CFD">
        <w:rPr>
          <w:sz w:val="24"/>
          <w:szCs w:val="24"/>
        </w:rPr>
        <w:t>LIMA, V.</w:t>
      </w:r>
      <w:r w:rsidR="004C576A">
        <w:rPr>
          <w:sz w:val="24"/>
          <w:szCs w:val="24"/>
        </w:rPr>
        <w:t xml:space="preserve"> </w:t>
      </w:r>
      <w:r w:rsidRPr="00450CFD">
        <w:rPr>
          <w:sz w:val="24"/>
          <w:szCs w:val="24"/>
        </w:rPr>
        <w:t>L.</w:t>
      </w:r>
      <w:r w:rsidR="004C576A">
        <w:rPr>
          <w:sz w:val="24"/>
          <w:szCs w:val="24"/>
        </w:rPr>
        <w:t xml:space="preserve"> </w:t>
      </w:r>
      <w:r w:rsidRPr="00450CFD">
        <w:rPr>
          <w:sz w:val="24"/>
          <w:szCs w:val="24"/>
        </w:rPr>
        <w:t>A.</w:t>
      </w:r>
      <w:r w:rsidR="004C576A">
        <w:rPr>
          <w:sz w:val="24"/>
          <w:szCs w:val="24"/>
        </w:rPr>
        <w:t xml:space="preserve"> </w:t>
      </w:r>
      <w:r w:rsidRPr="00450CFD">
        <w:rPr>
          <w:sz w:val="24"/>
          <w:szCs w:val="24"/>
        </w:rPr>
        <w:t>G.; MÉLO, E.</w:t>
      </w:r>
      <w:r w:rsidR="004C576A">
        <w:rPr>
          <w:sz w:val="24"/>
          <w:szCs w:val="24"/>
        </w:rPr>
        <w:t xml:space="preserve"> </w:t>
      </w:r>
      <w:r w:rsidRPr="00450CFD">
        <w:rPr>
          <w:sz w:val="24"/>
          <w:szCs w:val="24"/>
        </w:rPr>
        <w:t>A.; LIMA, L.</w:t>
      </w:r>
      <w:r w:rsidR="004C576A">
        <w:rPr>
          <w:sz w:val="24"/>
          <w:szCs w:val="24"/>
        </w:rPr>
        <w:t xml:space="preserve"> </w:t>
      </w:r>
      <w:r w:rsidRPr="00450CFD">
        <w:rPr>
          <w:sz w:val="24"/>
          <w:szCs w:val="24"/>
        </w:rPr>
        <w:t>S. Avaliação da</w:t>
      </w:r>
      <w:r w:rsidR="004C576A">
        <w:rPr>
          <w:sz w:val="24"/>
          <w:szCs w:val="24"/>
        </w:rPr>
        <w:t xml:space="preserve"> </w:t>
      </w:r>
      <w:r w:rsidRPr="00450CFD">
        <w:rPr>
          <w:sz w:val="24"/>
          <w:szCs w:val="24"/>
        </w:rPr>
        <w:t>qualidade de suco de laranja industrializado.</w:t>
      </w:r>
      <w:r w:rsidR="004C576A">
        <w:rPr>
          <w:sz w:val="24"/>
          <w:szCs w:val="24"/>
        </w:rPr>
        <w:t xml:space="preserve"> </w:t>
      </w:r>
      <w:r w:rsidRPr="00450CFD">
        <w:rPr>
          <w:b/>
          <w:sz w:val="24"/>
          <w:szCs w:val="24"/>
        </w:rPr>
        <w:t xml:space="preserve">Boletim </w:t>
      </w:r>
      <w:r w:rsidR="00757FC0">
        <w:rPr>
          <w:b/>
          <w:sz w:val="24"/>
          <w:szCs w:val="24"/>
        </w:rPr>
        <w:t xml:space="preserve">do Centro de Pesquisa de Processamento de Alimentos (Boletim </w:t>
      </w:r>
      <w:r w:rsidRPr="00450CFD">
        <w:rPr>
          <w:b/>
          <w:sz w:val="24"/>
          <w:szCs w:val="24"/>
        </w:rPr>
        <w:t>CEPPA</w:t>
      </w:r>
      <w:r w:rsidR="00757FC0">
        <w:rPr>
          <w:b/>
          <w:sz w:val="24"/>
          <w:szCs w:val="24"/>
        </w:rPr>
        <w:t>)</w:t>
      </w:r>
      <w:r w:rsidRPr="00450CFD">
        <w:rPr>
          <w:sz w:val="24"/>
          <w:szCs w:val="24"/>
        </w:rPr>
        <w:t>,</w:t>
      </w:r>
      <w:r w:rsidR="00757FC0">
        <w:rPr>
          <w:sz w:val="24"/>
          <w:szCs w:val="24"/>
        </w:rPr>
        <w:t xml:space="preserve"> Curitiba,</w:t>
      </w:r>
      <w:r w:rsidRPr="00450CFD">
        <w:rPr>
          <w:sz w:val="24"/>
          <w:szCs w:val="24"/>
        </w:rPr>
        <w:t xml:space="preserve"> v. 18, n. 1, p. 95-104, 2000.</w:t>
      </w:r>
    </w:p>
    <w:p w:rsidR="00204A19" w:rsidRDefault="00204A19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204A19" w:rsidRDefault="00204A19" w:rsidP="00557487">
      <w:pPr>
        <w:tabs>
          <w:tab w:val="left" w:pos="1290"/>
        </w:tabs>
        <w:rPr>
          <w:sz w:val="24"/>
          <w:szCs w:val="24"/>
        </w:rPr>
      </w:pPr>
      <w:r w:rsidRPr="00204A19">
        <w:rPr>
          <w:sz w:val="24"/>
          <w:szCs w:val="24"/>
        </w:rPr>
        <w:t xml:space="preserve">LIMA, V. L. A. G. Avaliação da Qualidade de Suco de Laranja Industrializado. </w:t>
      </w:r>
      <w:r w:rsidR="00757FC0" w:rsidRPr="00450CFD">
        <w:rPr>
          <w:b/>
          <w:sz w:val="24"/>
          <w:szCs w:val="24"/>
        </w:rPr>
        <w:t xml:space="preserve">Boletim </w:t>
      </w:r>
      <w:r w:rsidR="00757FC0">
        <w:rPr>
          <w:b/>
          <w:sz w:val="24"/>
          <w:szCs w:val="24"/>
        </w:rPr>
        <w:t xml:space="preserve">do Centro de Pesquisa de Processamento de Alimentos (Boletim </w:t>
      </w:r>
      <w:r w:rsidR="00757FC0" w:rsidRPr="00450CFD">
        <w:rPr>
          <w:b/>
          <w:sz w:val="24"/>
          <w:szCs w:val="24"/>
        </w:rPr>
        <w:t>CEPPA</w:t>
      </w:r>
      <w:r w:rsidR="00757FC0">
        <w:rPr>
          <w:b/>
          <w:sz w:val="24"/>
          <w:szCs w:val="24"/>
        </w:rPr>
        <w:t>)</w:t>
      </w:r>
      <w:r w:rsidRPr="00204A19">
        <w:rPr>
          <w:sz w:val="24"/>
          <w:szCs w:val="24"/>
        </w:rPr>
        <w:t>, Curitiba, v</w:t>
      </w:r>
      <w:r w:rsidR="00757FC0">
        <w:rPr>
          <w:sz w:val="24"/>
          <w:szCs w:val="24"/>
        </w:rPr>
        <w:t xml:space="preserve">. 18, n. 1, p 95–104, </w:t>
      </w:r>
      <w:r w:rsidRPr="00204A19">
        <w:rPr>
          <w:sz w:val="24"/>
          <w:szCs w:val="24"/>
        </w:rPr>
        <w:t>2000.</w:t>
      </w:r>
    </w:p>
    <w:p w:rsidR="00757FC0" w:rsidRDefault="00757FC0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322509" w:rsidRDefault="00322509" w:rsidP="00557487">
      <w:p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 xml:space="preserve">MACHADO, </w:t>
      </w:r>
      <w:r w:rsidR="003D40E3" w:rsidRPr="003D40E3">
        <w:rPr>
          <w:sz w:val="24"/>
          <w:szCs w:val="24"/>
        </w:rPr>
        <w:t xml:space="preserve">J. G. D. C. F. Estratégias de marketing na indústria de amendoim: um estudo em empresas da Alta Paulista. </w:t>
      </w:r>
      <w:r w:rsidR="003D40E3" w:rsidRPr="003D40E3">
        <w:rPr>
          <w:b/>
          <w:sz w:val="24"/>
          <w:szCs w:val="24"/>
        </w:rPr>
        <w:t>Latin American Journal of Business Management</w:t>
      </w:r>
      <w:r w:rsidR="003D40E3" w:rsidRPr="003D40E3">
        <w:rPr>
          <w:sz w:val="24"/>
          <w:szCs w:val="24"/>
        </w:rPr>
        <w:t>, v. 3, n. 2, p. 21-29, 2013.</w:t>
      </w:r>
    </w:p>
    <w:p w:rsidR="00322509" w:rsidRDefault="00322509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AA65C3" w:rsidRPr="00AA65C3" w:rsidRDefault="00AA65C3" w:rsidP="00557487">
      <w:pPr>
        <w:tabs>
          <w:tab w:val="left" w:pos="1290"/>
        </w:tabs>
        <w:rPr>
          <w:sz w:val="24"/>
          <w:szCs w:val="24"/>
        </w:rPr>
      </w:pPr>
      <w:r w:rsidRPr="00AA65C3">
        <w:rPr>
          <w:sz w:val="24"/>
          <w:szCs w:val="24"/>
        </w:rPr>
        <w:t>MATSUURA, F.</w:t>
      </w:r>
      <w:r w:rsidR="00741D7A">
        <w:rPr>
          <w:sz w:val="24"/>
          <w:szCs w:val="24"/>
        </w:rPr>
        <w:t xml:space="preserve"> </w:t>
      </w:r>
      <w:r w:rsidRPr="00AA65C3">
        <w:rPr>
          <w:sz w:val="24"/>
          <w:szCs w:val="24"/>
        </w:rPr>
        <w:t>C; ROLIM, R.</w:t>
      </w:r>
      <w:r w:rsidR="00741D7A">
        <w:rPr>
          <w:sz w:val="24"/>
          <w:szCs w:val="24"/>
        </w:rPr>
        <w:t xml:space="preserve"> </w:t>
      </w:r>
      <w:r w:rsidRPr="00AA65C3">
        <w:rPr>
          <w:sz w:val="24"/>
          <w:szCs w:val="24"/>
        </w:rPr>
        <w:t>B. Avaliação da adição de suc</w:t>
      </w:r>
      <w:r>
        <w:rPr>
          <w:sz w:val="24"/>
          <w:szCs w:val="24"/>
        </w:rPr>
        <w:t xml:space="preserve">o de acerola em suco de abacaxi </w:t>
      </w:r>
      <w:r w:rsidRPr="00AA65C3">
        <w:rPr>
          <w:sz w:val="24"/>
          <w:szCs w:val="24"/>
        </w:rPr>
        <w:t>visando à produção de um “ble</w:t>
      </w:r>
      <w:r w:rsidR="00741D7A">
        <w:rPr>
          <w:sz w:val="24"/>
          <w:szCs w:val="24"/>
        </w:rPr>
        <w:t>nd” com alto teor de vitamina C.</w:t>
      </w:r>
      <w:r w:rsidRPr="00AA65C3">
        <w:rPr>
          <w:sz w:val="24"/>
          <w:szCs w:val="24"/>
        </w:rPr>
        <w:t xml:space="preserve"> </w:t>
      </w:r>
      <w:r w:rsidR="00856336">
        <w:rPr>
          <w:b/>
          <w:sz w:val="24"/>
          <w:szCs w:val="24"/>
        </w:rPr>
        <w:t>Revista</w:t>
      </w:r>
      <w:r w:rsidRPr="00AA65C3">
        <w:rPr>
          <w:b/>
          <w:sz w:val="24"/>
          <w:szCs w:val="24"/>
        </w:rPr>
        <w:t xml:space="preserve"> Bras</w:t>
      </w:r>
      <w:r w:rsidR="00856336">
        <w:rPr>
          <w:b/>
          <w:sz w:val="24"/>
          <w:szCs w:val="24"/>
        </w:rPr>
        <w:t>ileira de</w:t>
      </w:r>
      <w:r w:rsidRPr="00AA65C3">
        <w:rPr>
          <w:b/>
          <w:sz w:val="24"/>
          <w:szCs w:val="24"/>
        </w:rPr>
        <w:t xml:space="preserve"> Fruticul</w:t>
      </w:r>
      <w:r w:rsidR="00856336">
        <w:rPr>
          <w:b/>
          <w:sz w:val="24"/>
          <w:szCs w:val="24"/>
        </w:rPr>
        <w:t>tura</w:t>
      </w:r>
      <w:r w:rsidR="00741D7A">
        <w:rPr>
          <w:sz w:val="24"/>
          <w:szCs w:val="24"/>
        </w:rPr>
        <w:t>,</w:t>
      </w:r>
      <w:r w:rsidR="00856336">
        <w:rPr>
          <w:sz w:val="24"/>
          <w:szCs w:val="24"/>
        </w:rPr>
        <w:t xml:space="preserve"> Jaboticabal,</w:t>
      </w:r>
      <w:r w:rsidR="00741D7A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. 24, n. 1, </w:t>
      </w:r>
      <w:r w:rsidRPr="00AA65C3">
        <w:rPr>
          <w:sz w:val="24"/>
          <w:szCs w:val="24"/>
        </w:rPr>
        <w:t>2002.</w:t>
      </w:r>
    </w:p>
    <w:p w:rsidR="00450CFD" w:rsidRDefault="00450CFD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EE26F8" w:rsidRPr="00EE26F8" w:rsidRDefault="00EE26F8" w:rsidP="00557487">
      <w:pPr>
        <w:tabs>
          <w:tab w:val="left" w:pos="1290"/>
        </w:tabs>
        <w:rPr>
          <w:b/>
          <w:sz w:val="24"/>
          <w:szCs w:val="24"/>
        </w:rPr>
      </w:pPr>
      <w:r w:rsidRPr="00EE26F8">
        <w:rPr>
          <w:sz w:val="24"/>
          <w:szCs w:val="24"/>
        </w:rPr>
        <w:t>OLIVEIRA, J. C.; PERDIGÃO, P. S.; SIQUEIRA, K. A. G.; SANTOS, A. C.; MIGUEL, M. A. L.</w:t>
      </w:r>
      <w:r w:rsidR="00EA74E7">
        <w:rPr>
          <w:sz w:val="24"/>
          <w:szCs w:val="24"/>
        </w:rPr>
        <w:t xml:space="preserve"> </w:t>
      </w:r>
      <w:r w:rsidRPr="00EE26F8">
        <w:rPr>
          <w:sz w:val="24"/>
          <w:szCs w:val="24"/>
        </w:rPr>
        <w:t xml:space="preserve">Características microbiológicas do suco de laranja </w:t>
      </w:r>
      <w:r w:rsidRPr="00EE26F8">
        <w:rPr>
          <w:i/>
          <w:sz w:val="24"/>
          <w:szCs w:val="24"/>
        </w:rPr>
        <w:t>in natura</w:t>
      </w:r>
      <w:r w:rsidRPr="00EE26F8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Ciência e Tecnologia </w:t>
      </w:r>
      <w:r w:rsidRPr="00EE26F8">
        <w:rPr>
          <w:b/>
          <w:sz w:val="24"/>
          <w:szCs w:val="24"/>
        </w:rPr>
        <w:t xml:space="preserve">de Alimentos, </w:t>
      </w:r>
      <w:r w:rsidR="00EA74E7">
        <w:rPr>
          <w:sz w:val="24"/>
          <w:szCs w:val="24"/>
        </w:rPr>
        <w:t xml:space="preserve">Campinas, </w:t>
      </w:r>
      <w:r w:rsidRPr="00EE26F8">
        <w:rPr>
          <w:sz w:val="24"/>
          <w:szCs w:val="24"/>
        </w:rPr>
        <w:t>v. 26, n. 2, p. 241-245, 2006.</w:t>
      </w:r>
    </w:p>
    <w:p w:rsidR="00204A19" w:rsidRDefault="00204A19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BB07D5" w:rsidRDefault="004C0EBA" w:rsidP="00557487">
      <w:pPr>
        <w:tabs>
          <w:tab w:val="left" w:pos="1290"/>
        </w:tabs>
        <w:rPr>
          <w:sz w:val="24"/>
          <w:szCs w:val="24"/>
        </w:rPr>
      </w:pPr>
      <w:r w:rsidRPr="004C0EBA">
        <w:rPr>
          <w:sz w:val="24"/>
          <w:szCs w:val="24"/>
        </w:rPr>
        <w:lastRenderedPageBreak/>
        <w:t xml:space="preserve">QUEIROZ, E. C.; MENEZES, H. C. </w:t>
      </w:r>
      <w:r w:rsidRPr="00664ED6">
        <w:rPr>
          <w:sz w:val="24"/>
          <w:szCs w:val="24"/>
        </w:rPr>
        <w:t>Suco de laranja</w:t>
      </w:r>
      <w:r w:rsidRPr="004C0EBA">
        <w:rPr>
          <w:sz w:val="24"/>
          <w:szCs w:val="24"/>
        </w:rPr>
        <w:t>.</w:t>
      </w:r>
      <w:r w:rsidR="00664ED6">
        <w:rPr>
          <w:sz w:val="24"/>
          <w:szCs w:val="24"/>
        </w:rPr>
        <w:t xml:space="preserve"> </w:t>
      </w:r>
      <w:r w:rsidR="002F3ABE" w:rsidRPr="002F3ABE">
        <w:rPr>
          <w:sz w:val="24"/>
          <w:szCs w:val="24"/>
        </w:rPr>
        <w:t xml:space="preserve">In: VENTURINI FILHO, W. G. (Coord.) </w:t>
      </w:r>
      <w:r w:rsidRPr="00664ED6">
        <w:rPr>
          <w:b/>
          <w:bCs/>
          <w:sz w:val="24"/>
          <w:szCs w:val="24"/>
        </w:rPr>
        <w:t>Tecnologia</w:t>
      </w:r>
      <w:r w:rsidR="00664ED6" w:rsidRPr="00664ED6">
        <w:rPr>
          <w:b/>
          <w:bCs/>
          <w:sz w:val="24"/>
          <w:szCs w:val="24"/>
        </w:rPr>
        <w:t xml:space="preserve"> </w:t>
      </w:r>
      <w:r w:rsidRPr="00664ED6">
        <w:rPr>
          <w:b/>
          <w:bCs/>
          <w:sz w:val="24"/>
          <w:szCs w:val="24"/>
        </w:rPr>
        <w:t>de bebidas</w:t>
      </w:r>
      <w:r w:rsidRPr="00664ED6">
        <w:rPr>
          <w:b/>
          <w:sz w:val="24"/>
          <w:szCs w:val="24"/>
        </w:rPr>
        <w:t>:</w:t>
      </w:r>
      <w:r w:rsidRPr="004C0EBA">
        <w:rPr>
          <w:sz w:val="24"/>
          <w:szCs w:val="24"/>
        </w:rPr>
        <w:t xml:space="preserve"> matéria-prima, BPF/APPCC, legislação emercado. S</w:t>
      </w:r>
      <w:r w:rsidR="00664ED6">
        <w:rPr>
          <w:sz w:val="24"/>
          <w:szCs w:val="24"/>
        </w:rPr>
        <w:t xml:space="preserve">ão Paulo: Edgard Blücher, </w:t>
      </w:r>
      <w:r w:rsidRPr="004C0EBA">
        <w:rPr>
          <w:sz w:val="24"/>
          <w:szCs w:val="24"/>
        </w:rPr>
        <w:t>cap. 11,</w:t>
      </w:r>
      <w:r w:rsidR="00664ED6">
        <w:rPr>
          <w:sz w:val="24"/>
          <w:szCs w:val="24"/>
        </w:rPr>
        <w:t xml:space="preserve"> 2005, </w:t>
      </w:r>
      <w:r w:rsidRPr="004C0EBA">
        <w:rPr>
          <w:sz w:val="24"/>
          <w:szCs w:val="24"/>
        </w:rPr>
        <w:t>p. 221-254.</w:t>
      </w:r>
    </w:p>
    <w:p w:rsidR="00BB07D5" w:rsidRDefault="00BB07D5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4C0EBA" w:rsidRDefault="00485ED8" w:rsidP="00557487">
      <w:pPr>
        <w:tabs>
          <w:tab w:val="left" w:pos="1290"/>
        </w:tabs>
        <w:rPr>
          <w:sz w:val="24"/>
          <w:szCs w:val="24"/>
        </w:rPr>
      </w:pPr>
      <w:r w:rsidRPr="00485ED8">
        <w:rPr>
          <w:sz w:val="24"/>
          <w:szCs w:val="24"/>
        </w:rPr>
        <w:t>SANTOS, A. A.; SANTOS, E. H. L.; LIMA, R.</w:t>
      </w:r>
      <w:r>
        <w:rPr>
          <w:sz w:val="24"/>
          <w:szCs w:val="24"/>
        </w:rPr>
        <w:t xml:space="preserve"> A.; PRADO, A. O.; SOUZA, J. F. </w:t>
      </w:r>
      <w:r w:rsidRPr="00F5395F">
        <w:rPr>
          <w:bCs/>
          <w:sz w:val="24"/>
          <w:szCs w:val="24"/>
        </w:rPr>
        <w:t>Caracterização físico-química e microbiológica dos sucos d</w:t>
      </w:r>
      <w:r w:rsidR="00557487">
        <w:rPr>
          <w:bCs/>
          <w:sz w:val="24"/>
          <w:szCs w:val="24"/>
        </w:rPr>
        <w:t xml:space="preserve">e laranja, manga e mangaba não </w:t>
      </w:r>
      <w:r w:rsidRPr="00F5395F">
        <w:rPr>
          <w:bCs/>
          <w:sz w:val="24"/>
          <w:szCs w:val="24"/>
        </w:rPr>
        <w:t>pasteurizados comercializados na região central de Aracaju.</w:t>
      </w:r>
      <w:r w:rsidRPr="00485ED8">
        <w:rPr>
          <w:bCs/>
          <w:sz w:val="24"/>
          <w:szCs w:val="24"/>
        </w:rPr>
        <w:t xml:space="preserve"> In: VII Ciência, tecnolo</w:t>
      </w:r>
      <w:r>
        <w:rPr>
          <w:bCs/>
          <w:sz w:val="24"/>
          <w:szCs w:val="24"/>
        </w:rPr>
        <w:t xml:space="preserve">gia e </w:t>
      </w:r>
      <w:r w:rsidRPr="00485ED8">
        <w:rPr>
          <w:bCs/>
          <w:sz w:val="24"/>
          <w:szCs w:val="24"/>
        </w:rPr>
        <w:t>inovação: ações sustentáveis para o desenvolvimento regional, 2012</w:t>
      </w:r>
      <w:r w:rsidR="00F5395F">
        <w:rPr>
          <w:bCs/>
          <w:sz w:val="24"/>
          <w:szCs w:val="24"/>
        </w:rPr>
        <w:t xml:space="preserve">, Amapá. </w:t>
      </w:r>
      <w:r w:rsidR="00F5395F">
        <w:rPr>
          <w:b/>
          <w:bCs/>
          <w:sz w:val="24"/>
          <w:szCs w:val="24"/>
        </w:rPr>
        <w:t xml:space="preserve">Anais </w:t>
      </w:r>
      <w:r w:rsidR="00F5395F" w:rsidRPr="00F5395F">
        <w:rPr>
          <w:b/>
          <w:bCs/>
          <w:sz w:val="24"/>
          <w:szCs w:val="24"/>
        </w:rPr>
        <w:t>VII Ciência, tecnologia e inovação: ações sustentáveis para o desenvolvimento regional (CONNEPI)</w:t>
      </w:r>
      <w:r w:rsidR="00F5395F">
        <w:rPr>
          <w:bCs/>
          <w:sz w:val="24"/>
          <w:szCs w:val="24"/>
        </w:rPr>
        <w:t>, 2012, p. 1-8</w:t>
      </w:r>
      <w:r w:rsidRPr="00485ED8">
        <w:rPr>
          <w:bCs/>
          <w:sz w:val="24"/>
          <w:szCs w:val="24"/>
        </w:rPr>
        <w:t>.</w:t>
      </w:r>
    </w:p>
    <w:p w:rsidR="004C0EBA" w:rsidRDefault="004C0EBA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485ED8" w:rsidRPr="00485ED8" w:rsidRDefault="00485ED8" w:rsidP="00557487">
      <w:pPr>
        <w:tabs>
          <w:tab w:val="left" w:pos="1290"/>
        </w:tabs>
        <w:rPr>
          <w:b/>
          <w:sz w:val="24"/>
          <w:szCs w:val="24"/>
        </w:rPr>
      </w:pPr>
      <w:r w:rsidRPr="00485ED8">
        <w:rPr>
          <w:sz w:val="24"/>
          <w:szCs w:val="24"/>
        </w:rPr>
        <w:t>SILVA, P. T.; FIALHO, E.; LOPES, M. L. M. MESQUITA, V. L. V.</w:t>
      </w:r>
      <w:r w:rsidR="00500150">
        <w:rPr>
          <w:sz w:val="24"/>
          <w:szCs w:val="24"/>
        </w:rPr>
        <w:t xml:space="preserve"> </w:t>
      </w:r>
      <w:r w:rsidRPr="00485ED8">
        <w:rPr>
          <w:sz w:val="24"/>
          <w:szCs w:val="24"/>
        </w:rPr>
        <w:t xml:space="preserve">Sucos de laranja industrializados e preparados sólidos para refrescos: estabilidade química e físico-química. </w:t>
      </w:r>
      <w:r w:rsidRPr="00485ED8">
        <w:rPr>
          <w:b/>
          <w:sz w:val="24"/>
          <w:szCs w:val="24"/>
        </w:rPr>
        <w:t>Ciência e Tecnologia de Alimentos,</w:t>
      </w:r>
      <w:r w:rsidRPr="00500150">
        <w:rPr>
          <w:sz w:val="24"/>
          <w:szCs w:val="24"/>
        </w:rPr>
        <w:t xml:space="preserve"> </w:t>
      </w:r>
      <w:r w:rsidR="00500150" w:rsidRPr="00500150">
        <w:rPr>
          <w:sz w:val="24"/>
          <w:szCs w:val="24"/>
        </w:rPr>
        <w:t xml:space="preserve">Campinas, </w:t>
      </w:r>
      <w:r w:rsidRPr="00485ED8">
        <w:rPr>
          <w:sz w:val="24"/>
          <w:szCs w:val="24"/>
        </w:rPr>
        <w:t>v. 25, n. 3, p. 597-602, 2005.</w:t>
      </w:r>
    </w:p>
    <w:p w:rsidR="00485ED8" w:rsidRDefault="00485ED8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7B1F33" w:rsidRPr="007B1F33" w:rsidRDefault="007B1F33" w:rsidP="00557487">
      <w:pPr>
        <w:tabs>
          <w:tab w:val="left" w:pos="1290"/>
        </w:tabs>
        <w:rPr>
          <w:b/>
          <w:sz w:val="24"/>
          <w:szCs w:val="24"/>
        </w:rPr>
      </w:pPr>
      <w:r w:rsidRPr="007B1F33">
        <w:rPr>
          <w:sz w:val="24"/>
          <w:szCs w:val="24"/>
        </w:rPr>
        <w:t>TAVARES, J. T. Q.; SILVA, C. L.; CARVALHO, L. A.; SILVA, M. A.; SANTOS, C. M. G. Estabilidade do ácido ascórbico em suco de laranja submetido a diferentes tratamentos.</w:t>
      </w:r>
      <w:r w:rsidR="009B6E3C">
        <w:rPr>
          <w:sz w:val="24"/>
          <w:szCs w:val="24"/>
        </w:rPr>
        <w:t xml:space="preserve"> </w:t>
      </w:r>
      <w:r w:rsidRPr="007B1F33">
        <w:rPr>
          <w:b/>
          <w:sz w:val="24"/>
          <w:szCs w:val="24"/>
        </w:rPr>
        <w:t xml:space="preserve">Magistra, </w:t>
      </w:r>
      <w:r w:rsidR="009B6E3C">
        <w:rPr>
          <w:sz w:val="24"/>
          <w:szCs w:val="24"/>
        </w:rPr>
        <w:t xml:space="preserve">Bahia, </w:t>
      </w:r>
      <w:r w:rsidRPr="007B1F33">
        <w:rPr>
          <w:sz w:val="24"/>
          <w:szCs w:val="24"/>
        </w:rPr>
        <w:t>v. 12, n. ½, p. 1-4, 2000.</w:t>
      </w:r>
    </w:p>
    <w:p w:rsidR="00485ED8" w:rsidRDefault="00485ED8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EE2D87" w:rsidRPr="00EE2D87" w:rsidRDefault="00EE2D87" w:rsidP="00557487">
      <w:pPr>
        <w:tabs>
          <w:tab w:val="left" w:pos="1290"/>
        </w:tabs>
        <w:rPr>
          <w:b/>
          <w:sz w:val="24"/>
          <w:szCs w:val="24"/>
        </w:rPr>
      </w:pPr>
      <w:r w:rsidRPr="00EE2D87">
        <w:rPr>
          <w:sz w:val="24"/>
          <w:szCs w:val="24"/>
        </w:rPr>
        <w:t xml:space="preserve">VENÂNCIO, A. A.; MARTINS, O. A. </w:t>
      </w:r>
      <w:r w:rsidRPr="00EE2D87">
        <w:rPr>
          <w:bCs/>
          <w:sz w:val="24"/>
          <w:szCs w:val="24"/>
        </w:rPr>
        <w:t xml:space="preserve">Análise química de diferentes marcas de néctares e suco de laranja comercializada </w:t>
      </w:r>
      <w:r>
        <w:rPr>
          <w:bCs/>
          <w:sz w:val="24"/>
          <w:szCs w:val="24"/>
        </w:rPr>
        <w:t>na cidade de Cerqueira César - São P</w:t>
      </w:r>
      <w:r w:rsidRPr="00EE2D87">
        <w:rPr>
          <w:bCs/>
          <w:sz w:val="24"/>
          <w:szCs w:val="24"/>
        </w:rPr>
        <w:t>aulo.</w:t>
      </w:r>
      <w:r w:rsidR="009B6E3C">
        <w:rPr>
          <w:bCs/>
          <w:sz w:val="24"/>
          <w:szCs w:val="24"/>
        </w:rPr>
        <w:t xml:space="preserve"> </w:t>
      </w:r>
      <w:r w:rsidRPr="00EE2D87">
        <w:rPr>
          <w:b/>
          <w:bCs/>
          <w:iCs/>
          <w:sz w:val="24"/>
          <w:szCs w:val="24"/>
        </w:rPr>
        <w:t xml:space="preserve">Revista Eletrônica de Educação e Ciência </w:t>
      </w:r>
      <w:r w:rsidRPr="00EE2D87">
        <w:rPr>
          <w:b/>
          <w:bCs/>
          <w:sz w:val="24"/>
          <w:szCs w:val="24"/>
        </w:rPr>
        <w:t>(REEC).</w:t>
      </w:r>
      <w:r w:rsidR="009B6E3C">
        <w:rPr>
          <w:b/>
          <w:bCs/>
          <w:sz w:val="24"/>
          <w:szCs w:val="24"/>
        </w:rPr>
        <w:t xml:space="preserve"> </w:t>
      </w:r>
      <w:r w:rsidRPr="00EE2D87">
        <w:rPr>
          <w:bCs/>
          <w:sz w:val="24"/>
          <w:szCs w:val="24"/>
        </w:rPr>
        <w:t>São Paulo, v. 02, n. 03, 2012.</w:t>
      </w:r>
    </w:p>
    <w:p w:rsidR="007B1F33" w:rsidRDefault="007B1F33" w:rsidP="00557487">
      <w:pPr>
        <w:tabs>
          <w:tab w:val="left" w:pos="1290"/>
        </w:tabs>
        <w:spacing w:line="480" w:lineRule="auto"/>
        <w:rPr>
          <w:sz w:val="24"/>
          <w:szCs w:val="24"/>
        </w:rPr>
      </w:pPr>
    </w:p>
    <w:p w:rsidR="00F341CE" w:rsidRPr="00450CFD" w:rsidRDefault="00F341CE" w:rsidP="00F341CE">
      <w:pPr>
        <w:tabs>
          <w:tab w:val="left" w:pos="1290"/>
        </w:tabs>
        <w:rPr>
          <w:sz w:val="24"/>
          <w:szCs w:val="24"/>
        </w:rPr>
      </w:pPr>
      <w:r w:rsidRPr="00F341CE">
        <w:rPr>
          <w:sz w:val="24"/>
          <w:szCs w:val="24"/>
          <w:lang w:val="en-US"/>
        </w:rPr>
        <w:t>ZENEBON, O.; PASCUET, N. S.; TIGLEA, P.</w:t>
      </w:r>
      <w:r>
        <w:rPr>
          <w:sz w:val="24"/>
          <w:szCs w:val="24"/>
          <w:lang w:val="en-US"/>
        </w:rPr>
        <w:t xml:space="preserve"> </w:t>
      </w:r>
      <w:r w:rsidRPr="00F341CE">
        <w:rPr>
          <w:sz w:val="24"/>
          <w:szCs w:val="24"/>
          <w:lang w:val="en-US"/>
        </w:rPr>
        <w:t xml:space="preserve">(Coord.) </w:t>
      </w:r>
      <w:r w:rsidRPr="00F341CE">
        <w:rPr>
          <w:b/>
          <w:bCs/>
          <w:sz w:val="24"/>
          <w:szCs w:val="24"/>
        </w:rPr>
        <w:t>Métodos físico-químicos para análise de</w:t>
      </w:r>
      <w:r>
        <w:rPr>
          <w:b/>
          <w:bCs/>
          <w:sz w:val="24"/>
          <w:szCs w:val="24"/>
        </w:rPr>
        <w:t xml:space="preserve"> </w:t>
      </w:r>
      <w:r w:rsidRPr="00F341CE">
        <w:rPr>
          <w:b/>
          <w:bCs/>
          <w:sz w:val="24"/>
          <w:szCs w:val="24"/>
        </w:rPr>
        <w:t xml:space="preserve">alimentos. </w:t>
      </w:r>
      <w:r w:rsidRPr="00F341CE">
        <w:rPr>
          <w:sz w:val="24"/>
          <w:szCs w:val="24"/>
        </w:rPr>
        <w:t>4. ed. São Paulo: Instituto Adolfo Lutz,</w:t>
      </w:r>
      <w:r>
        <w:rPr>
          <w:sz w:val="24"/>
          <w:szCs w:val="24"/>
        </w:rPr>
        <w:t xml:space="preserve"> </w:t>
      </w:r>
      <w:r w:rsidRPr="00F341CE">
        <w:rPr>
          <w:sz w:val="24"/>
          <w:szCs w:val="24"/>
        </w:rPr>
        <w:t>2008. 1020p.</w:t>
      </w:r>
    </w:p>
    <w:sectPr w:rsidR="00F341CE" w:rsidRPr="00450CFD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B3C272" w15:done="0"/>
  <w15:commentEx w15:paraId="1E3758EC" w15:done="0"/>
  <w15:commentEx w15:paraId="4C5B107A" w15:done="0"/>
  <w15:commentEx w15:paraId="52C164ED" w15:done="0"/>
  <w15:commentEx w15:paraId="3B0E8D01" w15:done="0"/>
  <w15:commentEx w15:paraId="2ED35CF2" w15:done="0"/>
  <w15:commentEx w15:paraId="66375E3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4CF" w:rsidRDefault="003404CF" w:rsidP="00392012">
      <w:r>
        <w:separator/>
      </w:r>
    </w:p>
  </w:endnote>
  <w:endnote w:type="continuationSeparator" w:id="1">
    <w:p w:rsidR="003404CF" w:rsidRDefault="003404CF" w:rsidP="0039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4CF" w:rsidRDefault="003404CF" w:rsidP="00392012">
      <w:r>
        <w:separator/>
      </w:r>
    </w:p>
  </w:footnote>
  <w:footnote w:type="continuationSeparator" w:id="1">
    <w:p w:rsidR="003404CF" w:rsidRDefault="003404CF" w:rsidP="00392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93" w:rsidRDefault="002F3ABE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234.1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<v:textbox>
            <w:txbxContent>
              <w:p w:rsidR="00C100B9" w:rsidRPr="001001BB" w:rsidRDefault="00C100B9" w:rsidP="00C100B9">
                <w:pPr>
                  <w:pStyle w:val="Rodap"/>
                  <w:spacing w:line="276" w:lineRule="auto"/>
                  <w:jc w:val="right"/>
                </w:pPr>
                <w:r>
                  <w:t>Belém (PA), 2</w:t>
                </w:r>
                <w:r w:rsidR="00D0394C">
                  <w:t xml:space="preserve">8 a 30 </w:t>
                </w:r>
                <w:r w:rsidRPr="001001BB">
                  <w:t xml:space="preserve">de novembro </w:t>
                </w:r>
                <w:r w:rsidR="00D0394C">
                  <w:t xml:space="preserve">de </w:t>
                </w:r>
                <w:r w:rsidRPr="001001BB">
                  <w:t>201</w:t>
                </w:r>
                <w:r w:rsidR="00D0394C">
                  <w:t>8</w:t>
                </w:r>
              </w:p>
              <w:p w:rsidR="00C100B9" w:rsidRPr="001001BB" w:rsidRDefault="00C100B9" w:rsidP="00C100B9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  <w:p w:rsidR="0095437F" w:rsidRPr="00206969" w:rsidRDefault="0095437F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-25.95pt;margin-top:-20.35pt;width:187.75pt;height:51.7pt;z-index:-25165619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<v:textbox style="mso-fit-shape-to-text:t">
            <w:txbxContent>
              <w:p w:rsidR="00094A6D" w:rsidRDefault="00E0707A">
                <w:r w:rsidRPr="004C583D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iza Helena">
    <w15:presenceInfo w15:providerId="Windows Live" w15:userId="5b08b03e0e5aa5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>
      <o:colormru v:ext="edit" colors="#f1ff9f,white,#ff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4FA"/>
    <w:rsid w:val="00012C28"/>
    <w:rsid w:val="0001355C"/>
    <w:rsid w:val="00027D99"/>
    <w:rsid w:val="00044DB3"/>
    <w:rsid w:val="00046262"/>
    <w:rsid w:val="0006197B"/>
    <w:rsid w:val="000763FC"/>
    <w:rsid w:val="00076CED"/>
    <w:rsid w:val="00081508"/>
    <w:rsid w:val="00082242"/>
    <w:rsid w:val="00086A19"/>
    <w:rsid w:val="00090F4E"/>
    <w:rsid w:val="00091575"/>
    <w:rsid w:val="00094A6D"/>
    <w:rsid w:val="000971CF"/>
    <w:rsid w:val="000A0D10"/>
    <w:rsid w:val="000A132A"/>
    <w:rsid w:val="000B0814"/>
    <w:rsid w:val="000C361B"/>
    <w:rsid w:val="000D0EF1"/>
    <w:rsid w:val="000D4A77"/>
    <w:rsid w:val="000F5D8F"/>
    <w:rsid w:val="000F7B8F"/>
    <w:rsid w:val="000F7B90"/>
    <w:rsid w:val="00103FE6"/>
    <w:rsid w:val="00116219"/>
    <w:rsid w:val="00116711"/>
    <w:rsid w:val="001179C2"/>
    <w:rsid w:val="00121F29"/>
    <w:rsid w:val="0012462E"/>
    <w:rsid w:val="00124801"/>
    <w:rsid w:val="0014137C"/>
    <w:rsid w:val="00156662"/>
    <w:rsid w:val="00160D2E"/>
    <w:rsid w:val="00167C6B"/>
    <w:rsid w:val="00181A6C"/>
    <w:rsid w:val="0018455B"/>
    <w:rsid w:val="001869E0"/>
    <w:rsid w:val="00195E0E"/>
    <w:rsid w:val="001B1308"/>
    <w:rsid w:val="001B3370"/>
    <w:rsid w:val="001B6E63"/>
    <w:rsid w:val="001C12B9"/>
    <w:rsid w:val="001C7011"/>
    <w:rsid w:val="001C79FB"/>
    <w:rsid w:val="001E1C8E"/>
    <w:rsid w:val="001E2B14"/>
    <w:rsid w:val="001E6347"/>
    <w:rsid w:val="001F50ED"/>
    <w:rsid w:val="00202A94"/>
    <w:rsid w:val="00204A19"/>
    <w:rsid w:val="0020548D"/>
    <w:rsid w:val="00206969"/>
    <w:rsid w:val="002076EF"/>
    <w:rsid w:val="002105FD"/>
    <w:rsid w:val="0023280F"/>
    <w:rsid w:val="0024156F"/>
    <w:rsid w:val="00241AE8"/>
    <w:rsid w:val="0024285C"/>
    <w:rsid w:val="00243627"/>
    <w:rsid w:val="00253593"/>
    <w:rsid w:val="0025391D"/>
    <w:rsid w:val="00253D7B"/>
    <w:rsid w:val="00261E93"/>
    <w:rsid w:val="00263B13"/>
    <w:rsid w:val="00263E82"/>
    <w:rsid w:val="00270DAB"/>
    <w:rsid w:val="00270F09"/>
    <w:rsid w:val="00273A6E"/>
    <w:rsid w:val="00286364"/>
    <w:rsid w:val="002A456B"/>
    <w:rsid w:val="002B4C8E"/>
    <w:rsid w:val="002C04FA"/>
    <w:rsid w:val="002C065B"/>
    <w:rsid w:val="002C2FBC"/>
    <w:rsid w:val="002C3F9C"/>
    <w:rsid w:val="002E1576"/>
    <w:rsid w:val="002E77A5"/>
    <w:rsid w:val="002F114A"/>
    <w:rsid w:val="002F2604"/>
    <w:rsid w:val="002F37D6"/>
    <w:rsid w:val="002F3ABE"/>
    <w:rsid w:val="002F3D05"/>
    <w:rsid w:val="002F64F8"/>
    <w:rsid w:val="003100A5"/>
    <w:rsid w:val="00314A42"/>
    <w:rsid w:val="00322509"/>
    <w:rsid w:val="00323265"/>
    <w:rsid w:val="003265D1"/>
    <w:rsid w:val="00330AA8"/>
    <w:rsid w:val="00334ABB"/>
    <w:rsid w:val="003367C4"/>
    <w:rsid w:val="003404CF"/>
    <w:rsid w:val="00352F94"/>
    <w:rsid w:val="00353EEF"/>
    <w:rsid w:val="00356592"/>
    <w:rsid w:val="00363E96"/>
    <w:rsid w:val="00372163"/>
    <w:rsid w:val="003758F2"/>
    <w:rsid w:val="003824D6"/>
    <w:rsid w:val="0038513B"/>
    <w:rsid w:val="00386912"/>
    <w:rsid w:val="00392012"/>
    <w:rsid w:val="003A4B26"/>
    <w:rsid w:val="003B02AD"/>
    <w:rsid w:val="003B090B"/>
    <w:rsid w:val="003B2445"/>
    <w:rsid w:val="003B73FB"/>
    <w:rsid w:val="003D0994"/>
    <w:rsid w:val="003D40E3"/>
    <w:rsid w:val="003D7E9B"/>
    <w:rsid w:val="003E1ADB"/>
    <w:rsid w:val="003F2CC6"/>
    <w:rsid w:val="003F4922"/>
    <w:rsid w:val="004006AC"/>
    <w:rsid w:val="00400D61"/>
    <w:rsid w:val="0040649D"/>
    <w:rsid w:val="00414231"/>
    <w:rsid w:val="004200CD"/>
    <w:rsid w:val="0042057D"/>
    <w:rsid w:val="00422D99"/>
    <w:rsid w:val="00426873"/>
    <w:rsid w:val="00435C07"/>
    <w:rsid w:val="00436326"/>
    <w:rsid w:val="004365F3"/>
    <w:rsid w:val="00447A46"/>
    <w:rsid w:val="00450CFD"/>
    <w:rsid w:val="004709D3"/>
    <w:rsid w:val="004777CC"/>
    <w:rsid w:val="00485ED8"/>
    <w:rsid w:val="00497F38"/>
    <w:rsid w:val="004A0A6D"/>
    <w:rsid w:val="004B03F7"/>
    <w:rsid w:val="004B2B81"/>
    <w:rsid w:val="004B4033"/>
    <w:rsid w:val="004C0937"/>
    <w:rsid w:val="004C0EBA"/>
    <w:rsid w:val="004C4047"/>
    <w:rsid w:val="004C52D5"/>
    <w:rsid w:val="004C576A"/>
    <w:rsid w:val="004C746A"/>
    <w:rsid w:val="004E5153"/>
    <w:rsid w:val="004F3394"/>
    <w:rsid w:val="004F6258"/>
    <w:rsid w:val="00500150"/>
    <w:rsid w:val="00511E8F"/>
    <w:rsid w:val="00512183"/>
    <w:rsid w:val="00514DEC"/>
    <w:rsid w:val="005159DA"/>
    <w:rsid w:val="00516FB9"/>
    <w:rsid w:val="005175DE"/>
    <w:rsid w:val="005225D5"/>
    <w:rsid w:val="00522B8E"/>
    <w:rsid w:val="005429DE"/>
    <w:rsid w:val="0055131A"/>
    <w:rsid w:val="0055571E"/>
    <w:rsid w:val="00555769"/>
    <w:rsid w:val="00557487"/>
    <w:rsid w:val="00566DE1"/>
    <w:rsid w:val="00573702"/>
    <w:rsid w:val="00573FE7"/>
    <w:rsid w:val="00584CF3"/>
    <w:rsid w:val="0058632F"/>
    <w:rsid w:val="005A02D6"/>
    <w:rsid w:val="005A542D"/>
    <w:rsid w:val="005A7110"/>
    <w:rsid w:val="005B29E0"/>
    <w:rsid w:val="005B39A6"/>
    <w:rsid w:val="005C6204"/>
    <w:rsid w:val="005C69E8"/>
    <w:rsid w:val="005D1393"/>
    <w:rsid w:val="005D344A"/>
    <w:rsid w:val="005D71A6"/>
    <w:rsid w:val="005E616C"/>
    <w:rsid w:val="005E6909"/>
    <w:rsid w:val="00610CCB"/>
    <w:rsid w:val="00612D68"/>
    <w:rsid w:val="00614FB7"/>
    <w:rsid w:val="0061672B"/>
    <w:rsid w:val="00616DDB"/>
    <w:rsid w:val="00617EB4"/>
    <w:rsid w:val="006201D8"/>
    <w:rsid w:val="006260A7"/>
    <w:rsid w:val="00642205"/>
    <w:rsid w:val="00660024"/>
    <w:rsid w:val="0066022A"/>
    <w:rsid w:val="00664ED6"/>
    <w:rsid w:val="00670115"/>
    <w:rsid w:val="00683938"/>
    <w:rsid w:val="0068555A"/>
    <w:rsid w:val="006C6F69"/>
    <w:rsid w:val="006C783B"/>
    <w:rsid w:val="006C79B1"/>
    <w:rsid w:val="006D43B5"/>
    <w:rsid w:val="006D71B5"/>
    <w:rsid w:val="006F7EBD"/>
    <w:rsid w:val="00707D9F"/>
    <w:rsid w:val="00711EB8"/>
    <w:rsid w:val="00711EE3"/>
    <w:rsid w:val="007144F1"/>
    <w:rsid w:val="00714E97"/>
    <w:rsid w:val="00715A5D"/>
    <w:rsid w:val="00720232"/>
    <w:rsid w:val="007218EB"/>
    <w:rsid w:val="00723F8E"/>
    <w:rsid w:val="00733566"/>
    <w:rsid w:val="00741D7A"/>
    <w:rsid w:val="007422FB"/>
    <w:rsid w:val="00744250"/>
    <w:rsid w:val="007452FD"/>
    <w:rsid w:val="00745CB7"/>
    <w:rsid w:val="00746CF0"/>
    <w:rsid w:val="00752AB7"/>
    <w:rsid w:val="00755C74"/>
    <w:rsid w:val="00757DFD"/>
    <w:rsid w:val="00757FC0"/>
    <w:rsid w:val="00760822"/>
    <w:rsid w:val="0076407B"/>
    <w:rsid w:val="00771C66"/>
    <w:rsid w:val="00772AEE"/>
    <w:rsid w:val="0078489F"/>
    <w:rsid w:val="00784CF0"/>
    <w:rsid w:val="00786E5E"/>
    <w:rsid w:val="00796B60"/>
    <w:rsid w:val="007973DF"/>
    <w:rsid w:val="007A2329"/>
    <w:rsid w:val="007A3BE4"/>
    <w:rsid w:val="007B1EDB"/>
    <w:rsid w:val="007B1F33"/>
    <w:rsid w:val="007D15C8"/>
    <w:rsid w:val="007D58F5"/>
    <w:rsid w:val="007D7A64"/>
    <w:rsid w:val="007E40D8"/>
    <w:rsid w:val="007E5233"/>
    <w:rsid w:val="007E5E89"/>
    <w:rsid w:val="007F27FF"/>
    <w:rsid w:val="00802659"/>
    <w:rsid w:val="008030DD"/>
    <w:rsid w:val="00807124"/>
    <w:rsid w:val="00810D9F"/>
    <w:rsid w:val="00811FDD"/>
    <w:rsid w:val="00814223"/>
    <w:rsid w:val="0083077E"/>
    <w:rsid w:val="008349A3"/>
    <w:rsid w:val="00834BE9"/>
    <w:rsid w:val="008509FD"/>
    <w:rsid w:val="00852788"/>
    <w:rsid w:val="008529B4"/>
    <w:rsid w:val="00852C1F"/>
    <w:rsid w:val="00853031"/>
    <w:rsid w:val="00856089"/>
    <w:rsid w:val="00856336"/>
    <w:rsid w:val="00856747"/>
    <w:rsid w:val="00856F27"/>
    <w:rsid w:val="00863A0D"/>
    <w:rsid w:val="008644EF"/>
    <w:rsid w:val="00872369"/>
    <w:rsid w:val="00872EA0"/>
    <w:rsid w:val="008765B6"/>
    <w:rsid w:val="00881FA0"/>
    <w:rsid w:val="008845C5"/>
    <w:rsid w:val="008922FD"/>
    <w:rsid w:val="00892D2B"/>
    <w:rsid w:val="008A04E3"/>
    <w:rsid w:val="008A66AD"/>
    <w:rsid w:val="008C622E"/>
    <w:rsid w:val="008D7C0E"/>
    <w:rsid w:val="008D7D8A"/>
    <w:rsid w:val="008E46D7"/>
    <w:rsid w:val="008E61F3"/>
    <w:rsid w:val="008E682E"/>
    <w:rsid w:val="008E7F50"/>
    <w:rsid w:val="008F146A"/>
    <w:rsid w:val="00901F22"/>
    <w:rsid w:val="00905163"/>
    <w:rsid w:val="009331C3"/>
    <w:rsid w:val="0095437F"/>
    <w:rsid w:val="0096111D"/>
    <w:rsid w:val="00961709"/>
    <w:rsid w:val="009628D9"/>
    <w:rsid w:val="00964AD9"/>
    <w:rsid w:val="0097264E"/>
    <w:rsid w:val="00972BF6"/>
    <w:rsid w:val="009766ED"/>
    <w:rsid w:val="0098370E"/>
    <w:rsid w:val="009962E6"/>
    <w:rsid w:val="009965FA"/>
    <w:rsid w:val="009B0125"/>
    <w:rsid w:val="009B6E3C"/>
    <w:rsid w:val="009C15F0"/>
    <w:rsid w:val="009C407A"/>
    <w:rsid w:val="009D0282"/>
    <w:rsid w:val="009D5F95"/>
    <w:rsid w:val="009D6FE6"/>
    <w:rsid w:val="00A0126B"/>
    <w:rsid w:val="00A126BC"/>
    <w:rsid w:val="00A12B9B"/>
    <w:rsid w:val="00A14A7B"/>
    <w:rsid w:val="00A16D12"/>
    <w:rsid w:val="00A21929"/>
    <w:rsid w:val="00A21AF3"/>
    <w:rsid w:val="00A22AF6"/>
    <w:rsid w:val="00A22E89"/>
    <w:rsid w:val="00A26486"/>
    <w:rsid w:val="00A3575E"/>
    <w:rsid w:val="00A41D83"/>
    <w:rsid w:val="00A522B1"/>
    <w:rsid w:val="00A524D9"/>
    <w:rsid w:val="00A57710"/>
    <w:rsid w:val="00A66A66"/>
    <w:rsid w:val="00A77CA4"/>
    <w:rsid w:val="00A822D5"/>
    <w:rsid w:val="00A85296"/>
    <w:rsid w:val="00A92240"/>
    <w:rsid w:val="00A938E7"/>
    <w:rsid w:val="00A9494E"/>
    <w:rsid w:val="00A94ED6"/>
    <w:rsid w:val="00AA6032"/>
    <w:rsid w:val="00AA65C3"/>
    <w:rsid w:val="00AB4324"/>
    <w:rsid w:val="00AD15DE"/>
    <w:rsid w:val="00AD5837"/>
    <w:rsid w:val="00AE1F4A"/>
    <w:rsid w:val="00B01E50"/>
    <w:rsid w:val="00B03F68"/>
    <w:rsid w:val="00B13821"/>
    <w:rsid w:val="00B14295"/>
    <w:rsid w:val="00B14548"/>
    <w:rsid w:val="00B208CC"/>
    <w:rsid w:val="00B20FD7"/>
    <w:rsid w:val="00B259FE"/>
    <w:rsid w:val="00B40020"/>
    <w:rsid w:val="00B55AB2"/>
    <w:rsid w:val="00B57829"/>
    <w:rsid w:val="00B61A79"/>
    <w:rsid w:val="00B64760"/>
    <w:rsid w:val="00B7165F"/>
    <w:rsid w:val="00B764F4"/>
    <w:rsid w:val="00B8148D"/>
    <w:rsid w:val="00B84589"/>
    <w:rsid w:val="00B864F5"/>
    <w:rsid w:val="00BA1F9E"/>
    <w:rsid w:val="00BB00EF"/>
    <w:rsid w:val="00BB07D5"/>
    <w:rsid w:val="00BB2377"/>
    <w:rsid w:val="00BB5D54"/>
    <w:rsid w:val="00BC29A4"/>
    <w:rsid w:val="00BC7CF7"/>
    <w:rsid w:val="00BD3FDA"/>
    <w:rsid w:val="00BE10B2"/>
    <w:rsid w:val="00BE66FC"/>
    <w:rsid w:val="00BF08DF"/>
    <w:rsid w:val="00BF15DE"/>
    <w:rsid w:val="00BF200E"/>
    <w:rsid w:val="00BF5246"/>
    <w:rsid w:val="00BF6C60"/>
    <w:rsid w:val="00BF7AD6"/>
    <w:rsid w:val="00C060E2"/>
    <w:rsid w:val="00C100B9"/>
    <w:rsid w:val="00C1309A"/>
    <w:rsid w:val="00C15CD1"/>
    <w:rsid w:val="00C236B2"/>
    <w:rsid w:val="00C24C44"/>
    <w:rsid w:val="00C41918"/>
    <w:rsid w:val="00C42612"/>
    <w:rsid w:val="00C46A3C"/>
    <w:rsid w:val="00C56DDF"/>
    <w:rsid w:val="00C70228"/>
    <w:rsid w:val="00C71504"/>
    <w:rsid w:val="00C71785"/>
    <w:rsid w:val="00C76065"/>
    <w:rsid w:val="00C82D80"/>
    <w:rsid w:val="00C861AD"/>
    <w:rsid w:val="00C93739"/>
    <w:rsid w:val="00CA41EA"/>
    <w:rsid w:val="00CA71A9"/>
    <w:rsid w:val="00CA7E1D"/>
    <w:rsid w:val="00CB7D10"/>
    <w:rsid w:val="00CC0F2D"/>
    <w:rsid w:val="00CC4CC4"/>
    <w:rsid w:val="00CC5C92"/>
    <w:rsid w:val="00CC79D3"/>
    <w:rsid w:val="00CD3E3D"/>
    <w:rsid w:val="00CE2EC3"/>
    <w:rsid w:val="00CE45A6"/>
    <w:rsid w:val="00CE4F5C"/>
    <w:rsid w:val="00CE581B"/>
    <w:rsid w:val="00CE5F9C"/>
    <w:rsid w:val="00D02A05"/>
    <w:rsid w:val="00D0394C"/>
    <w:rsid w:val="00D048E7"/>
    <w:rsid w:val="00D13969"/>
    <w:rsid w:val="00D14A91"/>
    <w:rsid w:val="00D20335"/>
    <w:rsid w:val="00D305C8"/>
    <w:rsid w:val="00D34D39"/>
    <w:rsid w:val="00D35231"/>
    <w:rsid w:val="00D40455"/>
    <w:rsid w:val="00D44606"/>
    <w:rsid w:val="00D45F16"/>
    <w:rsid w:val="00D46721"/>
    <w:rsid w:val="00D507CA"/>
    <w:rsid w:val="00D5148E"/>
    <w:rsid w:val="00D52EF4"/>
    <w:rsid w:val="00D66D9D"/>
    <w:rsid w:val="00D72FF7"/>
    <w:rsid w:val="00D73B30"/>
    <w:rsid w:val="00D742EF"/>
    <w:rsid w:val="00D772D3"/>
    <w:rsid w:val="00D800F9"/>
    <w:rsid w:val="00D85CCC"/>
    <w:rsid w:val="00DA0B68"/>
    <w:rsid w:val="00DA38D5"/>
    <w:rsid w:val="00DB67E5"/>
    <w:rsid w:val="00DC31F5"/>
    <w:rsid w:val="00DD7D44"/>
    <w:rsid w:val="00DF0CAE"/>
    <w:rsid w:val="00E002BB"/>
    <w:rsid w:val="00E05E73"/>
    <w:rsid w:val="00E063D8"/>
    <w:rsid w:val="00E0707A"/>
    <w:rsid w:val="00E16234"/>
    <w:rsid w:val="00E32154"/>
    <w:rsid w:val="00E34F91"/>
    <w:rsid w:val="00E36180"/>
    <w:rsid w:val="00E65C3A"/>
    <w:rsid w:val="00E753BE"/>
    <w:rsid w:val="00E76DCA"/>
    <w:rsid w:val="00E85C97"/>
    <w:rsid w:val="00EA6802"/>
    <w:rsid w:val="00EA74E7"/>
    <w:rsid w:val="00EA7AE8"/>
    <w:rsid w:val="00EA7F26"/>
    <w:rsid w:val="00EC1FBF"/>
    <w:rsid w:val="00EC3485"/>
    <w:rsid w:val="00EC66A2"/>
    <w:rsid w:val="00EE26F8"/>
    <w:rsid w:val="00EE2D87"/>
    <w:rsid w:val="00EE4602"/>
    <w:rsid w:val="00EF06C5"/>
    <w:rsid w:val="00EF1C09"/>
    <w:rsid w:val="00EF273F"/>
    <w:rsid w:val="00F06F8F"/>
    <w:rsid w:val="00F10F60"/>
    <w:rsid w:val="00F253D0"/>
    <w:rsid w:val="00F32020"/>
    <w:rsid w:val="00F341CE"/>
    <w:rsid w:val="00F41701"/>
    <w:rsid w:val="00F43D66"/>
    <w:rsid w:val="00F47276"/>
    <w:rsid w:val="00F5269B"/>
    <w:rsid w:val="00F528A5"/>
    <w:rsid w:val="00F52A22"/>
    <w:rsid w:val="00F5395F"/>
    <w:rsid w:val="00F53DCB"/>
    <w:rsid w:val="00F54A6D"/>
    <w:rsid w:val="00F67AA9"/>
    <w:rsid w:val="00F72608"/>
    <w:rsid w:val="00F76C81"/>
    <w:rsid w:val="00F80BBC"/>
    <w:rsid w:val="00F825B8"/>
    <w:rsid w:val="00F9033D"/>
    <w:rsid w:val="00F92879"/>
    <w:rsid w:val="00FA4980"/>
    <w:rsid w:val="00FB6399"/>
    <w:rsid w:val="00FC737C"/>
    <w:rsid w:val="00FD1012"/>
    <w:rsid w:val="00FE12AD"/>
    <w:rsid w:val="00FE2CCA"/>
    <w:rsid w:val="00FE3F18"/>
    <w:rsid w:val="00FF0182"/>
    <w:rsid w:val="00FF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customStyle="1" w:styleId="fontstyle01">
    <w:name w:val="fontstyle01"/>
    <w:basedOn w:val="Fontepargpadro"/>
    <w:rsid w:val="004A0A6D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4A0A6D"/>
    <w:rPr>
      <w:rFonts w:ascii="TimesNewRomanPS-ItalicMT" w:hAnsi="TimesNewRomanPS-ItalicMT" w:hint="default"/>
      <w:b w:val="0"/>
      <w:bCs w:val="0"/>
      <w:i/>
      <w:iCs/>
      <w:color w:val="231F2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3100A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B145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454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454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45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454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60D3-F674-4203-B955-AE044F4E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3068</Words>
  <Characters>16569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Amanda Fagundes</cp:lastModifiedBy>
  <cp:revision>2</cp:revision>
  <cp:lastPrinted>2015-06-04T18:07:00Z</cp:lastPrinted>
  <dcterms:created xsi:type="dcterms:W3CDTF">2018-11-10T23:07:00Z</dcterms:created>
  <dcterms:modified xsi:type="dcterms:W3CDTF">2018-11-10T23:07:00Z</dcterms:modified>
</cp:coreProperties>
</file>