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10C09" w14:textId="77777777" w:rsidR="007B3010" w:rsidRDefault="00DF4ACD">
      <w:pPr>
        <w:jc w:val="center"/>
        <w:rPr>
          <w:b/>
          <w:sz w:val="24"/>
          <w:szCs w:val="24"/>
        </w:rPr>
      </w:pPr>
      <w:bookmarkStart w:id="0" w:name="_gjdgxs" w:colFirst="0" w:colLast="0"/>
      <w:bookmarkEnd w:id="0"/>
      <w:r>
        <w:rPr>
          <w:b/>
          <w:sz w:val="24"/>
          <w:szCs w:val="24"/>
        </w:rPr>
        <w:t>AVALIAÇÃO FÍSICO-QUÍMICA E QUANTIFICAÇÃO DE COMPOSTO</w:t>
      </w:r>
      <w:r>
        <w:rPr>
          <w:b/>
          <w:color w:val="000000"/>
          <w:sz w:val="24"/>
          <w:szCs w:val="24"/>
        </w:rPr>
        <w:t>S BIOATIVOS</w:t>
      </w:r>
      <w:r>
        <w:rPr>
          <w:b/>
          <w:sz w:val="24"/>
          <w:szCs w:val="24"/>
        </w:rPr>
        <w:t xml:space="preserve"> DO FRUTO DE </w:t>
      </w:r>
      <w:r>
        <w:rPr>
          <w:b/>
          <w:i/>
          <w:sz w:val="24"/>
          <w:szCs w:val="24"/>
        </w:rPr>
        <w:t>Ixora sp.</w:t>
      </w:r>
    </w:p>
    <w:p w14:paraId="3E3778DB" w14:textId="77777777" w:rsidR="007B3010" w:rsidRDefault="007B3010">
      <w:pPr>
        <w:jc w:val="center"/>
        <w:rPr>
          <w:b/>
          <w:sz w:val="24"/>
          <w:szCs w:val="24"/>
        </w:rPr>
      </w:pPr>
      <w:bookmarkStart w:id="1" w:name="_30j0zll" w:colFirst="0" w:colLast="0"/>
      <w:bookmarkEnd w:id="1"/>
    </w:p>
    <w:p w14:paraId="71243D40" w14:textId="77777777" w:rsidR="007B3010" w:rsidRDefault="00DF4ACD">
      <w:pPr>
        <w:jc w:val="center"/>
        <w:rPr>
          <w:sz w:val="24"/>
          <w:szCs w:val="24"/>
        </w:rPr>
      </w:pPr>
      <w:r>
        <w:rPr>
          <w:sz w:val="24"/>
          <w:szCs w:val="24"/>
        </w:rPr>
        <w:t>Amilton dos Santos Barbosa Júnior</w:t>
      </w:r>
      <w:r>
        <w:rPr>
          <w:sz w:val="24"/>
          <w:szCs w:val="24"/>
          <w:vertAlign w:val="superscript"/>
        </w:rPr>
        <w:t>1</w:t>
      </w:r>
      <w:r>
        <w:rPr>
          <w:sz w:val="24"/>
          <w:szCs w:val="24"/>
        </w:rPr>
        <w:t>; Lucas Oliveira Santos</w:t>
      </w:r>
      <w:r>
        <w:rPr>
          <w:sz w:val="24"/>
          <w:szCs w:val="24"/>
          <w:vertAlign w:val="superscript"/>
        </w:rPr>
        <w:t>2</w:t>
      </w:r>
      <w:r>
        <w:rPr>
          <w:sz w:val="24"/>
          <w:szCs w:val="24"/>
        </w:rPr>
        <w:t>; Sávio Gabriel Guimarães Fonseca</w:t>
      </w:r>
      <w:r>
        <w:rPr>
          <w:sz w:val="24"/>
          <w:szCs w:val="24"/>
          <w:vertAlign w:val="superscript"/>
        </w:rPr>
        <w:t>3</w:t>
      </w:r>
      <w:r>
        <w:rPr>
          <w:sz w:val="24"/>
          <w:szCs w:val="24"/>
        </w:rPr>
        <w:t>; Débora Portal Lopes</w:t>
      </w:r>
      <w:r>
        <w:rPr>
          <w:sz w:val="24"/>
          <w:szCs w:val="24"/>
          <w:vertAlign w:val="superscript"/>
        </w:rPr>
        <w:t>4</w:t>
      </w:r>
      <w:r>
        <w:rPr>
          <w:sz w:val="24"/>
          <w:szCs w:val="24"/>
        </w:rPr>
        <w:t>; Julielson e Silva Modesto</w:t>
      </w:r>
      <w:r>
        <w:rPr>
          <w:sz w:val="24"/>
          <w:szCs w:val="24"/>
          <w:vertAlign w:val="superscript"/>
        </w:rPr>
        <w:t>5</w:t>
      </w:r>
      <w:r>
        <w:rPr>
          <w:sz w:val="24"/>
          <w:szCs w:val="24"/>
        </w:rPr>
        <w:t>.</w:t>
      </w:r>
    </w:p>
    <w:p w14:paraId="164EBC56" w14:textId="77777777" w:rsidR="007B3010" w:rsidRDefault="007B3010">
      <w:pPr>
        <w:spacing w:line="360" w:lineRule="auto"/>
        <w:jc w:val="center"/>
        <w:rPr>
          <w:sz w:val="24"/>
          <w:szCs w:val="24"/>
        </w:rPr>
      </w:pPr>
    </w:p>
    <w:p w14:paraId="659BDAEC" w14:textId="77777777" w:rsidR="007B3010" w:rsidRDefault="00DF4ACD">
      <w:pPr>
        <w:pBdr>
          <w:top w:val="nil"/>
          <w:left w:val="nil"/>
          <w:bottom w:val="nil"/>
          <w:right w:val="nil"/>
          <w:between w:val="nil"/>
        </w:pBdr>
        <w:tabs>
          <w:tab w:val="center" w:pos="4252"/>
          <w:tab w:val="right" w:pos="8504"/>
        </w:tabs>
        <w:jc w:val="center"/>
        <w:rPr>
          <w:color w:val="000000"/>
          <w:sz w:val="24"/>
          <w:szCs w:val="24"/>
        </w:rPr>
      </w:pPr>
      <w:r>
        <w:rPr>
          <w:color w:val="000000"/>
          <w:sz w:val="24"/>
          <w:szCs w:val="24"/>
          <w:vertAlign w:val="superscript"/>
        </w:rPr>
        <w:t xml:space="preserve">1 </w:t>
      </w:r>
      <w:r>
        <w:rPr>
          <w:color w:val="000000"/>
          <w:sz w:val="24"/>
          <w:szCs w:val="24"/>
        </w:rPr>
        <w:t xml:space="preserve">Graduando em Licenciatura Plena em Ciências Naturais – com Habilitação em Química. Universidade do Estado do Pará. </w:t>
      </w:r>
      <w:hyperlink r:id="rId7">
        <w:r>
          <w:rPr>
            <w:color w:val="0000FF"/>
            <w:sz w:val="24"/>
            <w:szCs w:val="24"/>
            <w:u w:val="single"/>
          </w:rPr>
          <w:t>amiltonbarbosajr@gmail.com</w:t>
        </w:r>
      </w:hyperlink>
      <w:r>
        <w:rPr>
          <w:color w:val="000000"/>
          <w:sz w:val="24"/>
          <w:szCs w:val="24"/>
        </w:rPr>
        <w:t xml:space="preserve">.  </w:t>
      </w:r>
    </w:p>
    <w:p w14:paraId="272A8BF8" w14:textId="77777777" w:rsidR="007B3010" w:rsidRDefault="00DF4ACD">
      <w:pPr>
        <w:pBdr>
          <w:top w:val="nil"/>
          <w:left w:val="nil"/>
          <w:bottom w:val="nil"/>
          <w:right w:val="nil"/>
          <w:between w:val="nil"/>
        </w:pBdr>
        <w:tabs>
          <w:tab w:val="center" w:pos="4252"/>
          <w:tab w:val="right" w:pos="8504"/>
        </w:tabs>
        <w:jc w:val="center"/>
        <w:rPr>
          <w:color w:val="000000"/>
          <w:sz w:val="24"/>
          <w:szCs w:val="24"/>
        </w:rPr>
      </w:pPr>
      <w:r>
        <w:rPr>
          <w:color w:val="000000"/>
          <w:sz w:val="24"/>
          <w:szCs w:val="24"/>
          <w:vertAlign w:val="superscript"/>
        </w:rPr>
        <w:t xml:space="preserve">2 </w:t>
      </w:r>
      <w:r>
        <w:rPr>
          <w:color w:val="000000"/>
          <w:sz w:val="24"/>
          <w:szCs w:val="24"/>
        </w:rPr>
        <w:t xml:space="preserve">Graduando em Licenciatura Plena em Ciências Naturais – com Habilitação em Química. Universidade do Estado do Pará. </w:t>
      </w:r>
      <w:hyperlink r:id="rId8">
        <w:r>
          <w:rPr>
            <w:color w:val="0000FF"/>
            <w:sz w:val="24"/>
            <w:szCs w:val="24"/>
            <w:u w:val="single"/>
          </w:rPr>
          <w:t>lucasuepa2016@outlook.com</w:t>
        </w:r>
      </w:hyperlink>
      <w:r>
        <w:rPr>
          <w:color w:val="000000"/>
          <w:sz w:val="24"/>
          <w:szCs w:val="24"/>
        </w:rPr>
        <w:t xml:space="preserve"> </w:t>
      </w:r>
    </w:p>
    <w:p w14:paraId="264862B7" w14:textId="77777777" w:rsidR="007B3010" w:rsidRDefault="00DF4ACD">
      <w:pPr>
        <w:pBdr>
          <w:top w:val="nil"/>
          <w:left w:val="nil"/>
          <w:bottom w:val="nil"/>
          <w:right w:val="nil"/>
          <w:between w:val="nil"/>
        </w:pBdr>
        <w:tabs>
          <w:tab w:val="center" w:pos="4252"/>
          <w:tab w:val="right" w:pos="8504"/>
        </w:tabs>
        <w:jc w:val="center"/>
        <w:rPr>
          <w:color w:val="000000"/>
          <w:sz w:val="24"/>
          <w:szCs w:val="24"/>
        </w:rPr>
      </w:pPr>
      <w:r>
        <w:rPr>
          <w:color w:val="000000"/>
          <w:sz w:val="24"/>
          <w:szCs w:val="24"/>
          <w:vertAlign w:val="superscript"/>
        </w:rPr>
        <w:t xml:space="preserve">3 </w:t>
      </w:r>
      <w:r>
        <w:rPr>
          <w:color w:val="000000"/>
          <w:sz w:val="24"/>
          <w:szCs w:val="24"/>
        </w:rPr>
        <w:t xml:space="preserve">Graduando em Licenciatura Plena em Ciências Naturais – com Habilitação em Química. Universidade do Estado do Pará.  </w:t>
      </w:r>
      <w:hyperlink r:id="rId9">
        <w:r>
          <w:rPr>
            <w:color w:val="0000FF"/>
            <w:sz w:val="24"/>
            <w:szCs w:val="24"/>
            <w:u w:val="single"/>
          </w:rPr>
          <w:t>saviogfonseca@gmail.com</w:t>
        </w:r>
      </w:hyperlink>
      <w:r>
        <w:rPr>
          <w:color w:val="000000"/>
          <w:sz w:val="24"/>
          <w:szCs w:val="24"/>
        </w:rPr>
        <w:t xml:space="preserve"> </w:t>
      </w:r>
    </w:p>
    <w:p w14:paraId="41FFD41B" w14:textId="77777777" w:rsidR="007B3010" w:rsidRDefault="00DF4ACD">
      <w:pPr>
        <w:pBdr>
          <w:top w:val="nil"/>
          <w:left w:val="nil"/>
          <w:bottom w:val="nil"/>
          <w:right w:val="nil"/>
          <w:between w:val="nil"/>
        </w:pBdr>
        <w:tabs>
          <w:tab w:val="center" w:pos="4252"/>
          <w:tab w:val="right" w:pos="8504"/>
        </w:tabs>
        <w:jc w:val="center"/>
        <w:rPr>
          <w:color w:val="000000"/>
          <w:sz w:val="24"/>
          <w:szCs w:val="24"/>
        </w:rPr>
      </w:pPr>
      <w:r>
        <w:rPr>
          <w:color w:val="000000"/>
          <w:sz w:val="24"/>
          <w:szCs w:val="24"/>
          <w:vertAlign w:val="superscript"/>
        </w:rPr>
        <w:t xml:space="preserve">4 </w:t>
      </w:r>
      <w:r>
        <w:rPr>
          <w:color w:val="000000"/>
          <w:sz w:val="24"/>
          <w:szCs w:val="24"/>
        </w:rPr>
        <w:t xml:space="preserve">Graduanda em Licenciatura Plena em Ciências Naturais – com Habilitação em Química. Universidade do Estado do Pará. </w:t>
      </w:r>
      <w:hyperlink r:id="rId10">
        <w:r>
          <w:rPr>
            <w:color w:val="0000FF"/>
            <w:sz w:val="24"/>
            <w:szCs w:val="24"/>
            <w:u w:val="single"/>
          </w:rPr>
          <w:t>deboraportallopes@gmail.com</w:t>
        </w:r>
      </w:hyperlink>
      <w:r>
        <w:rPr>
          <w:color w:val="000000"/>
          <w:sz w:val="24"/>
          <w:szCs w:val="24"/>
        </w:rPr>
        <w:t xml:space="preserve"> </w:t>
      </w:r>
    </w:p>
    <w:p w14:paraId="0E78F08B" w14:textId="77777777" w:rsidR="007B3010" w:rsidRDefault="00DF4ACD">
      <w:pPr>
        <w:pBdr>
          <w:top w:val="nil"/>
          <w:left w:val="nil"/>
          <w:bottom w:val="nil"/>
          <w:right w:val="nil"/>
          <w:between w:val="nil"/>
        </w:pBdr>
        <w:tabs>
          <w:tab w:val="center" w:pos="4252"/>
          <w:tab w:val="right" w:pos="8504"/>
        </w:tabs>
        <w:jc w:val="center"/>
        <w:rPr>
          <w:color w:val="000000"/>
          <w:sz w:val="24"/>
          <w:szCs w:val="24"/>
        </w:rPr>
      </w:pPr>
      <w:r>
        <w:rPr>
          <w:color w:val="000000"/>
          <w:sz w:val="24"/>
          <w:szCs w:val="24"/>
          <w:vertAlign w:val="superscript"/>
        </w:rPr>
        <w:t>5</w:t>
      </w:r>
      <w:r>
        <w:rPr>
          <w:color w:val="000000"/>
          <w:sz w:val="24"/>
          <w:szCs w:val="24"/>
        </w:rPr>
        <w:t xml:space="preserve"> Graduado em Licenciatura Plena em Ciências Naturais – com Habilitação em Biologia. Universidade do Estado do Pará. </w:t>
      </w:r>
      <w:hyperlink r:id="rId11">
        <w:r>
          <w:rPr>
            <w:color w:val="0000FF"/>
            <w:sz w:val="24"/>
            <w:szCs w:val="24"/>
            <w:u w:val="single"/>
          </w:rPr>
          <w:t>julielsonmodest12@hotmail.com</w:t>
        </w:r>
      </w:hyperlink>
      <w:r>
        <w:rPr>
          <w:sz w:val="24"/>
          <w:szCs w:val="24"/>
        </w:rPr>
        <w:t xml:space="preserve"> </w:t>
      </w:r>
    </w:p>
    <w:p w14:paraId="50B0CB14" w14:textId="77777777" w:rsidR="007B3010" w:rsidRDefault="007B3010">
      <w:pPr>
        <w:rPr>
          <w:b/>
          <w:sz w:val="24"/>
          <w:szCs w:val="24"/>
        </w:rPr>
      </w:pPr>
    </w:p>
    <w:p w14:paraId="296B9C27" w14:textId="77777777" w:rsidR="007B3010" w:rsidRDefault="00DF4ACD">
      <w:pPr>
        <w:jc w:val="center"/>
        <w:rPr>
          <w:b/>
          <w:sz w:val="24"/>
          <w:szCs w:val="24"/>
        </w:rPr>
      </w:pPr>
      <w:r>
        <w:rPr>
          <w:b/>
          <w:sz w:val="24"/>
          <w:szCs w:val="24"/>
        </w:rPr>
        <w:t xml:space="preserve">RESUMO </w:t>
      </w:r>
    </w:p>
    <w:p w14:paraId="20524E80" w14:textId="77777777" w:rsidR="007B3010" w:rsidRDefault="007B3010">
      <w:pPr>
        <w:jc w:val="center"/>
        <w:rPr>
          <w:b/>
          <w:sz w:val="24"/>
          <w:szCs w:val="24"/>
        </w:rPr>
      </w:pPr>
    </w:p>
    <w:p w14:paraId="109A3F2C" w14:textId="74C30A15" w:rsidR="007B3010" w:rsidRDefault="00DF4ACD" w:rsidP="00B874ED">
      <w:pPr>
        <w:tabs>
          <w:tab w:val="left" w:pos="1290"/>
        </w:tabs>
        <w:spacing w:after="360"/>
        <w:jc w:val="both"/>
        <w:rPr>
          <w:color w:val="000000"/>
          <w:sz w:val="24"/>
          <w:szCs w:val="24"/>
        </w:rPr>
      </w:pPr>
      <w:r>
        <w:rPr>
          <w:color w:val="000000"/>
          <w:sz w:val="24"/>
          <w:szCs w:val="24"/>
        </w:rPr>
        <w:t>A</w:t>
      </w:r>
      <w:r>
        <w:rPr>
          <w:i/>
          <w:color w:val="000000"/>
          <w:sz w:val="24"/>
          <w:szCs w:val="24"/>
        </w:rPr>
        <w:t xml:space="preserve"> Ixora sp.</w:t>
      </w:r>
      <w:r>
        <w:rPr>
          <w:color w:val="000000"/>
          <w:sz w:val="24"/>
          <w:szCs w:val="24"/>
        </w:rPr>
        <w:t>, pertencente à família Rubiaceae, popularmente conhecida como “ixora”, “ixora-coral”, “equisósea”, “gerânio selvagem”, “fogo selvagem” ou “louro de jardim”, é um arbusto que atinge até 2,5m de altura. A ixora é originária da Índia, utilizada tradicionalmente na medicina popular oriental, possuindo características terapêuticas diferenciadas. Muitas dessas plantas são cultivadas em quintais e jardins de residências, no entanto, em muitos casos suas propriedades físico-químicas são desconhecidas por parte de quem às cultiva e utiliza no tratamento de doenças, ou até mesmo refutam seu consumo, devido à falta de conhecimento científico. O conhecimento de plantas com propriedades medicinais simboliza muitas vezes o único recurso terapêutico de muitas comunidades e grupos. A partir disso, esse estudo teve como finalidade avaliar alguns parâmetros físico-químicos e os compostos bioativos do fruto da ixora. A amostra foi coletada em um quintal localizado na cidade de Soure-PA, e encaminhada, imediatamente, ao Laboratório de Tecnologia de Alimentos da Universidade do Estado do Pará, Campus XIX, Salvaterra-PA, onde foram realizadas as análises quantitativas de pH, acidez titulável total, sólidos solúveis totais, fenóis totais e flavonoides totais. Os valores médios encontrados foram 19,33</w:t>
      </w:r>
      <w:r w:rsidR="0079525A">
        <w:rPr>
          <w:color w:val="000000"/>
          <w:sz w:val="24"/>
          <w:szCs w:val="24"/>
        </w:rPr>
        <w:t xml:space="preserve"> °Brix, 0,19% e 4,73 para sólidos solúveis totais, acidez titulável t</w:t>
      </w:r>
      <w:r>
        <w:rPr>
          <w:color w:val="000000"/>
          <w:sz w:val="24"/>
          <w:szCs w:val="24"/>
        </w:rPr>
        <w:t xml:space="preserve">otal </w:t>
      </w:r>
      <w:bookmarkStart w:id="2" w:name="_GoBack"/>
      <w:bookmarkEnd w:id="2"/>
      <w:r>
        <w:rPr>
          <w:color w:val="000000"/>
          <w:sz w:val="24"/>
          <w:szCs w:val="24"/>
        </w:rPr>
        <w:t>e pH, respectivamente. Para os compostos fenólicos o valor médio encontrado foi de 541,22 mg EAG.100 g</w:t>
      </w:r>
      <w:r>
        <w:rPr>
          <w:color w:val="000000"/>
          <w:sz w:val="24"/>
          <w:szCs w:val="24"/>
          <w:vertAlign w:val="superscript"/>
        </w:rPr>
        <w:t>-1</w:t>
      </w:r>
      <w:r>
        <w:rPr>
          <w:color w:val="000000"/>
          <w:sz w:val="24"/>
          <w:szCs w:val="24"/>
        </w:rPr>
        <w:t xml:space="preserve"> e para flavonoides totais de 107,61 mg ER.100 g</w:t>
      </w:r>
      <w:r>
        <w:rPr>
          <w:color w:val="000000"/>
          <w:sz w:val="24"/>
          <w:szCs w:val="24"/>
          <w:vertAlign w:val="superscript"/>
        </w:rPr>
        <w:t>-1</w:t>
      </w:r>
      <w:r>
        <w:rPr>
          <w:color w:val="000000"/>
          <w:sz w:val="24"/>
          <w:szCs w:val="24"/>
        </w:rPr>
        <w:t>. A partir dos dados obtidos nesta pesquisa, constatou-se que o fruto analisado é rico em substâncias capazes de combater os radicais livres, substâncias que trazem complicações ao organismo como o envelhecimento precoce, e doenças degenerativas. Com isso, considera-se importante o consumo desse produto natural.</w:t>
      </w:r>
    </w:p>
    <w:p w14:paraId="08763715" w14:textId="77777777" w:rsidR="007B3010" w:rsidRDefault="00DF4ACD">
      <w:pPr>
        <w:rPr>
          <w:i/>
          <w:color w:val="000000"/>
          <w:sz w:val="24"/>
          <w:szCs w:val="24"/>
        </w:rPr>
      </w:pPr>
      <w:r>
        <w:rPr>
          <w:b/>
          <w:color w:val="000000"/>
          <w:sz w:val="24"/>
          <w:szCs w:val="24"/>
        </w:rPr>
        <w:t>Palavras-chave:</w:t>
      </w:r>
      <w:r>
        <w:rPr>
          <w:color w:val="000000"/>
          <w:sz w:val="24"/>
          <w:szCs w:val="24"/>
        </w:rPr>
        <w:t xml:space="preserve"> Compostos bioativos. Perfil físico-químico. </w:t>
      </w:r>
      <w:r>
        <w:rPr>
          <w:i/>
          <w:color w:val="000000"/>
          <w:sz w:val="24"/>
          <w:szCs w:val="24"/>
        </w:rPr>
        <w:t>Ixora sp.</w:t>
      </w:r>
    </w:p>
    <w:p w14:paraId="3A2BC7AB" w14:textId="77777777" w:rsidR="007B3010" w:rsidRDefault="007B3010">
      <w:pPr>
        <w:rPr>
          <w:sz w:val="24"/>
          <w:szCs w:val="24"/>
        </w:rPr>
      </w:pPr>
    </w:p>
    <w:p w14:paraId="3C97B6F3" w14:textId="0A8FD4E2" w:rsidR="007B3010" w:rsidRDefault="00DF4ACD">
      <w:pPr>
        <w:rPr>
          <w:sz w:val="24"/>
          <w:szCs w:val="24"/>
        </w:rPr>
      </w:pPr>
      <w:r>
        <w:rPr>
          <w:b/>
          <w:sz w:val="24"/>
          <w:szCs w:val="24"/>
        </w:rPr>
        <w:t>Área de Interesse do Simpósio</w:t>
      </w:r>
      <w:r w:rsidR="00411929">
        <w:rPr>
          <w:sz w:val="24"/>
          <w:szCs w:val="24"/>
        </w:rPr>
        <w:t>: Química de</w:t>
      </w:r>
      <w:r>
        <w:rPr>
          <w:sz w:val="24"/>
          <w:szCs w:val="24"/>
        </w:rPr>
        <w:t xml:space="preserve"> Produtos Naturais</w:t>
      </w:r>
    </w:p>
    <w:p w14:paraId="23525B3A" w14:textId="77777777" w:rsidR="007B3010" w:rsidRDefault="007B3010">
      <w:pPr>
        <w:rPr>
          <w:sz w:val="24"/>
          <w:szCs w:val="24"/>
        </w:rPr>
      </w:pPr>
    </w:p>
    <w:p w14:paraId="29827678" w14:textId="77777777" w:rsidR="007B3010" w:rsidRDefault="00DF4ACD">
      <w:pPr>
        <w:tabs>
          <w:tab w:val="left" w:pos="1290"/>
        </w:tabs>
        <w:spacing w:line="360" w:lineRule="auto"/>
        <w:jc w:val="both"/>
        <w:rPr>
          <w:b/>
          <w:sz w:val="24"/>
          <w:szCs w:val="24"/>
        </w:rPr>
      </w:pPr>
      <w:r>
        <w:rPr>
          <w:b/>
          <w:sz w:val="24"/>
          <w:szCs w:val="24"/>
        </w:rPr>
        <w:t>1. INTRODUÇÃO</w:t>
      </w:r>
    </w:p>
    <w:p w14:paraId="0D07AE7E" w14:textId="77777777" w:rsidR="007B3010" w:rsidRDefault="00DF4ACD">
      <w:pPr>
        <w:tabs>
          <w:tab w:val="left" w:pos="1290"/>
        </w:tabs>
        <w:spacing w:line="360" w:lineRule="auto"/>
        <w:ind w:left="-142" w:firstLine="851"/>
        <w:jc w:val="both"/>
        <w:rPr>
          <w:sz w:val="24"/>
          <w:szCs w:val="24"/>
        </w:rPr>
      </w:pPr>
      <w:r>
        <w:rPr>
          <w:sz w:val="24"/>
          <w:szCs w:val="24"/>
        </w:rPr>
        <w:t xml:space="preserve">A </w:t>
      </w:r>
      <w:r>
        <w:rPr>
          <w:i/>
          <w:sz w:val="24"/>
          <w:szCs w:val="24"/>
        </w:rPr>
        <w:t>Ixora sp</w:t>
      </w:r>
      <w:r>
        <w:rPr>
          <w:sz w:val="24"/>
          <w:szCs w:val="24"/>
        </w:rPr>
        <w:t xml:space="preserve">. vulgarmente conhecida como “selva de gerânio” e “ixora vermelha”, é um arbusto pertencente à família Rubiaceae, encontrado em toda a Índia. Dependendo da condição médica, as flores, folhas, raízes e caule são usados ​​para tratar várias doenças no sistema tradicional indiano de medicina (BALIGA; KURIAN, 2012). Pertencente à família Rubiaceae, a qual compreende 6500 gêneros e 13000 espécies. Possui distribuição cosmopolita, predominantemente em regiões tropicais, sendo que cerca da metade de suas espécies é de ocorrência neotropical e a maioria encontrada na América do Sul (GOVAERTS </w:t>
      </w:r>
      <w:r>
        <w:rPr>
          <w:i/>
          <w:sz w:val="24"/>
          <w:szCs w:val="24"/>
        </w:rPr>
        <w:t>et al.</w:t>
      </w:r>
      <w:r>
        <w:rPr>
          <w:sz w:val="24"/>
          <w:szCs w:val="24"/>
        </w:rPr>
        <w:t>, 2007).</w:t>
      </w:r>
    </w:p>
    <w:p w14:paraId="7ABDC387" w14:textId="77777777" w:rsidR="007B3010" w:rsidRDefault="00DF4ACD">
      <w:pPr>
        <w:tabs>
          <w:tab w:val="left" w:pos="1290"/>
        </w:tabs>
        <w:spacing w:line="360" w:lineRule="auto"/>
        <w:ind w:left="-142" w:firstLine="851"/>
        <w:jc w:val="both"/>
        <w:rPr>
          <w:sz w:val="24"/>
          <w:szCs w:val="24"/>
        </w:rPr>
      </w:pPr>
      <w:r>
        <w:rPr>
          <w:sz w:val="24"/>
          <w:szCs w:val="24"/>
        </w:rPr>
        <w:t xml:space="preserve">Essa espécie de arbusto é originária da Índia e caracteriza-se por apresentar folhas grandes ovais acuminados de cor verde-escuras, quase sem pecíolo, inseridas opostas duas a duas. Nas flores da ixora, precisamente, já foram identificados sesquiterpenos, hidrocarbonetos, esteroides, triterpenos, açúcar manitol e o triterpeno ácido ursólico. Este último possui propriedades medicinais que vêm sendo testadas, tais como: atividade anti-inflamatória, antialérgica, antibacteriana, antifúngica, entre outros (ALMEIDA; MACIEL, 2011). Seus frutos, quando completamente maduros, são utilizados como fonte alimentar (BALIGA; KURIAN, 2012), apresentando forma globular, de superfície lisa e brilhante. O cultivo desta espécie no Brasil é restritamente ornamental principalmente nos estados de clima quente (DUARTE </w:t>
      </w:r>
      <w:r>
        <w:rPr>
          <w:i/>
          <w:sz w:val="24"/>
          <w:szCs w:val="24"/>
        </w:rPr>
        <w:t>et al</w:t>
      </w:r>
      <w:r>
        <w:rPr>
          <w:sz w:val="24"/>
          <w:szCs w:val="24"/>
        </w:rPr>
        <w:t>., 2006; BELLÉ, 2013).</w:t>
      </w:r>
      <w:r>
        <w:rPr>
          <w:rFonts w:ascii="Arial" w:eastAsia="Arial" w:hAnsi="Arial" w:cs="Arial"/>
          <w:sz w:val="24"/>
          <w:szCs w:val="24"/>
        </w:rPr>
        <w:t xml:space="preserve"> </w:t>
      </w:r>
    </w:p>
    <w:p w14:paraId="5D03153E" w14:textId="77777777" w:rsidR="007B3010" w:rsidRDefault="00DF4ACD">
      <w:pPr>
        <w:spacing w:line="360" w:lineRule="auto"/>
        <w:ind w:firstLine="709"/>
        <w:jc w:val="both"/>
        <w:rPr>
          <w:sz w:val="24"/>
          <w:szCs w:val="24"/>
        </w:rPr>
      </w:pPr>
      <w:bookmarkStart w:id="3" w:name="_1fob9te" w:colFirst="0" w:colLast="0"/>
      <w:bookmarkEnd w:id="3"/>
      <w:r>
        <w:rPr>
          <w:sz w:val="24"/>
          <w:szCs w:val="24"/>
        </w:rPr>
        <w:t xml:space="preserve">O conhecimento de plantas com propriedades medicinais simboliza muitas vezes o único recurso terapêutico de muitas comunidades e grupos. Muitas dessas plantas são cultivadas em quintais e jardins de residências, no entanto, em muitos casos suas propriedades físico-químicas são desconhecidas por parte de quem às cultiva e utiliza no tratamento de doenças, ou até mesmo refutam seu consumo, devido à falta de conhecimento científico. A partir disso, esse estudo teve como finalidade avaliar alguns parâmetros físico-químicos e os compostos bioativos do fruto da ixora. </w:t>
      </w:r>
    </w:p>
    <w:p w14:paraId="5A52C776" w14:textId="77777777" w:rsidR="007B3010" w:rsidRDefault="007B3010">
      <w:pPr>
        <w:spacing w:line="360" w:lineRule="auto"/>
        <w:ind w:firstLine="709"/>
        <w:jc w:val="both"/>
        <w:rPr>
          <w:sz w:val="24"/>
          <w:szCs w:val="24"/>
        </w:rPr>
      </w:pPr>
    </w:p>
    <w:p w14:paraId="34BACED6" w14:textId="77777777" w:rsidR="00F97090" w:rsidRDefault="00F97090">
      <w:pPr>
        <w:spacing w:line="360" w:lineRule="auto"/>
        <w:ind w:firstLine="709"/>
        <w:jc w:val="both"/>
        <w:rPr>
          <w:sz w:val="24"/>
          <w:szCs w:val="24"/>
        </w:rPr>
      </w:pPr>
    </w:p>
    <w:p w14:paraId="7D9DC0D4" w14:textId="77777777" w:rsidR="00F97090" w:rsidRDefault="00F97090">
      <w:pPr>
        <w:spacing w:line="360" w:lineRule="auto"/>
        <w:ind w:firstLine="709"/>
        <w:jc w:val="both"/>
        <w:rPr>
          <w:sz w:val="24"/>
          <w:szCs w:val="24"/>
        </w:rPr>
      </w:pPr>
    </w:p>
    <w:p w14:paraId="27FB8419" w14:textId="77777777" w:rsidR="00F97090" w:rsidRDefault="00F97090">
      <w:pPr>
        <w:spacing w:line="360" w:lineRule="auto"/>
        <w:ind w:firstLine="709"/>
        <w:jc w:val="both"/>
        <w:rPr>
          <w:sz w:val="24"/>
          <w:szCs w:val="24"/>
        </w:rPr>
      </w:pPr>
    </w:p>
    <w:p w14:paraId="770768F4" w14:textId="77777777" w:rsidR="007B3010" w:rsidRDefault="00DF4ACD">
      <w:pPr>
        <w:tabs>
          <w:tab w:val="left" w:pos="1290"/>
        </w:tabs>
        <w:spacing w:line="360" w:lineRule="auto"/>
        <w:jc w:val="both"/>
        <w:rPr>
          <w:b/>
          <w:sz w:val="24"/>
          <w:szCs w:val="24"/>
        </w:rPr>
      </w:pPr>
      <w:r>
        <w:rPr>
          <w:b/>
          <w:sz w:val="24"/>
          <w:szCs w:val="24"/>
        </w:rPr>
        <w:lastRenderedPageBreak/>
        <w:t xml:space="preserve">2. MATERIAL E MÉTODOS </w:t>
      </w:r>
    </w:p>
    <w:p w14:paraId="7252497B" w14:textId="77777777" w:rsidR="007B3010" w:rsidRDefault="007B3010">
      <w:pPr>
        <w:tabs>
          <w:tab w:val="left" w:pos="1290"/>
        </w:tabs>
        <w:spacing w:line="360" w:lineRule="auto"/>
        <w:jc w:val="both"/>
        <w:rPr>
          <w:b/>
          <w:sz w:val="24"/>
          <w:szCs w:val="24"/>
        </w:rPr>
      </w:pPr>
    </w:p>
    <w:p w14:paraId="59D9E2CD" w14:textId="77777777" w:rsidR="007B3010" w:rsidRDefault="00DF4ACD">
      <w:pPr>
        <w:tabs>
          <w:tab w:val="left" w:pos="1290"/>
        </w:tabs>
        <w:spacing w:line="360" w:lineRule="auto"/>
        <w:ind w:firstLine="709"/>
        <w:jc w:val="both"/>
        <w:rPr>
          <w:sz w:val="24"/>
          <w:szCs w:val="24"/>
        </w:rPr>
      </w:pPr>
      <w:r>
        <w:rPr>
          <w:sz w:val="24"/>
          <w:szCs w:val="24"/>
        </w:rPr>
        <w:t>A amostra foi coletada em uma propriedade localizada na cidade de Soure-PA, e encaminhada, imediatamente, ao Laboratório de Tecnologia de Alimentos da Universidade do Estado do Pará, Campus XIX - Salvaterra. Onde foram realizadas as análises quantitativas de pH, acidez titulável total, sólidos solúveis totais, fenóis totais e flavonoides totais.</w:t>
      </w:r>
    </w:p>
    <w:p w14:paraId="16DEBAB3" w14:textId="77777777" w:rsidR="007B3010" w:rsidRDefault="007B3010">
      <w:pPr>
        <w:tabs>
          <w:tab w:val="left" w:pos="1290"/>
        </w:tabs>
        <w:spacing w:line="360" w:lineRule="auto"/>
        <w:ind w:firstLine="709"/>
        <w:jc w:val="both"/>
        <w:rPr>
          <w:sz w:val="24"/>
          <w:szCs w:val="24"/>
        </w:rPr>
      </w:pPr>
    </w:p>
    <w:p w14:paraId="79AD31E7" w14:textId="77777777" w:rsidR="007B3010" w:rsidRDefault="00DF4ACD">
      <w:pPr>
        <w:spacing w:line="360" w:lineRule="auto"/>
        <w:jc w:val="both"/>
        <w:rPr>
          <w:sz w:val="24"/>
          <w:szCs w:val="24"/>
        </w:rPr>
      </w:pPr>
      <w:r>
        <w:rPr>
          <w:sz w:val="24"/>
          <w:szCs w:val="24"/>
        </w:rPr>
        <w:t>2.1 ANÁLISES FÍSICO-QUÍMICAS</w:t>
      </w:r>
    </w:p>
    <w:p w14:paraId="046052B3" w14:textId="77777777" w:rsidR="007B3010" w:rsidRDefault="007B3010">
      <w:pPr>
        <w:spacing w:line="360" w:lineRule="auto"/>
        <w:jc w:val="both"/>
        <w:rPr>
          <w:sz w:val="24"/>
          <w:szCs w:val="24"/>
        </w:rPr>
      </w:pPr>
    </w:p>
    <w:p w14:paraId="7E51402A" w14:textId="22E1C832" w:rsidR="007B3010" w:rsidRDefault="00DF4ACD">
      <w:pPr>
        <w:spacing w:line="360" w:lineRule="auto"/>
        <w:ind w:firstLine="709"/>
        <w:jc w:val="both"/>
        <w:rPr>
          <w:sz w:val="24"/>
          <w:szCs w:val="24"/>
        </w:rPr>
      </w:pPr>
      <w:r>
        <w:rPr>
          <w:sz w:val="24"/>
          <w:szCs w:val="24"/>
        </w:rPr>
        <w:tab/>
        <w:t xml:space="preserve">Para a realização das análises físico-químicas foi preparado um extrato aquoso dos frutos. Para isso pesou-se 10 g da amostra, a qual foi triturada com 90 mL de água destilada; em seguida o extrato foi filtrado </w:t>
      </w:r>
      <w:r w:rsidR="00E12D29">
        <w:rPr>
          <w:sz w:val="24"/>
          <w:szCs w:val="24"/>
        </w:rPr>
        <w:t xml:space="preserve">com </w:t>
      </w:r>
      <w:r w:rsidR="009666FD">
        <w:rPr>
          <w:sz w:val="24"/>
          <w:szCs w:val="24"/>
        </w:rPr>
        <w:t>auxí</w:t>
      </w:r>
      <w:r w:rsidR="00F97090">
        <w:rPr>
          <w:sz w:val="24"/>
          <w:szCs w:val="24"/>
        </w:rPr>
        <w:t>lio</w:t>
      </w:r>
      <w:r w:rsidR="00E12D29">
        <w:rPr>
          <w:sz w:val="24"/>
          <w:szCs w:val="24"/>
        </w:rPr>
        <w:t xml:space="preserve"> de bomba de vácuo</w:t>
      </w:r>
      <w:r>
        <w:rPr>
          <w:sz w:val="24"/>
          <w:szCs w:val="24"/>
        </w:rPr>
        <w:t xml:space="preserve"> e acondicionado em béquer de 100 mL até a realização das análises). O pH foi determinado por potenciometria com eletrodo de vidro </w:t>
      </w:r>
      <w:r w:rsidR="002B56B7" w:rsidRPr="002B56B7">
        <w:rPr>
          <w:sz w:val="24"/>
          <w:szCs w:val="24"/>
        </w:rPr>
        <w:t>em pHmet</w:t>
      </w:r>
      <w:r w:rsidR="002B56B7">
        <w:rPr>
          <w:sz w:val="24"/>
          <w:szCs w:val="24"/>
        </w:rPr>
        <w:t>ro mPA210 da marca MS TECNOPON®</w:t>
      </w:r>
      <w:r>
        <w:rPr>
          <w:sz w:val="24"/>
          <w:szCs w:val="24"/>
        </w:rPr>
        <w:t>. A acidez titulável total foi quantificada por volumetria com indicador fenolftaleína</w:t>
      </w:r>
      <w:r w:rsidR="00B14F7D">
        <w:rPr>
          <w:sz w:val="24"/>
          <w:szCs w:val="24"/>
        </w:rPr>
        <w:t xml:space="preserve">, </w:t>
      </w:r>
      <w:r>
        <w:rPr>
          <w:sz w:val="24"/>
          <w:szCs w:val="24"/>
        </w:rPr>
        <w:t xml:space="preserve">Os sólidos solúveis totais foram analisados em refratômetro ABBE com compensação de temperatura automática. </w:t>
      </w:r>
      <w:r w:rsidR="00B14F7D">
        <w:rPr>
          <w:sz w:val="24"/>
          <w:szCs w:val="24"/>
        </w:rPr>
        <w:t xml:space="preserve">Essas análises foram realizadas de acordo com Zenebon, Pascuet e Tiglea (2008). </w:t>
      </w:r>
      <w:r w:rsidR="007A5B08">
        <w:rPr>
          <w:sz w:val="24"/>
          <w:szCs w:val="24"/>
        </w:rPr>
        <w:t>Os procedimentos foram feitos em triplicata.</w:t>
      </w:r>
    </w:p>
    <w:p w14:paraId="0E1792BB" w14:textId="77777777" w:rsidR="007B3010" w:rsidRDefault="007B3010">
      <w:pPr>
        <w:spacing w:line="360" w:lineRule="auto"/>
        <w:ind w:firstLine="709"/>
        <w:jc w:val="both"/>
        <w:rPr>
          <w:sz w:val="24"/>
          <w:szCs w:val="24"/>
        </w:rPr>
      </w:pPr>
    </w:p>
    <w:p w14:paraId="3964D2FF" w14:textId="77777777" w:rsidR="007B3010" w:rsidRDefault="00DF4ACD">
      <w:pPr>
        <w:spacing w:line="360" w:lineRule="auto"/>
        <w:jc w:val="both"/>
        <w:rPr>
          <w:sz w:val="24"/>
          <w:szCs w:val="24"/>
        </w:rPr>
      </w:pPr>
      <w:r>
        <w:rPr>
          <w:sz w:val="24"/>
          <w:szCs w:val="24"/>
        </w:rPr>
        <w:t>2.2 ANÁLISES DE QUANTIFICAÇÃO DE COMPOSTOS BIOATIVOS</w:t>
      </w:r>
    </w:p>
    <w:p w14:paraId="6BFF49EA" w14:textId="77777777" w:rsidR="007B3010" w:rsidRDefault="007B3010">
      <w:pPr>
        <w:spacing w:line="360" w:lineRule="auto"/>
        <w:jc w:val="both"/>
        <w:rPr>
          <w:b/>
          <w:sz w:val="24"/>
          <w:szCs w:val="24"/>
        </w:rPr>
      </w:pPr>
    </w:p>
    <w:p w14:paraId="3BC38893" w14:textId="77777777" w:rsidR="007B3010" w:rsidRDefault="00DF4ACD">
      <w:pPr>
        <w:spacing w:line="360" w:lineRule="auto"/>
        <w:jc w:val="both"/>
        <w:rPr>
          <w:b/>
          <w:sz w:val="24"/>
          <w:szCs w:val="24"/>
        </w:rPr>
      </w:pPr>
      <w:r>
        <w:rPr>
          <w:b/>
          <w:sz w:val="24"/>
          <w:szCs w:val="24"/>
        </w:rPr>
        <w:t>2.2.1 Preparação do extrato</w:t>
      </w:r>
    </w:p>
    <w:p w14:paraId="575B3EE6" w14:textId="77777777" w:rsidR="007B3010" w:rsidRDefault="007B3010">
      <w:pPr>
        <w:spacing w:line="360" w:lineRule="auto"/>
        <w:ind w:firstLine="709"/>
        <w:jc w:val="both"/>
        <w:rPr>
          <w:sz w:val="24"/>
          <w:szCs w:val="24"/>
        </w:rPr>
      </w:pPr>
    </w:p>
    <w:p w14:paraId="6288F30A" w14:textId="5D8C0311" w:rsidR="007B3010" w:rsidRPr="002B56B7" w:rsidRDefault="00DF4ACD">
      <w:pPr>
        <w:spacing w:line="360" w:lineRule="auto"/>
        <w:ind w:firstLine="709"/>
        <w:jc w:val="both"/>
        <w:rPr>
          <w:sz w:val="24"/>
          <w:szCs w:val="24"/>
        </w:rPr>
      </w:pPr>
      <w:r>
        <w:rPr>
          <w:sz w:val="24"/>
          <w:szCs w:val="24"/>
        </w:rPr>
        <w:t xml:space="preserve">Para a realização das análises de fenóis e flavonoides totais preparou-se um extrato aquoso dos frutos, para isso pesou-se 10 g da amostra, que foi triturada em processador com 90 mL de água destilada por 5 minutos. Passado esse tempo, o extrato foi filtrado e armazenado em frasco âmbar até a realização das </w:t>
      </w:r>
      <w:r w:rsidR="0078305A">
        <w:rPr>
          <w:sz w:val="24"/>
          <w:szCs w:val="24"/>
        </w:rPr>
        <w:t xml:space="preserve">duas </w:t>
      </w:r>
      <w:r>
        <w:rPr>
          <w:sz w:val="24"/>
          <w:szCs w:val="24"/>
        </w:rPr>
        <w:t>quantificações.</w:t>
      </w:r>
      <w:r w:rsidR="002B56B7">
        <w:rPr>
          <w:sz w:val="24"/>
          <w:szCs w:val="24"/>
        </w:rPr>
        <w:t xml:space="preserve"> Optou-se por utilizar o extrato aquoso devido a água se mostrar mais eficiente que outros solventes na extração desses compostos no trabalho de Vieira </w:t>
      </w:r>
      <w:r w:rsidR="002B56B7">
        <w:rPr>
          <w:i/>
          <w:sz w:val="24"/>
          <w:szCs w:val="24"/>
        </w:rPr>
        <w:t>et al</w:t>
      </w:r>
      <w:r w:rsidR="002B56B7">
        <w:rPr>
          <w:sz w:val="24"/>
          <w:szCs w:val="24"/>
        </w:rPr>
        <w:t xml:space="preserve">. </w:t>
      </w:r>
      <w:r w:rsidR="00773B1C">
        <w:rPr>
          <w:sz w:val="24"/>
          <w:szCs w:val="24"/>
        </w:rPr>
        <w:t>(2011) que analisou frutos tropicais.</w:t>
      </w:r>
    </w:p>
    <w:p w14:paraId="3AE0BFA5" w14:textId="77777777" w:rsidR="007B3010" w:rsidRDefault="007B3010">
      <w:pPr>
        <w:spacing w:line="360" w:lineRule="auto"/>
        <w:jc w:val="both"/>
        <w:rPr>
          <w:b/>
          <w:sz w:val="24"/>
          <w:szCs w:val="24"/>
        </w:rPr>
      </w:pPr>
    </w:p>
    <w:p w14:paraId="5B24DDD4" w14:textId="77777777" w:rsidR="007B3010" w:rsidRDefault="00DF4ACD">
      <w:pPr>
        <w:spacing w:line="360" w:lineRule="auto"/>
        <w:jc w:val="both"/>
        <w:rPr>
          <w:b/>
          <w:sz w:val="24"/>
          <w:szCs w:val="24"/>
        </w:rPr>
      </w:pPr>
      <w:r>
        <w:rPr>
          <w:b/>
          <w:sz w:val="24"/>
          <w:szCs w:val="24"/>
        </w:rPr>
        <w:lastRenderedPageBreak/>
        <w:t>2.2.2 Fenóis totais</w:t>
      </w:r>
    </w:p>
    <w:p w14:paraId="305EF365" w14:textId="77777777" w:rsidR="007B3010" w:rsidRDefault="007B3010">
      <w:pPr>
        <w:spacing w:line="360" w:lineRule="auto"/>
        <w:ind w:left="142" w:firstLine="578"/>
        <w:jc w:val="both"/>
        <w:rPr>
          <w:sz w:val="24"/>
          <w:szCs w:val="24"/>
        </w:rPr>
      </w:pPr>
    </w:p>
    <w:p w14:paraId="45AC3A50" w14:textId="77777777" w:rsidR="007B3010" w:rsidRDefault="00DF4ACD">
      <w:pPr>
        <w:spacing w:line="360" w:lineRule="auto"/>
        <w:ind w:left="142" w:firstLine="578"/>
        <w:jc w:val="both"/>
        <w:rPr>
          <w:sz w:val="24"/>
          <w:szCs w:val="24"/>
        </w:rPr>
      </w:pPr>
      <w:bookmarkStart w:id="4" w:name="_3znysh7" w:colFirst="0" w:colLast="0"/>
      <w:bookmarkEnd w:id="4"/>
      <w:r>
        <w:rPr>
          <w:sz w:val="24"/>
          <w:szCs w:val="24"/>
        </w:rPr>
        <w:t>A quantificação de fenóis totais foi realizada a partir do método espectrofotométrico de Folin Ciocalteau, segundo procedimento descrito por Wilczynska (2010). Para construir a curva analítica de calibração foi utilizado como padrão o ácido gálico, nas concentrações de 20 a 120 µg.mL</w:t>
      </w:r>
      <w:r>
        <w:rPr>
          <w:sz w:val="24"/>
          <w:szCs w:val="24"/>
          <w:vertAlign w:val="superscript"/>
        </w:rPr>
        <w:t>-1</w:t>
      </w:r>
      <w:r>
        <w:rPr>
          <w:sz w:val="24"/>
          <w:szCs w:val="24"/>
        </w:rPr>
        <w:t>. Com isso, foi obtida a equação da reta y = 0,0063x – 0,0097; R</w:t>
      </w:r>
      <w:r>
        <w:rPr>
          <w:sz w:val="24"/>
          <w:szCs w:val="24"/>
          <w:vertAlign w:val="superscript"/>
        </w:rPr>
        <w:t>2</w:t>
      </w:r>
      <w:r>
        <w:rPr>
          <w:sz w:val="24"/>
          <w:szCs w:val="24"/>
        </w:rPr>
        <w:t xml:space="preserve"> = 0,9995, a qual permitiu calcular o teor de compostos fenólicos, que foi expresso em mg EAG.100 g</w:t>
      </w:r>
      <w:r>
        <w:rPr>
          <w:sz w:val="24"/>
          <w:szCs w:val="24"/>
          <w:vertAlign w:val="superscript"/>
        </w:rPr>
        <w:t>-1</w:t>
      </w:r>
      <w:r>
        <w:rPr>
          <w:sz w:val="24"/>
          <w:szCs w:val="24"/>
        </w:rPr>
        <w:t xml:space="preserve"> do fruto.</w:t>
      </w:r>
    </w:p>
    <w:p w14:paraId="7B45F9FB" w14:textId="77777777" w:rsidR="007B3010" w:rsidRDefault="007B3010">
      <w:pPr>
        <w:spacing w:line="360" w:lineRule="auto"/>
        <w:ind w:left="142" w:firstLine="578"/>
        <w:jc w:val="both"/>
        <w:rPr>
          <w:sz w:val="24"/>
          <w:szCs w:val="24"/>
        </w:rPr>
      </w:pPr>
    </w:p>
    <w:p w14:paraId="46941A1A" w14:textId="77777777" w:rsidR="007B3010" w:rsidRDefault="00DF4ACD">
      <w:pPr>
        <w:spacing w:line="360" w:lineRule="auto"/>
        <w:jc w:val="both"/>
        <w:rPr>
          <w:b/>
          <w:sz w:val="24"/>
          <w:szCs w:val="24"/>
        </w:rPr>
      </w:pPr>
      <w:r>
        <w:rPr>
          <w:b/>
          <w:sz w:val="24"/>
          <w:szCs w:val="24"/>
        </w:rPr>
        <w:t>2.2.3 Flavonoides totais</w:t>
      </w:r>
    </w:p>
    <w:p w14:paraId="3ABA4477" w14:textId="77777777" w:rsidR="007B3010" w:rsidRDefault="007B3010">
      <w:pPr>
        <w:spacing w:line="360" w:lineRule="auto"/>
        <w:jc w:val="both"/>
        <w:rPr>
          <w:b/>
          <w:sz w:val="24"/>
          <w:szCs w:val="24"/>
        </w:rPr>
      </w:pPr>
    </w:p>
    <w:p w14:paraId="16E16E16" w14:textId="77777777" w:rsidR="007B3010" w:rsidRDefault="00DF4ACD">
      <w:pPr>
        <w:spacing w:line="360" w:lineRule="auto"/>
        <w:ind w:firstLine="709"/>
        <w:jc w:val="both"/>
        <w:rPr>
          <w:color w:val="000000"/>
          <w:sz w:val="24"/>
          <w:szCs w:val="24"/>
        </w:rPr>
      </w:pPr>
      <w:r>
        <w:rPr>
          <w:sz w:val="24"/>
          <w:szCs w:val="24"/>
        </w:rPr>
        <w:t>O método de quantificação de flavonoides se utilizou do cloreto de alumínio, sendo realizada de acordo com a metodologia descrita por Woisky e Salatino (1998). A rutina foi utilizada como padrão nas concentrações de 20 a 120 µg.mL</w:t>
      </w:r>
      <w:r>
        <w:rPr>
          <w:sz w:val="24"/>
          <w:szCs w:val="24"/>
          <w:vertAlign w:val="superscript"/>
        </w:rPr>
        <w:t>-1</w:t>
      </w:r>
      <w:r>
        <w:rPr>
          <w:sz w:val="24"/>
          <w:szCs w:val="24"/>
        </w:rPr>
        <w:t xml:space="preserve"> para se construir a curva de calibração, a qual gerou a equação y = 0,0072x – 0,0149; R</w:t>
      </w:r>
      <w:r>
        <w:rPr>
          <w:sz w:val="24"/>
          <w:szCs w:val="24"/>
          <w:vertAlign w:val="superscript"/>
        </w:rPr>
        <w:t>2</w:t>
      </w:r>
      <w:r>
        <w:rPr>
          <w:sz w:val="24"/>
          <w:szCs w:val="24"/>
        </w:rPr>
        <w:t xml:space="preserve"> = 0,9998. A parti</w:t>
      </w:r>
      <w:r>
        <w:rPr>
          <w:color w:val="000000"/>
          <w:sz w:val="24"/>
          <w:szCs w:val="24"/>
        </w:rPr>
        <w:t>r disso, foi realizado o cálculo do teor de flavonoides totais, que foi expresso em mg RE.100 g</w:t>
      </w:r>
      <w:r>
        <w:rPr>
          <w:color w:val="000000"/>
          <w:sz w:val="24"/>
          <w:szCs w:val="24"/>
          <w:vertAlign w:val="superscript"/>
        </w:rPr>
        <w:t>-1</w:t>
      </w:r>
      <w:r>
        <w:rPr>
          <w:color w:val="000000"/>
          <w:sz w:val="24"/>
          <w:szCs w:val="24"/>
        </w:rPr>
        <w:t xml:space="preserve"> do fruto.</w:t>
      </w:r>
    </w:p>
    <w:p w14:paraId="61490833" w14:textId="77777777" w:rsidR="007B3010" w:rsidRDefault="007B3010">
      <w:pPr>
        <w:tabs>
          <w:tab w:val="left" w:pos="1290"/>
        </w:tabs>
        <w:jc w:val="both"/>
        <w:rPr>
          <w:b/>
          <w:color w:val="000000"/>
          <w:sz w:val="24"/>
          <w:szCs w:val="24"/>
        </w:rPr>
      </w:pPr>
    </w:p>
    <w:p w14:paraId="49CC6DEF" w14:textId="77777777" w:rsidR="007B3010" w:rsidRDefault="00DF4ACD">
      <w:pPr>
        <w:tabs>
          <w:tab w:val="left" w:pos="1290"/>
        </w:tabs>
        <w:jc w:val="both"/>
        <w:rPr>
          <w:color w:val="000000"/>
          <w:sz w:val="24"/>
          <w:szCs w:val="24"/>
        </w:rPr>
      </w:pPr>
      <w:r>
        <w:rPr>
          <w:b/>
          <w:color w:val="000000"/>
          <w:sz w:val="24"/>
          <w:szCs w:val="24"/>
        </w:rPr>
        <w:t>3. RESULTADOS E DISCUSSÃO</w:t>
      </w:r>
      <w:r>
        <w:rPr>
          <w:color w:val="000000"/>
          <w:sz w:val="24"/>
          <w:szCs w:val="24"/>
        </w:rPr>
        <w:t xml:space="preserve"> </w:t>
      </w:r>
    </w:p>
    <w:p w14:paraId="42A248C2" w14:textId="77777777" w:rsidR="007B3010" w:rsidRDefault="007B3010">
      <w:pPr>
        <w:tabs>
          <w:tab w:val="left" w:pos="1290"/>
        </w:tabs>
        <w:spacing w:line="360" w:lineRule="auto"/>
        <w:ind w:firstLine="709"/>
        <w:jc w:val="both"/>
        <w:rPr>
          <w:color w:val="000000"/>
          <w:sz w:val="24"/>
          <w:szCs w:val="24"/>
        </w:rPr>
      </w:pPr>
    </w:p>
    <w:p w14:paraId="66CE19A2" w14:textId="77777777" w:rsidR="007B3010" w:rsidRDefault="00DF4ACD">
      <w:pPr>
        <w:tabs>
          <w:tab w:val="left" w:pos="1290"/>
        </w:tabs>
        <w:spacing w:line="360" w:lineRule="auto"/>
        <w:ind w:firstLine="709"/>
        <w:jc w:val="both"/>
        <w:rPr>
          <w:color w:val="000000"/>
          <w:sz w:val="24"/>
          <w:szCs w:val="24"/>
        </w:rPr>
      </w:pPr>
      <w:r>
        <w:rPr>
          <w:color w:val="000000"/>
          <w:sz w:val="24"/>
          <w:szCs w:val="24"/>
        </w:rPr>
        <w:t>A partir das análises quantitativas de Acidez titulável total, pH, sólidos solúveis totais, fenóis totais e flavonoides totais foram obtidos os valores médios e desvio padrão apresentados na Tabela 1.</w:t>
      </w:r>
    </w:p>
    <w:p w14:paraId="0BBA4FEB" w14:textId="77777777" w:rsidR="007B3010" w:rsidRDefault="007B3010">
      <w:pPr>
        <w:jc w:val="center"/>
        <w:rPr>
          <w:b/>
          <w:color w:val="000000"/>
        </w:rPr>
      </w:pPr>
    </w:p>
    <w:p w14:paraId="0598ABB6" w14:textId="77777777" w:rsidR="007B3010" w:rsidRDefault="00DF4ACD">
      <w:pPr>
        <w:jc w:val="both"/>
        <w:rPr>
          <w:color w:val="000000"/>
          <w:sz w:val="22"/>
          <w:szCs w:val="22"/>
        </w:rPr>
      </w:pPr>
      <w:r>
        <w:rPr>
          <w:color w:val="000000"/>
          <w:sz w:val="22"/>
          <w:szCs w:val="22"/>
        </w:rPr>
        <w:t>Tabela 1</w:t>
      </w:r>
      <w:r>
        <w:rPr>
          <w:b/>
          <w:color w:val="000000"/>
          <w:sz w:val="22"/>
          <w:szCs w:val="22"/>
        </w:rPr>
        <w:t xml:space="preserve"> – </w:t>
      </w:r>
      <w:r>
        <w:rPr>
          <w:color w:val="000000"/>
          <w:sz w:val="22"/>
          <w:szCs w:val="22"/>
        </w:rPr>
        <w:t>Dados dos parâmetros analisados</w:t>
      </w:r>
    </w:p>
    <w:tbl>
      <w:tblPr>
        <w:tblStyle w:val="Tabelacomgrade"/>
        <w:tblW w:w="0" w:type="auto"/>
        <w:tblLook w:val="04A0" w:firstRow="1" w:lastRow="0" w:firstColumn="1" w:lastColumn="0" w:noHBand="0" w:noVBand="1"/>
      </w:tblPr>
      <w:tblGrid>
        <w:gridCol w:w="1590"/>
        <w:gridCol w:w="1591"/>
        <w:gridCol w:w="1591"/>
        <w:gridCol w:w="1591"/>
        <w:gridCol w:w="1591"/>
        <w:gridCol w:w="1591"/>
      </w:tblGrid>
      <w:tr w:rsidR="00E37D7F" w14:paraId="53FF0DFB" w14:textId="77777777" w:rsidTr="007774A6">
        <w:tc>
          <w:tcPr>
            <w:tcW w:w="1590" w:type="dxa"/>
            <w:tcBorders>
              <w:top w:val="single" w:sz="4" w:space="0" w:color="auto"/>
              <w:left w:val="nil"/>
              <w:bottom w:val="single" w:sz="4" w:space="0" w:color="auto"/>
              <w:right w:val="nil"/>
            </w:tcBorders>
          </w:tcPr>
          <w:p w14:paraId="4D002794" w14:textId="77777777" w:rsidR="00E37D7F" w:rsidRPr="007774A6" w:rsidRDefault="00E37D7F" w:rsidP="005853EA">
            <w:pPr>
              <w:spacing w:line="360" w:lineRule="auto"/>
              <w:jc w:val="center"/>
              <w:rPr>
                <w:b/>
                <w:color w:val="000000"/>
              </w:rPr>
            </w:pPr>
          </w:p>
        </w:tc>
        <w:tc>
          <w:tcPr>
            <w:tcW w:w="1591" w:type="dxa"/>
            <w:tcBorders>
              <w:top w:val="single" w:sz="4" w:space="0" w:color="auto"/>
              <w:left w:val="nil"/>
              <w:bottom w:val="single" w:sz="4" w:space="0" w:color="auto"/>
              <w:right w:val="nil"/>
            </w:tcBorders>
          </w:tcPr>
          <w:p w14:paraId="19FB3707" w14:textId="77777777" w:rsidR="00E37D7F" w:rsidRPr="007774A6" w:rsidRDefault="00E37D7F" w:rsidP="005853EA">
            <w:pPr>
              <w:spacing w:line="360" w:lineRule="auto"/>
              <w:jc w:val="center"/>
              <w:rPr>
                <w:b/>
                <w:color w:val="000000"/>
              </w:rPr>
            </w:pPr>
            <w:r w:rsidRPr="007774A6">
              <w:rPr>
                <w:b/>
                <w:color w:val="000000"/>
              </w:rPr>
              <w:t>STT</w:t>
            </w:r>
          </w:p>
        </w:tc>
        <w:tc>
          <w:tcPr>
            <w:tcW w:w="1591" w:type="dxa"/>
            <w:tcBorders>
              <w:top w:val="single" w:sz="4" w:space="0" w:color="auto"/>
              <w:left w:val="nil"/>
              <w:bottom w:val="single" w:sz="4" w:space="0" w:color="auto"/>
              <w:right w:val="nil"/>
            </w:tcBorders>
          </w:tcPr>
          <w:p w14:paraId="557ACE59" w14:textId="77777777" w:rsidR="00E37D7F" w:rsidRPr="007774A6" w:rsidRDefault="00E37D7F" w:rsidP="005853EA">
            <w:pPr>
              <w:spacing w:line="360" w:lineRule="auto"/>
              <w:jc w:val="center"/>
              <w:rPr>
                <w:b/>
                <w:color w:val="000000"/>
              </w:rPr>
            </w:pPr>
            <w:r w:rsidRPr="007774A6">
              <w:rPr>
                <w:b/>
                <w:color w:val="000000"/>
              </w:rPr>
              <w:t>ATT</w:t>
            </w:r>
          </w:p>
        </w:tc>
        <w:tc>
          <w:tcPr>
            <w:tcW w:w="1591" w:type="dxa"/>
            <w:tcBorders>
              <w:top w:val="single" w:sz="4" w:space="0" w:color="auto"/>
              <w:left w:val="nil"/>
              <w:bottom w:val="single" w:sz="4" w:space="0" w:color="auto"/>
              <w:right w:val="nil"/>
            </w:tcBorders>
          </w:tcPr>
          <w:p w14:paraId="634B1F1F" w14:textId="77777777" w:rsidR="00E37D7F" w:rsidRPr="007774A6" w:rsidRDefault="00E37D7F" w:rsidP="005853EA">
            <w:pPr>
              <w:spacing w:line="360" w:lineRule="auto"/>
              <w:jc w:val="center"/>
              <w:rPr>
                <w:b/>
                <w:color w:val="000000"/>
              </w:rPr>
            </w:pPr>
            <w:r w:rsidRPr="007774A6">
              <w:rPr>
                <w:b/>
                <w:color w:val="000000"/>
              </w:rPr>
              <w:t>pH</w:t>
            </w:r>
          </w:p>
        </w:tc>
        <w:tc>
          <w:tcPr>
            <w:tcW w:w="1591" w:type="dxa"/>
            <w:tcBorders>
              <w:top w:val="single" w:sz="4" w:space="0" w:color="auto"/>
              <w:left w:val="nil"/>
              <w:bottom w:val="single" w:sz="4" w:space="0" w:color="auto"/>
              <w:right w:val="nil"/>
            </w:tcBorders>
          </w:tcPr>
          <w:p w14:paraId="53F5CC97" w14:textId="77777777" w:rsidR="00E37D7F" w:rsidRPr="007774A6" w:rsidRDefault="00E37D7F" w:rsidP="005853EA">
            <w:pPr>
              <w:spacing w:line="360" w:lineRule="auto"/>
              <w:jc w:val="center"/>
              <w:rPr>
                <w:b/>
                <w:color w:val="000000"/>
              </w:rPr>
            </w:pPr>
            <w:r w:rsidRPr="007774A6">
              <w:rPr>
                <w:b/>
                <w:color w:val="000000"/>
              </w:rPr>
              <w:t>FT</w:t>
            </w:r>
          </w:p>
        </w:tc>
        <w:tc>
          <w:tcPr>
            <w:tcW w:w="1591" w:type="dxa"/>
            <w:tcBorders>
              <w:top w:val="single" w:sz="4" w:space="0" w:color="auto"/>
              <w:left w:val="nil"/>
              <w:bottom w:val="single" w:sz="4" w:space="0" w:color="auto"/>
              <w:right w:val="nil"/>
            </w:tcBorders>
          </w:tcPr>
          <w:p w14:paraId="17B69F04" w14:textId="77777777" w:rsidR="00E37D7F" w:rsidRPr="007774A6" w:rsidRDefault="00E37D7F" w:rsidP="005853EA">
            <w:pPr>
              <w:spacing w:line="360" w:lineRule="auto"/>
              <w:jc w:val="center"/>
              <w:rPr>
                <w:b/>
                <w:color w:val="000000"/>
              </w:rPr>
            </w:pPr>
            <w:r w:rsidRPr="007774A6">
              <w:rPr>
                <w:b/>
                <w:color w:val="000000"/>
              </w:rPr>
              <w:t>Fla</w:t>
            </w:r>
          </w:p>
        </w:tc>
      </w:tr>
      <w:tr w:rsidR="00E37D7F" w14:paraId="7322453D" w14:textId="77777777" w:rsidTr="007774A6">
        <w:tc>
          <w:tcPr>
            <w:tcW w:w="1590" w:type="dxa"/>
            <w:tcBorders>
              <w:top w:val="single" w:sz="4" w:space="0" w:color="auto"/>
              <w:left w:val="nil"/>
              <w:bottom w:val="nil"/>
              <w:right w:val="nil"/>
            </w:tcBorders>
          </w:tcPr>
          <w:p w14:paraId="7AC8327E" w14:textId="77777777" w:rsidR="00E37D7F" w:rsidRPr="007774A6" w:rsidRDefault="00E37D7F" w:rsidP="005853EA">
            <w:pPr>
              <w:spacing w:line="360" w:lineRule="auto"/>
              <w:jc w:val="center"/>
              <w:rPr>
                <w:b/>
                <w:color w:val="000000"/>
              </w:rPr>
            </w:pPr>
            <w:r w:rsidRPr="007774A6">
              <w:rPr>
                <w:b/>
                <w:color w:val="000000"/>
              </w:rPr>
              <w:t>Média</w:t>
            </w:r>
          </w:p>
        </w:tc>
        <w:tc>
          <w:tcPr>
            <w:tcW w:w="1591" w:type="dxa"/>
            <w:tcBorders>
              <w:top w:val="single" w:sz="4" w:space="0" w:color="auto"/>
              <w:left w:val="nil"/>
              <w:bottom w:val="nil"/>
              <w:right w:val="nil"/>
            </w:tcBorders>
          </w:tcPr>
          <w:p w14:paraId="6D460395" w14:textId="77777777" w:rsidR="00E37D7F" w:rsidRDefault="00E37D7F" w:rsidP="005853EA">
            <w:pPr>
              <w:spacing w:line="360" w:lineRule="auto"/>
              <w:jc w:val="center"/>
              <w:rPr>
                <w:color w:val="000000"/>
              </w:rPr>
            </w:pPr>
            <w:r>
              <w:rPr>
                <w:color w:val="000000"/>
              </w:rPr>
              <w:t>19,33</w:t>
            </w:r>
          </w:p>
        </w:tc>
        <w:tc>
          <w:tcPr>
            <w:tcW w:w="1591" w:type="dxa"/>
            <w:tcBorders>
              <w:top w:val="single" w:sz="4" w:space="0" w:color="auto"/>
              <w:left w:val="nil"/>
              <w:bottom w:val="nil"/>
              <w:right w:val="nil"/>
            </w:tcBorders>
          </w:tcPr>
          <w:p w14:paraId="3204560E" w14:textId="77777777" w:rsidR="00E37D7F" w:rsidRDefault="00E37D7F" w:rsidP="005853EA">
            <w:pPr>
              <w:spacing w:line="360" w:lineRule="auto"/>
              <w:jc w:val="center"/>
              <w:rPr>
                <w:color w:val="000000"/>
              </w:rPr>
            </w:pPr>
            <w:r>
              <w:rPr>
                <w:color w:val="000000"/>
              </w:rPr>
              <w:t>0,19</w:t>
            </w:r>
          </w:p>
        </w:tc>
        <w:tc>
          <w:tcPr>
            <w:tcW w:w="1591" w:type="dxa"/>
            <w:tcBorders>
              <w:top w:val="single" w:sz="4" w:space="0" w:color="auto"/>
              <w:left w:val="nil"/>
              <w:bottom w:val="nil"/>
              <w:right w:val="nil"/>
            </w:tcBorders>
          </w:tcPr>
          <w:p w14:paraId="6B66125A" w14:textId="77777777" w:rsidR="00E37D7F" w:rsidRDefault="00E37D7F" w:rsidP="005853EA">
            <w:pPr>
              <w:spacing w:line="360" w:lineRule="auto"/>
              <w:jc w:val="center"/>
              <w:rPr>
                <w:color w:val="000000"/>
              </w:rPr>
            </w:pPr>
            <w:r>
              <w:rPr>
                <w:color w:val="000000"/>
              </w:rPr>
              <w:t>4,73</w:t>
            </w:r>
          </w:p>
        </w:tc>
        <w:tc>
          <w:tcPr>
            <w:tcW w:w="1591" w:type="dxa"/>
            <w:tcBorders>
              <w:top w:val="single" w:sz="4" w:space="0" w:color="auto"/>
              <w:left w:val="nil"/>
              <w:bottom w:val="nil"/>
              <w:right w:val="nil"/>
            </w:tcBorders>
          </w:tcPr>
          <w:p w14:paraId="45DAFA89" w14:textId="77777777" w:rsidR="00E37D7F" w:rsidRDefault="00287C0A" w:rsidP="005853EA">
            <w:pPr>
              <w:spacing w:line="360" w:lineRule="auto"/>
              <w:jc w:val="center"/>
              <w:rPr>
                <w:color w:val="000000"/>
              </w:rPr>
            </w:pPr>
            <w:r>
              <w:rPr>
                <w:color w:val="000000"/>
              </w:rPr>
              <w:t>541,22</w:t>
            </w:r>
          </w:p>
        </w:tc>
        <w:tc>
          <w:tcPr>
            <w:tcW w:w="1591" w:type="dxa"/>
            <w:tcBorders>
              <w:top w:val="single" w:sz="4" w:space="0" w:color="auto"/>
              <w:left w:val="nil"/>
              <w:bottom w:val="nil"/>
              <w:right w:val="nil"/>
            </w:tcBorders>
          </w:tcPr>
          <w:p w14:paraId="7CCA2CB6" w14:textId="77777777" w:rsidR="00E37D7F" w:rsidRDefault="00287C0A" w:rsidP="005853EA">
            <w:pPr>
              <w:spacing w:line="360" w:lineRule="auto"/>
              <w:jc w:val="center"/>
              <w:rPr>
                <w:color w:val="000000"/>
              </w:rPr>
            </w:pPr>
            <w:r>
              <w:rPr>
                <w:color w:val="000000"/>
              </w:rPr>
              <w:t>107,61</w:t>
            </w:r>
          </w:p>
        </w:tc>
      </w:tr>
      <w:tr w:rsidR="00E37D7F" w14:paraId="572A1E5A" w14:textId="77777777" w:rsidTr="007774A6">
        <w:tc>
          <w:tcPr>
            <w:tcW w:w="1590" w:type="dxa"/>
            <w:tcBorders>
              <w:top w:val="nil"/>
              <w:left w:val="nil"/>
              <w:bottom w:val="single" w:sz="4" w:space="0" w:color="auto"/>
              <w:right w:val="nil"/>
            </w:tcBorders>
          </w:tcPr>
          <w:p w14:paraId="04C73092" w14:textId="77777777" w:rsidR="00E37D7F" w:rsidRPr="007774A6" w:rsidRDefault="00E37D7F" w:rsidP="005853EA">
            <w:pPr>
              <w:spacing w:line="360" w:lineRule="auto"/>
              <w:jc w:val="center"/>
              <w:rPr>
                <w:b/>
                <w:color w:val="000000"/>
              </w:rPr>
            </w:pPr>
            <w:r w:rsidRPr="007774A6">
              <w:rPr>
                <w:b/>
                <w:color w:val="000000"/>
              </w:rPr>
              <w:t>Desvio Padrão</w:t>
            </w:r>
          </w:p>
        </w:tc>
        <w:tc>
          <w:tcPr>
            <w:tcW w:w="1591" w:type="dxa"/>
            <w:tcBorders>
              <w:top w:val="nil"/>
              <w:left w:val="nil"/>
              <w:bottom w:val="single" w:sz="4" w:space="0" w:color="auto"/>
              <w:right w:val="nil"/>
            </w:tcBorders>
          </w:tcPr>
          <w:p w14:paraId="689F0ACE" w14:textId="77777777" w:rsidR="00E37D7F" w:rsidRDefault="00E37D7F" w:rsidP="005853EA">
            <w:pPr>
              <w:spacing w:line="360" w:lineRule="auto"/>
              <w:jc w:val="center"/>
              <w:rPr>
                <w:color w:val="000000"/>
              </w:rPr>
            </w:pPr>
            <w:r>
              <w:rPr>
                <w:color w:val="000000"/>
              </w:rPr>
              <w:t>0,94</w:t>
            </w:r>
          </w:p>
        </w:tc>
        <w:tc>
          <w:tcPr>
            <w:tcW w:w="1591" w:type="dxa"/>
            <w:tcBorders>
              <w:top w:val="nil"/>
              <w:left w:val="nil"/>
              <w:bottom w:val="single" w:sz="4" w:space="0" w:color="auto"/>
              <w:right w:val="nil"/>
            </w:tcBorders>
          </w:tcPr>
          <w:p w14:paraId="386E82C3" w14:textId="77777777" w:rsidR="00E37D7F" w:rsidRDefault="00E37D7F" w:rsidP="005853EA">
            <w:pPr>
              <w:spacing w:line="360" w:lineRule="auto"/>
              <w:jc w:val="center"/>
              <w:rPr>
                <w:color w:val="000000"/>
              </w:rPr>
            </w:pPr>
            <w:r>
              <w:rPr>
                <w:color w:val="000000"/>
              </w:rPr>
              <w:t>0,00</w:t>
            </w:r>
          </w:p>
        </w:tc>
        <w:tc>
          <w:tcPr>
            <w:tcW w:w="1591" w:type="dxa"/>
            <w:tcBorders>
              <w:top w:val="nil"/>
              <w:left w:val="nil"/>
              <w:bottom w:val="single" w:sz="4" w:space="0" w:color="auto"/>
              <w:right w:val="nil"/>
            </w:tcBorders>
          </w:tcPr>
          <w:p w14:paraId="029B4B56" w14:textId="77777777" w:rsidR="00E37D7F" w:rsidRDefault="00287C0A" w:rsidP="005853EA">
            <w:pPr>
              <w:spacing w:line="360" w:lineRule="auto"/>
              <w:jc w:val="center"/>
              <w:rPr>
                <w:color w:val="000000"/>
              </w:rPr>
            </w:pPr>
            <w:r>
              <w:rPr>
                <w:color w:val="000000"/>
              </w:rPr>
              <w:t>0,00</w:t>
            </w:r>
          </w:p>
        </w:tc>
        <w:tc>
          <w:tcPr>
            <w:tcW w:w="1591" w:type="dxa"/>
            <w:tcBorders>
              <w:top w:val="nil"/>
              <w:left w:val="nil"/>
              <w:bottom w:val="single" w:sz="4" w:space="0" w:color="auto"/>
              <w:right w:val="nil"/>
            </w:tcBorders>
          </w:tcPr>
          <w:p w14:paraId="1AA5C337" w14:textId="77777777" w:rsidR="00E37D7F" w:rsidRDefault="00287C0A" w:rsidP="005853EA">
            <w:pPr>
              <w:spacing w:line="360" w:lineRule="auto"/>
              <w:jc w:val="center"/>
              <w:rPr>
                <w:color w:val="000000"/>
              </w:rPr>
            </w:pPr>
            <w:r>
              <w:rPr>
                <w:color w:val="000000"/>
              </w:rPr>
              <w:t>0,44</w:t>
            </w:r>
          </w:p>
        </w:tc>
        <w:tc>
          <w:tcPr>
            <w:tcW w:w="1591" w:type="dxa"/>
            <w:tcBorders>
              <w:top w:val="nil"/>
              <w:left w:val="nil"/>
              <w:bottom w:val="single" w:sz="4" w:space="0" w:color="auto"/>
              <w:right w:val="nil"/>
            </w:tcBorders>
          </w:tcPr>
          <w:p w14:paraId="643EC576" w14:textId="77777777" w:rsidR="00E37D7F" w:rsidRDefault="00287C0A" w:rsidP="005853EA">
            <w:pPr>
              <w:spacing w:line="360" w:lineRule="auto"/>
              <w:jc w:val="center"/>
              <w:rPr>
                <w:color w:val="000000"/>
              </w:rPr>
            </w:pPr>
            <w:r>
              <w:rPr>
                <w:color w:val="000000"/>
              </w:rPr>
              <w:t>3,75</w:t>
            </w:r>
          </w:p>
        </w:tc>
      </w:tr>
    </w:tbl>
    <w:p w14:paraId="05DB3E69" w14:textId="6962A0DB" w:rsidR="007B3010" w:rsidRDefault="00DF4ACD">
      <w:pPr>
        <w:spacing w:before="120"/>
        <w:jc w:val="center"/>
        <w:rPr>
          <w:color w:val="000000"/>
          <w:sz w:val="22"/>
          <w:szCs w:val="22"/>
        </w:rPr>
      </w:pPr>
      <w:r>
        <w:rPr>
          <w:color w:val="000000"/>
          <w:sz w:val="22"/>
          <w:szCs w:val="22"/>
        </w:rPr>
        <w:t>Legenda: SST: sólidos solúveis totais</w:t>
      </w:r>
      <w:r w:rsidR="008476E2">
        <w:rPr>
          <w:color w:val="000000"/>
          <w:sz w:val="22"/>
          <w:szCs w:val="22"/>
        </w:rPr>
        <w:t xml:space="preserve"> (em °Brix)</w:t>
      </w:r>
      <w:r>
        <w:rPr>
          <w:color w:val="000000"/>
          <w:sz w:val="22"/>
          <w:szCs w:val="22"/>
        </w:rPr>
        <w:t>; ATT: acidez titulável total</w:t>
      </w:r>
      <w:r w:rsidR="00704255">
        <w:rPr>
          <w:color w:val="000000"/>
          <w:sz w:val="22"/>
          <w:szCs w:val="22"/>
        </w:rPr>
        <w:t xml:space="preserve"> (</w:t>
      </w:r>
      <w:r w:rsidR="005853EA">
        <w:rPr>
          <w:color w:val="000000"/>
          <w:sz w:val="22"/>
          <w:szCs w:val="22"/>
        </w:rPr>
        <w:t xml:space="preserve">em </w:t>
      </w:r>
      <w:r w:rsidR="00704255">
        <w:rPr>
          <w:color w:val="000000"/>
          <w:sz w:val="22"/>
          <w:szCs w:val="22"/>
        </w:rPr>
        <w:t>%)</w:t>
      </w:r>
      <w:r>
        <w:rPr>
          <w:color w:val="000000"/>
          <w:sz w:val="22"/>
          <w:szCs w:val="22"/>
        </w:rPr>
        <w:t>; pH: potencial hidrogeniônico; FT: fenóis totais</w:t>
      </w:r>
      <w:r w:rsidR="00704255">
        <w:rPr>
          <w:color w:val="000000"/>
          <w:sz w:val="22"/>
          <w:szCs w:val="22"/>
        </w:rPr>
        <w:t xml:space="preserve"> </w:t>
      </w:r>
      <w:r w:rsidR="00704255" w:rsidRPr="00704255">
        <w:rPr>
          <w:color w:val="000000"/>
          <w:sz w:val="22"/>
          <w:szCs w:val="22"/>
        </w:rPr>
        <w:t>(</w:t>
      </w:r>
      <w:r w:rsidR="005853EA">
        <w:rPr>
          <w:color w:val="000000"/>
          <w:sz w:val="22"/>
          <w:szCs w:val="22"/>
        </w:rPr>
        <w:t xml:space="preserve">em mg </w:t>
      </w:r>
      <w:r w:rsidR="00704255" w:rsidRPr="00704255">
        <w:rPr>
          <w:color w:val="000000"/>
          <w:sz w:val="22"/>
          <w:szCs w:val="22"/>
        </w:rPr>
        <w:t>EAG.100 g</w:t>
      </w:r>
      <w:r w:rsidR="00704255" w:rsidRPr="00285A13">
        <w:rPr>
          <w:color w:val="000000"/>
          <w:sz w:val="22"/>
          <w:szCs w:val="22"/>
          <w:vertAlign w:val="superscript"/>
        </w:rPr>
        <w:t>-1</w:t>
      </w:r>
      <w:r w:rsidR="00704255" w:rsidRPr="00704255">
        <w:rPr>
          <w:color w:val="000000"/>
          <w:sz w:val="22"/>
          <w:szCs w:val="22"/>
        </w:rPr>
        <w:t>)</w:t>
      </w:r>
      <w:r>
        <w:rPr>
          <w:color w:val="000000"/>
          <w:sz w:val="22"/>
          <w:szCs w:val="22"/>
        </w:rPr>
        <w:t>; Fla: flavonoides totai</w:t>
      </w:r>
      <w:r w:rsidR="00285A13">
        <w:rPr>
          <w:color w:val="000000"/>
          <w:sz w:val="22"/>
          <w:szCs w:val="22"/>
        </w:rPr>
        <w:t xml:space="preserve">s </w:t>
      </w:r>
      <w:r w:rsidR="00704255" w:rsidRPr="00704255">
        <w:rPr>
          <w:color w:val="000000"/>
          <w:sz w:val="22"/>
          <w:szCs w:val="22"/>
        </w:rPr>
        <w:t>(</w:t>
      </w:r>
      <w:r w:rsidR="005853EA">
        <w:rPr>
          <w:color w:val="000000"/>
          <w:sz w:val="22"/>
          <w:szCs w:val="22"/>
        </w:rPr>
        <w:t xml:space="preserve">em </w:t>
      </w:r>
      <w:r w:rsidR="00704255" w:rsidRPr="00704255">
        <w:rPr>
          <w:color w:val="000000"/>
          <w:sz w:val="22"/>
          <w:szCs w:val="22"/>
        </w:rPr>
        <w:t>mg ER.100 g</w:t>
      </w:r>
      <w:r w:rsidR="00704255" w:rsidRPr="00285A13">
        <w:rPr>
          <w:color w:val="000000"/>
          <w:sz w:val="22"/>
          <w:szCs w:val="22"/>
          <w:vertAlign w:val="superscript"/>
        </w:rPr>
        <w:t>-1</w:t>
      </w:r>
      <w:r w:rsidR="00285A13">
        <w:rPr>
          <w:color w:val="000000"/>
          <w:sz w:val="22"/>
          <w:szCs w:val="22"/>
        </w:rPr>
        <w:t>)</w:t>
      </w:r>
      <w:r>
        <w:rPr>
          <w:color w:val="000000"/>
          <w:sz w:val="22"/>
          <w:szCs w:val="22"/>
        </w:rPr>
        <w:t>.</w:t>
      </w:r>
    </w:p>
    <w:p w14:paraId="46F60235" w14:textId="77777777" w:rsidR="007B3010" w:rsidRDefault="00DF4ACD">
      <w:pPr>
        <w:spacing w:before="120"/>
        <w:jc w:val="both"/>
        <w:rPr>
          <w:color w:val="000000"/>
          <w:sz w:val="22"/>
          <w:szCs w:val="22"/>
        </w:rPr>
      </w:pPr>
      <w:r>
        <w:rPr>
          <w:color w:val="000000"/>
          <w:sz w:val="22"/>
          <w:szCs w:val="22"/>
        </w:rPr>
        <w:t xml:space="preserve">    Fonte:</w:t>
      </w:r>
      <w:r>
        <w:rPr>
          <w:b/>
          <w:color w:val="000000"/>
          <w:sz w:val="22"/>
          <w:szCs w:val="22"/>
        </w:rPr>
        <w:t xml:space="preserve"> </w:t>
      </w:r>
      <w:r>
        <w:rPr>
          <w:color w:val="000000"/>
          <w:sz w:val="22"/>
          <w:szCs w:val="22"/>
        </w:rPr>
        <w:t>Autores, 2018.</w:t>
      </w:r>
    </w:p>
    <w:p w14:paraId="66BF90B4" w14:textId="77777777" w:rsidR="007B3010" w:rsidRDefault="007B3010">
      <w:pPr>
        <w:spacing w:line="360" w:lineRule="auto"/>
        <w:ind w:firstLine="851"/>
        <w:jc w:val="both"/>
        <w:rPr>
          <w:color w:val="000000"/>
          <w:sz w:val="24"/>
          <w:szCs w:val="24"/>
        </w:rPr>
      </w:pPr>
    </w:p>
    <w:p w14:paraId="5E1F4758" w14:textId="77777777" w:rsidR="007B3010" w:rsidRDefault="00DF4ACD">
      <w:pPr>
        <w:spacing w:line="360" w:lineRule="auto"/>
        <w:ind w:firstLine="851"/>
        <w:jc w:val="both"/>
        <w:rPr>
          <w:color w:val="000000"/>
          <w:sz w:val="24"/>
          <w:szCs w:val="24"/>
        </w:rPr>
      </w:pPr>
      <w:r>
        <w:rPr>
          <w:color w:val="000000"/>
          <w:sz w:val="24"/>
          <w:szCs w:val="24"/>
        </w:rPr>
        <w:lastRenderedPageBreak/>
        <w:t xml:space="preserve">Devido não serem encontrados estudos referentes ao fruto do gênero </w:t>
      </w:r>
      <w:r>
        <w:rPr>
          <w:i/>
          <w:color w:val="000000"/>
          <w:sz w:val="24"/>
          <w:szCs w:val="24"/>
        </w:rPr>
        <w:t>Ixora</w:t>
      </w:r>
      <w:r>
        <w:rPr>
          <w:color w:val="000000"/>
          <w:sz w:val="24"/>
          <w:szCs w:val="24"/>
        </w:rPr>
        <w:t xml:space="preserve"> aos quais pudessem ser comparados os resultados obtidos nas avalições físico-químicas e de compostos bioativos, optou-se por relacionar tais dados com frutos pertencentes à mesma família.</w:t>
      </w:r>
    </w:p>
    <w:p w14:paraId="7100E1C5" w14:textId="77777777" w:rsidR="007B3010" w:rsidRDefault="00DF4ACD">
      <w:pPr>
        <w:spacing w:line="360" w:lineRule="auto"/>
        <w:ind w:firstLine="851"/>
        <w:jc w:val="both"/>
        <w:rPr>
          <w:color w:val="000000"/>
          <w:sz w:val="24"/>
          <w:szCs w:val="24"/>
        </w:rPr>
      </w:pPr>
      <w:bookmarkStart w:id="5" w:name="_2et92p0" w:colFirst="0" w:colLast="0"/>
      <w:bookmarkEnd w:id="5"/>
      <w:r>
        <w:rPr>
          <w:color w:val="000000"/>
          <w:sz w:val="24"/>
          <w:szCs w:val="24"/>
        </w:rPr>
        <w:t>O valor médio obtido para sólidos solúveis totais para o fruto da ixora</w:t>
      </w:r>
      <w:r>
        <w:rPr>
          <w:i/>
          <w:color w:val="000000"/>
          <w:sz w:val="24"/>
          <w:szCs w:val="24"/>
        </w:rPr>
        <w:t xml:space="preserve"> </w:t>
      </w:r>
      <w:r>
        <w:rPr>
          <w:color w:val="000000"/>
          <w:sz w:val="24"/>
          <w:szCs w:val="24"/>
        </w:rPr>
        <w:t xml:space="preserve">foi 19,33 °Brix, sendo esse resultado bastante superior ao encontrado por Sousa </w:t>
      </w:r>
      <w:r>
        <w:rPr>
          <w:i/>
          <w:color w:val="000000"/>
          <w:sz w:val="24"/>
          <w:szCs w:val="24"/>
        </w:rPr>
        <w:t>et al.</w:t>
      </w:r>
      <w:r>
        <w:rPr>
          <w:color w:val="000000"/>
          <w:sz w:val="24"/>
          <w:szCs w:val="24"/>
        </w:rPr>
        <w:t xml:space="preserve"> (2010) (8,40 ºBrix) para um fruto conhecido popularmente por “noni” (</w:t>
      </w:r>
      <w:r>
        <w:rPr>
          <w:i/>
          <w:color w:val="000000"/>
          <w:sz w:val="24"/>
          <w:szCs w:val="24"/>
        </w:rPr>
        <w:t>Morinda citrifolia L.</w:t>
      </w:r>
      <w:r>
        <w:rPr>
          <w:color w:val="000000"/>
          <w:sz w:val="24"/>
          <w:szCs w:val="24"/>
        </w:rPr>
        <w:t>), também pertencente à família Rubiaceae, o mesmo foi cultivado em Trairí-CE. Mas, o dado encontrado nesta presente pesquisa se aproximou com o descrito por Souza (2007) que analisou a polpa de jenipapo (</w:t>
      </w:r>
      <w:r>
        <w:rPr>
          <w:i/>
          <w:color w:val="000000"/>
          <w:sz w:val="24"/>
          <w:szCs w:val="24"/>
        </w:rPr>
        <w:t>Genipa americana L.</w:t>
      </w:r>
      <w:r>
        <w:rPr>
          <w:color w:val="000000"/>
          <w:sz w:val="24"/>
          <w:szCs w:val="24"/>
        </w:rPr>
        <w:t>) da mesma família da ixora e do noni, obtendo 18,3 ºBrix.</w:t>
      </w:r>
    </w:p>
    <w:p w14:paraId="49E2247F" w14:textId="77777777" w:rsidR="007B3010" w:rsidRDefault="00DF4ACD">
      <w:pPr>
        <w:spacing w:line="360" w:lineRule="auto"/>
        <w:ind w:firstLine="851"/>
        <w:jc w:val="both"/>
        <w:rPr>
          <w:color w:val="000000"/>
          <w:sz w:val="24"/>
          <w:szCs w:val="24"/>
        </w:rPr>
      </w:pPr>
      <w:r>
        <w:rPr>
          <w:color w:val="000000"/>
          <w:sz w:val="24"/>
          <w:szCs w:val="24"/>
        </w:rPr>
        <w:t xml:space="preserve">Em relação à acidez titulável total, obteve-se o valor médio igual a 0,19%. Ou seja, o fruto apresenta baixa acidez, semelhante ao que pode ser observado ao analisarmos o valor obtido para o potencial hidrogeniônico. Esse resultado de acidez é inferior ao apresentado por Silva </w:t>
      </w:r>
      <w:r>
        <w:rPr>
          <w:i/>
          <w:color w:val="000000"/>
          <w:sz w:val="24"/>
          <w:szCs w:val="24"/>
        </w:rPr>
        <w:t>et al</w:t>
      </w:r>
      <w:r>
        <w:rPr>
          <w:color w:val="000000"/>
          <w:sz w:val="24"/>
          <w:szCs w:val="24"/>
        </w:rPr>
        <w:t>. (2008), com teores médios de 0,30 % em frutos de</w:t>
      </w:r>
      <w:r>
        <w:rPr>
          <w:color w:val="000000"/>
        </w:rPr>
        <w:t xml:space="preserve"> </w:t>
      </w:r>
      <w:r>
        <w:rPr>
          <w:color w:val="000000"/>
          <w:sz w:val="24"/>
          <w:szCs w:val="24"/>
        </w:rPr>
        <w:t xml:space="preserve">noni, cultivados em Mossoró-RN; e também abaixo do resultado determinado por Sousa </w:t>
      </w:r>
      <w:r>
        <w:rPr>
          <w:i/>
          <w:color w:val="000000"/>
          <w:sz w:val="24"/>
          <w:szCs w:val="24"/>
        </w:rPr>
        <w:t>et al</w:t>
      </w:r>
      <w:r>
        <w:rPr>
          <w:color w:val="000000"/>
          <w:sz w:val="24"/>
          <w:szCs w:val="24"/>
        </w:rPr>
        <w:t xml:space="preserve">. (2010) para o mesmo fruto. </w:t>
      </w:r>
    </w:p>
    <w:p w14:paraId="039F0591" w14:textId="77777777" w:rsidR="007B3010" w:rsidRDefault="00DF4ACD">
      <w:pPr>
        <w:spacing w:line="360" w:lineRule="auto"/>
        <w:ind w:firstLine="851"/>
        <w:jc w:val="both"/>
        <w:rPr>
          <w:color w:val="000000"/>
          <w:sz w:val="24"/>
          <w:szCs w:val="24"/>
        </w:rPr>
      </w:pPr>
      <w:r>
        <w:rPr>
          <w:color w:val="000000"/>
          <w:sz w:val="24"/>
          <w:szCs w:val="24"/>
        </w:rPr>
        <w:t xml:space="preserve">Em relação ao pH, encontrou o valor de 4,73, próximo ao obtido por Silva </w:t>
      </w:r>
      <w:r>
        <w:rPr>
          <w:i/>
          <w:color w:val="000000"/>
          <w:sz w:val="24"/>
          <w:szCs w:val="24"/>
        </w:rPr>
        <w:t>et al</w:t>
      </w:r>
      <w:r>
        <w:rPr>
          <w:color w:val="000000"/>
          <w:sz w:val="24"/>
          <w:szCs w:val="24"/>
        </w:rPr>
        <w:t>. (2008) em frutos de</w:t>
      </w:r>
      <w:r>
        <w:rPr>
          <w:color w:val="000000"/>
        </w:rPr>
        <w:t xml:space="preserve"> </w:t>
      </w:r>
      <w:r>
        <w:rPr>
          <w:color w:val="000000"/>
          <w:sz w:val="24"/>
          <w:szCs w:val="24"/>
        </w:rPr>
        <w:t xml:space="preserve">noni (4,86). Esse valor também corrobora o apresentado por Sousa (2010) que ao analisarem o mesmo fruto encontraram um pH igual a 4,53. Os resultados obtidos neste trabalho para o pH do fruto de </w:t>
      </w:r>
      <w:r>
        <w:rPr>
          <w:i/>
          <w:color w:val="000000"/>
          <w:sz w:val="24"/>
          <w:szCs w:val="24"/>
        </w:rPr>
        <w:t>Ixora sp.</w:t>
      </w:r>
      <w:r>
        <w:rPr>
          <w:color w:val="000000"/>
          <w:sz w:val="24"/>
          <w:szCs w:val="24"/>
        </w:rPr>
        <w:t>, indicam que ele está próximo do pH 5,00 que, para Lorenzi e Souza (1995) é o ideal para um maior desenvolvimento da planta.</w:t>
      </w:r>
    </w:p>
    <w:p w14:paraId="06A52E99" w14:textId="77777777" w:rsidR="007B3010" w:rsidRDefault="00DF4ACD">
      <w:pPr>
        <w:spacing w:line="360" w:lineRule="auto"/>
        <w:ind w:firstLine="851"/>
        <w:jc w:val="both"/>
        <w:rPr>
          <w:color w:val="000000"/>
          <w:sz w:val="24"/>
          <w:szCs w:val="24"/>
        </w:rPr>
      </w:pPr>
      <w:r>
        <w:rPr>
          <w:color w:val="000000"/>
          <w:sz w:val="24"/>
          <w:szCs w:val="24"/>
        </w:rPr>
        <w:t>O teor de compostos fenólicos foi expresso em mg equivalente de ácido gálico por 100 gramas de polpa (mg EAG.100 g</w:t>
      </w:r>
      <w:r>
        <w:rPr>
          <w:color w:val="000000"/>
          <w:sz w:val="24"/>
          <w:szCs w:val="24"/>
          <w:vertAlign w:val="superscript"/>
        </w:rPr>
        <w:t>-1</w:t>
      </w:r>
      <w:r>
        <w:rPr>
          <w:color w:val="000000"/>
          <w:sz w:val="24"/>
          <w:szCs w:val="24"/>
        </w:rPr>
        <w:t>).</w:t>
      </w:r>
      <w:r>
        <w:rPr>
          <w:color w:val="000000"/>
        </w:rPr>
        <w:t xml:space="preserve"> </w:t>
      </w:r>
      <w:r>
        <w:rPr>
          <w:color w:val="000000"/>
          <w:sz w:val="24"/>
          <w:szCs w:val="24"/>
        </w:rPr>
        <w:t>Obteve-se como o valor médio de 541,22 mg EAG.100 g</w:t>
      </w:r>
      <w:r>
        <w:rPr>
          <w:color w:val="000000"/>
          <w:sz w:val="24"/>
          <w:szCs w:val="24"/>
          <w:vertAlign w:val="superscript"/>
        </w:rPr>
        <w:t>-1</w:t>
      </w:r>
      <w:r>
        <w:rPr>
          <w:color w:val="000000"/>
          <w:sz w:val="24"/>
          <w:szCs w:val="24"/>
        </w:rPr>
        <w:t xml:space="preserve">. Os resultados de fenóis obtidos foram superiores aqueles apresentados por ChanBlanc, </w:t>
      </w:r>
      <w:r>
        <w:rPr>
          <w:i/>
          <w:color w:val="000000"/>
          <w:sz w:val="24"/>
          <w:szCs w:val="24"/>
        </w:rPr>
        <w:t>et al</w:t>
      </w:r>
      <w:r>
        <w:rPr>
          <w:color w:val="000000"/>
          <w:sz w:val="24"/>
          <w:szCs w:val="24"/>
        </w:rPr>
        <w:t xml:space="preserve">. (2007) e por Correia </w:t>
      </w:r>
      <w:r>
        <w:rPr>
          <w:i/>
          <w:color w:val="000000"/>
          <w:sz w:val="24"/>
          <w:szCs w:val="24"/>
        </w:rPr>
        <w:t>et al.</w:t>
      </w:r>
      <w:r>
        <w:rPr>
          <w:color w:val="000000"/>
          <w:sz w:val="24"/>
          <w:szCs w:val="24"/>
        </w:rPr>
        <w:t xml:space="preserve"> (2011), que obtiveram valores de 51,1 mg EAG.100 g</w:t>
      </w:r>
      <w:r>
        <w:rPr>
          <w:color w:val="000000"/>
          <w:sz w:val="24"/>
          <w:szCs w:val="24"/>
          <w:vertAlign w:val="superscript"/>
        </w:rPr>
        <w:t>-1</w:t>
      </w:r>
      <w:r>
        <w:rPr>
          <w:color w:val="000000"/>
          <w:sz w:val="24"/>
          <w:szCs w:val="24"/>
        </w:rPr>
        <w:t xml:space="preserve"> e 216, 67 mg EAG.100 g</w:t>
      </w:r>
      <w:r>
        <w:rPr>
          <w:color w:val="000000"/>
          <w:sz w:val="24"/>
          <w:szCs w:val="24"/>
          <w:vertAlign w:val="superscript"/>
        </w:rPr>
        <w:t>-1</w:t>
      </w:r>
      <w:r>
        <w:rPr>
          <w:color w:val="000000"/>
          <w:sz w:val="24"/>
          <w:szCs w:val="24"/>
        </w:rPr>
        <w:t xml:space="preserve">, respectivamente, para a polpa in natura de noni. Por outro lado, Krishnaiah </w:t>
      </w:r>
      <w:r>
        <w:rPr>
          <w:i/>
          <w:color w:val="000000"/>
          <w:sz w:val="24"/>
          <w:szCs w:val="24"/>
        </w:rPr>
        <w:t>et al</w:t>
      </w:r>
      <w:r>
        <w:rPr>
          <w:color w:val="000000"/>
          <w:sz w:val="24"/>
          <w:szCs w:val="24"/>
        </w:rPr>
        <w:t>. (2013) trabalharam com a polpa de noni desidratada e obtiveram um teor de compostos fenólicos de 431,8 mg EAG.100 g</w:t>
      </w:r>
      <w:r>
        <w:rPr>
          <w:color w:val="000000"/>
          <w:sz w:val="24"/>
          <w:szCs w:val="24"/>
          <w:vertAlign w:val="superscript"/>
        </w:rPr>
        <w:t>-1</w:t>
      </w:r>
      <w:r>
        <w:rPr>
          <w:color w:val="000000"/>
          <w:sz w:val="24"/>
          <w:szCs w:val="24"/>
        </w:rPr>
        <w:t>, teor médio mais próximo ao apresentado neste estudo, porém ainda inferior. Os diferentes valores de teores dos compostos fenólicos são explicados por diversos fatores, tais quais maturação, espécie, práticas de cultivo, origem geográfica, estágio de crescimento, condições de colheita e processo de armazenamento das frutas (SOARES, 2008).</w:t>
      </w:r>
    </w:p>
    <w:p w14:paraId="1901B28E" w14:textId="07C1DC69" w:rsidR="005853EA" w:rsidRDefault="00DF4ACD" w:rsidP="00D34908">
      <w:pPr>
        <w:spacing w:line="360" w:lineRule="auto"/>
        <w:ind w:firstLine="851"/>
        <w:jc w:val="both"/>
        <w:rPr>
          <w:color w:val="000000"/>
          <w:sz w:val="24"/>
          <w:szCs w:val="24"/>
        </w:rPr>
      </w:pPr>
      <w:r>
        <w:rPr>
          <w:color w:val="000000"/>
          <w:sz w:val="24"/>
          <w:szCs w:val="24"/>
        </w:rPr>
        <w:lastRenderedPageBreak/>
        <w:t>Observa-se que o fruto é rico em fenóis totais, e por conseguinte, apresenta alto valor de flavonoides totais (107,61 mg ER.100 g</w:t>
      </w:r>
      <w:r>
        <w:rPr>
          <w:color w:val="000000"/>
          <w:sz w:val="24"/>
          <w:szCs w:val="24"/>
          <w:vertAlign w:val="superscript"/>
        </w:rPr>
        <w:t>-1</w:t>
      </w:r>
      <w:r>
        <w:rPr>
          <w:color w:val="000000"/>
          <w:sz w:val="24"/>
          <w:szCs w:val="24"/>
        </w:rPr>
        <w:t xml:space="preserve">), compostos que podem ser muitos importantes para a saúde humana agindo principalmente como agentes antioxidantes, combatendo os radicais livres que se encontram no organismo. Além de poderem reduzir o colesterol maléfico (LDL) (OLIVEIRA </w:t>
      </w:r>
      <w:r>
        <w:rPr>
          <w:i/>
          <w:color w:val="000000"/>
          <w:sz w:val="24"/>
          <w:szCs w:val="24"/>
        </w:rPr>
        <w:t>et al</w:t>
      </w:r>
      <w:r>
        <w:rPr>
          <w:color w:val="000000"/>
          <w:sz w:val="24"/>
          <w:szCs w:val="24"/>
        </w:rPr>
        <w:t>., 2002).</w:t>
      </w:r>
    </w:p>
    <w:p w14:paraId="712BA1FD" w14:textId="77777777" w:rsidR="007B3010" w:rsidRDefault="007B3010">
      <w:pPr>
        <w:tabs>
          <w:tab w:val="left" w:pos="1290"/>
        </w:tabs>
        <w:jc w:val="both"/>
        <w:rPr>
          <w:color w:val="000000"/>
          <w:sz w:val="24"/>
          <w:szCs w:val="24"/>
        </w:rPr>
      </w:pPr>
    </w:p>
    <w:p w14:paraId="31F24DCA" w14:textId="77777777" w:rsidR="007B3010" w:rsidRDefault="00DF4ACD">
      <w:pPr>
        <w:tabs>
          <w:tab w:val="left" w:pos="1290"/>
        </w:tabs>
        <w:jc w:val="both"/>
        <w:rPr>
          <w:b/>
          <w:color w:val="000000"/>
          <w:sz w:val="24"/>
          <w:szCs w:val="24"/>
        </w:rPr>
      </w:pPr>
      <w:r>
        <w:rPr>
          <w:b/>
          <w:color w:val="000000"/>
          <w:sz w:val="24"/>
          <w:szCs w:val="24"/>
        </w:rPr>
        <w:t>4. CONSIDERAÇÕES FINAIS</w:t>
      </w:r>
    </w:p>
    <w:p w14:paraId="379F00FF" w14:textId="77777777" w:rsidR="007B3010" w:rsidRDefault="007B3010">
      <w:pPr>
        <w:tabs>
          <w:tab w:val="left" w:pos="1290"/>
        </w:tabs>
        <w:jc w:val="both"/>
        <w:rPr>
          <w:color w:val="000000"/>
          <w:sz w:val="24"/>
          <w:szCs w:val="24"/>
        </w:rPr>
      </w:pPr>
    </w:p>
    <w:p w14:paraId="69F5FC78" w14:textId="77777777" w:rsidR="007B3010" w:rsidRDefault="00DF4ACD">
      <w:pPr>
        <w:tabs>
          <w:tab w:val="left" w:pos="709"/>
        </w:tabs>
        <w:spacing w:line="360" w:lineRule="auto"/>
        <w:ind w:firstLine="709"/>
        <w:jc w:val="both"/>
        <w:rPr>
          <w:b/>
          <w:color w:val="000000"/>
          <w:sz w:val="24"/>
          <w:szCs w:val="24"/>
        </w:rPr>
      </w:pPr>
      <w:r>
        <w:rPr>
          <w:color w:val="000000"/>
          <w:sz w:val="28"/>
          <w:szCs w:val="28"/>
        </w:rPr>
        <w:tab/>
      </w:r>
      <w:r>
        <w:rPr>
          <w:color w:val="000000"/>
          <w:sz w:val="24"/>
          <w:szCs w:val="24"/>
        </w:rPr>
        <w:t>Não somente na região sourense, mas em todo a Ilha de Marajó, poucas pessoas conhecem as propriedades do fruto da espécie trabalhada, e por não saberem, criam um entendimento de que o fruto não é apropriado para consumo, assim, deixando de lado o foco em estudos aprofundados acerca do vegetal. A partir dos dados obtidos nesta pesquisa em pH, acidez, sólidos solúveis e principalmente fenóis e flavonoides, constatou-se que o fruto é rico em substâncias capazes de combater a ação de radicais livres, substâncias que trazem complicações ao organismo como o envelhecimento precoce e até doenças degenerativas. Portanto, considera-se benéfico o consumo do fruto da ixora, onde o mesmo pode ser adicionado aos componentes de uma alimentação saudável e balanceada. Ressalta-se também a importância de novos estudos que venham caracterizar esse produto natural.</w:t>
      </w:r>
    </w:p>
    <w:p w14:paraId="1CE36C86" w14:textId="77777777" w:rsidR="007B3010" w:rsidRDefault="007B3010">
      <w:pPr>
        <w:tabs>
          <w:tab w:val="left" w:pos="1290"/>
        </w:tabs>
        <w:jc w:val="both"/>
        <w:rPr>
          <w:b/>
          <w:color w:val="000000"/>
          <w:sz w:val="24"/>
          <w:szCs w:val="24"/>
        </w:rPr>
      </w:pPr>
    </w:p>
    <w:p w14:paraId="5BC71DDB" w14:textId="77777777" w:rsidR="007B3010" w:rsidRDefault="00DF4ACD">
      <w:pPr>
        <w:tabs>
          <w:tab w:val="left" w:pos="1290"/>
        </w:tabs>
        <w:jc w:val="both"/>
        <w:rPr>
          <w:color w:val="000000"/>
          <w:sz w:val="24"/>
          <w:szCs w:val="24"/>
        </w:rPr>
      </w:pPr>
      <w:r>
        <w:rPr>
          <w:b/>
          <w:color w:val="000000"/>
          <w:sz w:val="24"/>
          <w:szCs w:val="24"/>
        </w:rPr>
        <w:t>REFERÊNCIAS</w:t>
      </w:r>
    </w:p>
    <w:p w14:paraId="00D137D9" w14:textId="77777777" w:rsidR="007B3010" w:rsidRDefault="007B3010">
      <w:pPr>
        <w:tabs>
          <w:tab w:val="left" w:pos="709"/>
        </w:tabs>
        <w:jc w:val="both"/>
        <w:rPr>
          <w:color w:val="000000"/>
          <w:sz w:val="24"/>
          <w:szCs w:val="24"/>
        </w:rPr>
      </w:pPr>
    </w:p>
    <w:p w14:paraId="755838C6" w14:textId="77777777" w:rsidR="007B3010" w:rsidRDefault="00DF4ACD">
      <w:pPr>
        <w:tabs>
          <w:tab w:val="left" w:pos="709"/>
        </w:tabs>
        <w:jc w:val="both"/>
        <w:rPr>
          <w:color w:val="000000"/>
          <w:sz w:val="24"/>
          <w:szCs w:val="24"/>
        </w:rPr>
      </w:pPr>
      <w:r>
        <w:rPr>
          <w:color w:val="000000"/>
          <w:sz w:val="24"/>
          <w:szCs w:val="24"/>
        </w:rPr>
        <w:t xml:space="preserve">ALMEIDA, C. C.; MACIEL, M. A. M. Perfil Etnobotânico de Ixora coccinea Linn. In: ASSOCIAÇÃO NORTE NORDESTE DE QUÍMICA, 59072-970, 2011, Natal-RN. </w:t>
      </w:r>
      <w:r>
        <w:rPr>
          <w:b/>
          <w:color w:val="000000"/>
          <w:sz w:val="24"/>
          <w:szCs w:val="24"/>
        </w:rPr>
        <w:t>Anais</w:t>
      </w:r>
      <w:r>
        <w:rPr>
          <w:color w:val="000000"/>
          <w:sz w:val="24"/>
          <w:szCs w:val="24"/>
        </w:rPr>
        <w:t>. Natal: Associação Norte Nordeste de Química, 2011.</w:t>
      </w:r>
    </w:p>
    <w:p w14:paraId="548705EE" w14:textId="77777777" w:rsidR="007B3010" w:rsidRDefault="007B3010">
      <w:pPr>
        <w:tabs>
          <w:tab w:val="left" w:pos="709"/>
        </w:tabs>
        <w:jc w:val="both"/>
        <w:rPr>
          <w:color w:val="000000"/>
          <w:sz w:val="24"/>
          <w:szCs w:val="24"/>
        </w:rPr>
      </w:pPr>
    </w:p>
    <w:p w14:paraId="5AFB6688" w14:textId="77777777" w:rsidR="007B3010" w:rsidRDefault="00DF4ACD">
      <w:pPr>
        <w:tabs>
          <w:tab w:val="left" w:pos="709"/>
        </w:tabs>
        <w:jc w:val="both"/>
        <w:rPr>
          <w:color w:val="000000"/>
          <w:sz w:val="24"/>
          <w:szCs w:val="24"/>
        </w:rPr>
      </w:pPr>
      <w:r>
        <w:rPr>
          <w:color w:val="000000"/>
          <w:sz w:val="24"/>
          <w:szCs w:val="24"/>
        </w:rPr>
        <w:t xml:space="preserve">BALIGA, M. S.; KURIAN, P. J. Ixora coccinea Linn.: Traditional uses, phytochemistry and pharmacology. </w:t>
      </w:r>
      <w:r>
        <w:rPr>
          <w:b/>
          <w:color w:val="000000"/>
          <w:sz w:val="24"/>
          <w:szCs w:val="24"/>
        </w:rPr>
        <w:t>Chinese journal of integrative medicine</w:t>
      </w:r>
      <w:r>
        <w:rPr>
          <w:color w:val="000000"/>
          <w:sz w:val="24"/>
          <w:szCs w:val="24"/>
        </w:rPr>
        <w:t>, v. 18, n. 1, p. 72-79, 2012.</w:t>
      </w:r>
    </w:p>
    <w:p w14:paraId="79995EE5" w14:textId="77777777" w:rsidR="007B3010" w:rsidRDefault="007B3010">
      <w:pPr>
        <w:tabs>
          <w:tab w:val="left" w:pos="709"/>
        </w:tabs>
        <w:jc w:val="both"/>
        <w:rPr>
          <w:color w:val="000000"/>
          <w:sz w:val="24"/>
          <w:szCs w:val="24"/>
        </w:rPr>
      </w:pPr>
    </w:p>
    <w:p w14:paraId="0BDA8230" w14:textId="77777777" w:rsidR="007B3010" w:rsidRDefault="00DF4ACD">
      <w:pPr>
        <w:tabs>
          <w:tab w:val="left" w:pos="709"/>
        </w:tabs>
        <w:jc w:val="both"/>
        <w:rPr>
          <w:color w:val="000000"/>
          <w:sz w:val="24"/>
          <w:szCs w:val="24"/>
        </w:rPr>
      </w:pPr>
      <w:r>
        <w:rPr>
          <w:color w:val="000000"/>
          <w:sz w:val="24"/>
          <w:szCs w:val="24"/>
        </w:rPr>
        <w:t xml:space="preserve">BELLÉ, S. </w:t>
      </w:r>
      <w:r w:rsidRPr="00F97090">
        <w:rPr>
          <w:b/>
          <w:color w:val="000000"/>
          <w:sz w:val="24"/>
          <w:szCs w:val="24"/>
        </w:rPr>
        <w:t>Apostila de paisagismo</w:t>
      </w:r>
      <w:r>
        <w:rPr>
          <w:color w:val="000000"/>
          <w:sz w:val="24"/>
          <w:szCs w:val="24"/>
        </w:rPr>
        <w:t>. Bento Gonçalves: Instituto Federal de Educação, Ciência e Tecnologia do Rio Grande do Sul, 2013.</w:t>
      </w:r>
    </w:p>
    <w:p w14:paraId="58C11CD0" w14:textId="77777777" w:rsidR="007B3010" w:rsidRDefault="007B3010">
      <w:pPr>
        <w:tabs>
          <w:tab w:val="left" w:pos="709"/>
        </w:tabs>
        <w:jc w:val="both"/>
        <w:rPr>
          <w:color w:val="000000"/>
          <w:sz w:val="24"/>
          <w:szCs w:val="24"/>
        </w:rPr>
      </w:pPr>
    </w:p>
    <w:p w14:paraId="037B4C4E" w14:textId="77777777" w:rsidR="007B3010" w:rsidRDefault="00DF4ACD">
      <w:pPr>
        <w:tabs>
          <w:tab w:val="left" w:pos="709"/>
        </w:tabs>
        <w:jc w:val="both"/>
        <w:rPr>
          <w:color w:val="000000"/>
          <w:sz w:val="24"/>
          <w:szCs w:val="24"/>
        </w:rPr>
      </w:pPr>
      <w:r>
        <w:rPr>
          <w:color w:val="000000"/>
          <w:sz w:val="24"/>
          <w:szCs w:val="24"/>
        </w:rPr>
        <w:t xml:space="preserve">CORREIA, A. A. D. S.; GONZAGA, M. L. D. C.; AQUINO, A. C.; SOUZA, P. H. M.; FIGUEIREDO, R. W.; MAIA, G. A. Caracterização química e físico-química da polpa do noni (Morinda citrifolia) cultivado no estado do Ceará. </w:t>
      </w:r>
      <w:r>
        <w:rPr>
          <w:b/>
          <w:color w:val="000000"/>
          <w:sz w:val="24"/>
          <w:szCs w:val="24"/>
        </w:rPr>
        <w:t>Alimentos e Nutrição</w:t>
      </w:r>
      <w:r>
        <w:rPr>
          <w:color w:val="000000"/>
          <w:sz w:val="24"/>
          <w:szCs w:val="24"/>
        </w:rPr>
        <w:t xml:space="preserve">, v.22, n.4, p.609-615, 2011. </w:t>
      </w:r>
    </w:p>
    <w:p w14:paraId="2C2AFFAA" w14:textId="77777777" w:rsidR="007B3010" w:rsidRDefault="007B3010">
      <w:pPr>
        <w:tabs>
          <w:tab w:val="left" w:pos="709"/>
        </w:tabs>
        <w:jc w:val="both"/>
        <w:rPr>
          <w:color w:val="000000"/>
          <w:sz w:val="24"/>
          <w:szCs w:val="24"/>
        </w:rPr>
      </w:pPr>
    </w:p>
    <w:p w14:paraId="089EE07F" w14:textId="77777777" w:rsidR="007B3010" w:rsidRDefault="00DF4ACD">
      <w:pPr>
        <w:tabs>
          <w:tab w:val="left" w:pos="709"/>
        </w:tabs>
        <w:jc w:val="both"/>
        <w:rPr>
          <w:color w:val="000000"/>
          <w:sz w:val="24"/>
          <w:szCs w:val="24"/>
        </w:rPr>
      </w:pPr>
      <w:r>
        <w:rPr>
          <w:color w:val="000000"/>
          <w:sz w:val="24"/>
          <w:szCs w:val="24"/>
        </w:rPr>
        <w:lastRenderedPageBreak/>
        <w:t xml:space="preserve">DUARTE, E. F.; RESENDE JÚNIOR, P.M.; CARNEIRO, I. F. Enraizamento de estacas de ixora (Ixora coccinea L.) com o uso de AIB e solução mineral. In: CONGRESSO DE PESQUISA, ENSINO E EXTENSÃO DA UFG - CONPEEX, 3., 2006, Goiânia. </w:t>
      </w:r>
      <w:r>
        <w:rPr>
          <w:b/>
          <w:color w:val="000000"/>
          <w:sz w:val="24"/>
          <w:szCs w:val="24"/>
        </w:rPr>
        <w:t>Anais eletrônicos do III Seminário de Pesquisa e Pós-Graduação</w:t>
      </w:r>
      <w:r>
        <w:rPr>
          <w:color w:val="000000"/>
          <w:sz w:val="24"/>
          <w:szCs w:val="24"/>
        </w:rPr>
        <w:t xml:space="preserve"> [CD-ROM], Goiânia: UFG, 2006. </w:t>
      </w:r>
    </w:p>
    <w:p w14:paraId="52172367" w14:textId="77777777" w:rsidR="007B3010" w:rsidRDefault="007B3010">
      <w:pPr>
        <w:tabs>
          <w:tab w:val="left" w:pos="709"/>
        </w:tabs>
        <w:jc w:val="both"/>
        <w:rPr>
          <w:color w:val="000000"/>
          <w:sz w:val="24"/>
          <w:szCs w:val="24"/>
        </w:rPr>
      </w:pPr>
    </w:p>
    <w:p w14:paraId="5CB61A41" w14:textId="77777777" w:rsidR="007B3010" w:rsidRDefault="00DF4ACD">
      <w:pPr>
        <w:tabs>
          <w:tab w:val="left" w:pos="709"/>
        </w:tabs>
        <w:jc w:val="both"/>
        <w:rPr>
          <w:color w:val="000000"/>
          <w:sz w:val="24"/>
          <w:szCs w:val="24"/>
        </w:rPr>
      </w:pPr>
      <w:r>
        <w:rPr>
          <w:color w:val="000000"/>
          <w:sz w:val="24"/>
          <w:szCs w:val="24"/>
        </w:rPr>
        <w:t xml:space="preserve">GOVAERTS, R.; FRODIN, D. G.; RUHSAM, M.; BRIDSON, D. M.; DAVIS, A. P. World checklist &amp; bibliography of Rubiaceae. </w:t>
      </w:r>
      <w:r>
        <w:rPr>
          <w:b/>
          <w:color w:val="000000"/>
          <w:sz w:val="24"/>
          <w:szCs w:val="24"/>
        </w:rPr>
        <w:t>The Trustees of the Royal Botanic Gardens: Kew</w:t>
      </w:r>
      <w:r>
        <w:rPr>
          <w:color w:val="000000"/>
          <w:sz w:val="24"/>
          <w:szCs w:val="24"/>
        </w:rPr>
        <w:t>, 2007.</w:t>
      </w:r>
    </w:p>
    <w:p w14:paraId="511A28C6" w14:textId="77777777" w:rsidR="007B3010" w:rsidRDefault="007B3010">
      <w:pPr>
        <w:tabs>
          <w:tab w:val="left" w:pos="709"/>
        </w:tabs>
        <w:jc w:val="both"/>
        <w:rPr>
          <w:color w:val="000000"/>
          <w:sz w:val="24"/>
          <w:szCs w:val="24"/>
        </w:rPr>
      </w:pPr>
    </w:p>
    <w:p w14:paraId="739B02C0" w14:textId="77777777" w:rsidR="007B3010" w:rsidRDefault="00DF4ACD">
      <w:pPr>
        <w:tabs>
          <w:tab w:val="left" w:pos="709"/>
        </w:tabs>
        <w:jc w:val="both"/>
        <w:rPr>
          <w:color w:val="000000"/>
          <w:sz w:val="24"/>
          <w:szCs w:val="24"/>
        </w:rPr>
      </w:pPr>
      <w:r>
        <w:rPr>
          <w:color w:val="000000"/>
          <w:sz w:val="24"/>
          <w:szCs w:val="24"/>
        </w:rPr>
        <w:t xml:space="preserve">KRISHNAIAH, D.; BONO, A; SARBATLY, R.; NITHYANANDAM, R.; ANISUZZAMAN, S. M. Antioxidant activity and total phenolic iágara of na isolated Morinda citrifolia L. methanolic extract from Poly-ethersulphone (PES) membrane separator. </w:t>
      </w:r>
      <w:r>
        <w:rPr>
          <w:b/>
          <w:color w:val="000000"/>
          <w:sz w:val="24"/>
          <w:szCs w:val="24"/>
        </w:rPr>
        <w:t>Journal of King Saud University – Engineering Sciences</w:t>
      </w:r>
      <w:r>
        <w:rPr>
          <w:color w:val="000000"/>
          <w:sz w:val="24"/>
          <w:szCs w:val="24"/>
        </w:rPr>
        <w:t xml:space="preserve">, in press, 2013.OLIVEIRA, T. T.; GOMES, S. M.; NAGEM, T. J.; COSTA, N. M. B.; SECOM, P. R. Efeitos de diferentes doses de flavonoides em ratos hiperlipidêmicos. </w:t>
      </w:r>
      <w:r>
        <w:rPr>
          <w:b/>
          <w:color w:val="000000"/>
          <w:sz w:val="24"/>
          <w:szCs w:val="24"/>
        </w:rPr>
        <w:t>Rev. Nutr.</w:t>
      </w:r>
      <w:r>
        <w:rPr>
          <w:color w:val="000000"/>
          <w:sz w:val="24"/>
          <w:szCs w:val="24"/>
        </w:rPr>
        <w:t>, Campinas, v. 15, n. 1, p 45-51, 2002.</w:t>
      </w:r>
    </w:p>
    <w:p w14:paraId="1CC58340" w14:textId="77777777" w:rsidR="007B3010" w:rsidRDefault="007B3010">
      <w:pPr>
        <w:tabs>
          <w:tab w:val="left" w:pos="709"/>
        </w:tabs>
        <w:jc w:val="both"/>
        <w:rPr>
          <w:color w:val="000000"/>
          <w:sz w:val="24"/>
          <w:szCs w:val="24"/>
        </w:rPr>
      </w:pPr>
    </w:p>
    <w:p w14:paraId="6048FFB2" w14:textId="77777777" w:rsidR="007B3010" w:rsidRDefault="00DF4ACD">
      <w:pPr>
        <w:tabs>
          <w:tab w:val="left" w:pos="709"/>
        </w:tabs>
        <w:jc w:val="both"/>
        <w:rPr>
          <w:color w:val="000000"/>
          <w:sz w:val="24"/>
          <w:szCs w:val="24"/>
        </w:rPr>
      </w:pPr>
      <w:r>
        <w:rPr>
          <w:color w:val="000000"/>
          <w:sz w:val="24"/>
          <w:szCs w:val="24"/>
        </w:rPr>
        <w:t xml:space="preserve">SILVA, L. R. D.; MEDEIROS, P. V. Q. D; LEITE, G. A.; SILVA, K. J. P.; MENDONÇA, V.; SOUSA, J. A. D.; SILVA, M. S. Caracterização físico-química do fruto de Noni (Morinda citrifolia L.). In: CONGRESSO BRASILEIRO DE AGRONOMIA, 26., 2008, Gramado. </w:t>
      </w:r>
      <w:r>
        <w:rPr>
          <w:b/>
          <w:color w:val="000000"/>
          <w:sz w:val="24"/>
          <w:szCs w:val="24"/>
        </w:rPr>
        <w:t>Anais</w:t>
      </w:r>
      <w:r>
        <w:rPr>
          <w:color w:val="000000"/>
          <w:sz w:val="24"/>
          <w:szCs w:val="24"/>
        </w:rPr>
        <w:t>... Gramado: Confederação das Federações de Engenheiros Agrônomos do Brasil/Sociedade de Agronomia do Rio Grande do Sul, 2008.</w:t>
      </w:r>
    </w:p>
    <w:p w14:paraId="6B863A82" w14:textId="77777777" w:rsidR="007B3010" w:rsidRDefault="007B3010">
      <w:pPr>
        <w:tabs>
          <w:tab w:val="left" w:pos="709"/>
        </w:tabs>
        <w:jc w:val="both"/>
        <w:rPr>
          <w:color w:val="000000"/>
          <w:sz w:val="24"/>
          <w:szCs w:val="24"/>
        </w:rPr>
      </w:pPr>
    </w:p>
    <w:p w14:paraId="177F8E2E" w14:textId="77777777" w:rsidR="007B3010" w:rsidRDefault="00DF4ACD">
      <w:pPr>
        <w:tabs>
          <w:tab w:val="left" w:pos="709"/>
        </w:tabs>
        <w:jc w:val="both"/>
        <w:rPr>
          <w:color w:val="000000"/>
          <w:sz w:val="24"/>
          <w:szCs w:val="24"/>
        </w:rPr>
      </w:pPr>
      <w:r>
        <w:rPr>
          <w:color w:val="000000"/>
          <w:sz w:val="24"/>
          <w:szCs w:val="24"/>
        </w:rPr>
        <w:t xml:space="preserve">SOARES, M.; WELTER, L.; KUSKOSKI, E. M.; GONZAGA, L.; FETT, R. Compostos fenólicos e atividade antioxidante da casca de Uvas niágara e isabel. </w:t>
      </w:r>
      <w:r>
        <w:rPr>
          <w:b/>
          <w:color w:val="000000"/>
          <w:sz w:val="24"/>
          <w:szCs w:val="24"/>
        </w:rPr>
        <w:t>Revista Brasileira de Fruticultura</w:t>
      </w:r>
      <w:r>
        <w:rPr>
          <w:color w:val="000000"/>
          <w:sz w:val="24"/>
          <w:szCs w:val="24"/>
        </w:rPr>
        <w:t>, Jaboticabal-SP; v.30, n. 1, p.59-64, mar. 2008.</w:t>
      </w:r>
    </w:p>
    <w:p w14:paraId="137E456B" w14:textId="77777777" w:rsidR="007B3010" w:rsidRDefault="007B3010">
      <w:pPr>
        <w:tabs>
          <w:tab w:val="left" w:pos="709"/>
        </w:tabs>
        <w:ind w:firstLine="709"/>
        <w:jc w:val="both"/>
        <w:rPr>
          <w:color w:val="000000"/>
          <w:sz w:val="24"/>
          <w:szCs w:val="24"/>
        </w:rPr>
      </w:pPr>
    </w:p>
    <w:p w14:paraId="6E39D104" w14:textId="77777777" w:rsidR="007B3010" w:rsidRDefault="00DF4ACD">
      <w:pPr>
        <w:tabs>
          <w:tab w:val="left" w:pos="709"/>
        </w:tabs>
        <w:jc w:val="both"/>
        <w:rPr>
          <w:color w:val="000000"/>
          <w:sz w:val="24"/>
          <w:szCs w:val="24"/>
        </w:rPr>
      </w:pPr>
      <w:bookmarkStart w:id="6" w:name="_tyjcwt" w:colFirst="0" w:colLast="0"/>
      <w:bookmarkEnd w:id="6"/>
      <w:r>
        <w:rPr>
          <w:color w:val="000000"/>
          <w:sz w:val="24"/>
          <w:szCs w:val="24"/>
        </w:rPr>
        <w:t xml:space="preserve">SOUZA, C. N. </w:t>
      </w:r>
      <w:r>
        <w:rPr>
          <w:b/>
          <w:color w:val="000000"/>
          <w:sz w:val="24"/>
          <w:szCs w:val="24"/>
        </w:rPr>
        <w:t>Características físicas, físico-químicas e químicas de três tipos de jenipapos (Genipa americana L.)</w:t>
      </w:r>
      <w:r>
        <w:rPr>
          <w:color w:val="000000"/>
          <w:sz w:val="24"/>
          <w:szCs w:val="24"/>
        </w:rPr>
        <w:t>. 2007. 72f. Dissertação (Mestrado em Produção Vegetal) – Programa de Pós-Graduação em Produção Vegetal, Universidade Estadual de Santa Cruz-BA, 2007.</w:t>
      </w:r>
    </w:p>
    <w:p w14:paraId="3B147AAB" w14:textId="77777777" w:rsidR="007B3010" w:rsidRDefault="007B3010">
      <w:pPr>
        <w:tabs>
          <w:tab w:val="left" w:pos="709"/>
        </w:tabs>
        <w:jc w:val="both"/>
        <w:rPr>
          <w:color w:val="000000"/>
          <w:sz w:val="24"/>
          <w:szCs w:val="24"/>
        </w:rPr>
      </w:pPr>
    </w:p>
    <w:p w14:paraId="1BB2C179" w14:textId="77777777" w:rsidR="007B3010" w:rsidRDefault="00DF4ACD">
      <w:pPr>
        <w:tabs>
          <w:tab w:val="left" w:pos="709"/>
        </w:tabs>
        <w:jc w:val="both"/>
        <w:rPr>
          <w:color w:val="000000"/>
          <w:sz w:val="24"/>
          <w:szCs w:val="24"/>
        </w:rPr>
      </w:pPr>
      <w:r>
        <w:rPr>
          <w:color w:val="000000"/>
          <w:sz w:val="24"/>
          <w:szCs w:val="24"/>
        </w:rPr>
        <w:t xml:space="preserve">SOUSA, J. A.; SILVA, L. R.; PONTES, C. A.; AGUIAR, A. L. L.; CISNE, M. F.; SILVA, E. O.  </w:t>
      </w:r>
      <w:r>
        <w:rPr>
          <w:b/>
          <w:color w:val="000000"/>
          <w:sz w:val="24"/>
          <w:szCs w:val="24"/>
        </w:rPr>
        <w:t>Caracterização físico-química de frutos de noni (</w:t>
      </w:r>
      <w:r>
        <w:rPr>
          <w:b/>
          <w:i/>
          <w:color w:val="000000"/>
          <w:sz w:val="24"/>
          <w:szCs w:val="24"/>
        </w:rPr>
        <w:t xml:space="preserve">Morinda citrifolia </w:t>
      </w:r>
      <w:r>
        <w:rPr>
          <w:b/>
          <w:color w:val="000000"/>
          <w:sz w:val="24"/>
          <w:szCs w:val="24"/>
        </w:rPr>
        <w:t>L.) cultivados em Trairí-CE</w:t>
      </w:r>
      <w:r>
        <w:rPr>
          <w:color w:val="000000"/>
          <w:sz w:val="24"/>
          <w:szCs w:val="24"/>
        </w:rPr>
        <w:t xml:space="preserve">. In: CONGRESSO BRASILEIRO DE FRUTICULTURA, 21., 2010, Natal. </w:t>
      </w:r>
      <w:r>
        <w:rPr>
          <w:b/>
          <w:color w:val="000000"/>
          <w:sz w:val="24"/>
          <w:szCs w:val="24"/>
        </w:rPr>
        <w:t>Anais</w:t>
      </w:r>
      <w:r>
        <w:rPr>
          <w:color w:val="000000"/>
          <w:sz w:val="24"/>
          <w:szCs w:val="24"/>
        </w:rPr>
        <w:t>... Natal: Sociedade Brasileira de Fruticultura, 2010.</w:t>
      </w:r>
    </w:p>
    <w:p w14:paraId="2EEEE227" w14:textId="77777777" w:rsidR="00374C23" w:rsidRDefault="00374C23">
      <w:pPr>
        <w:tabs>
          <w:tab w:val="left" w:pos="709"/>
        </w:tabs>
        <w:jc w:val="both"/>
        <w:rPr>
          <w:color w:val="000000"/>
          <w:sz w:val="24"/>
          <w:szCs w:val="24"/>
        </w:rPr>
      </w:pPr>
    </w:p>
    <w:p w14:paraId="33B50025" w14:textId="31E3B27A" w:rsidR="007B3010" w:rsidRDefault="00374C23" w:rsidP="00374C23">
      <w:pPr>
        <w:tabs>
          <w:tab w:val="left" w:pos="709"/>
        </w:tabs>
        <w:jc w:val="both"/>
        <w:rPr>
          <w:color w:val="000000"/>
          <w:sz w:val="24"/>
          <w:szCs w:val="24"/>
        </w:rPr>
      </w:pPr>
      <w:r w:rsidRPr="00374C23">
        <w:rPr>
          <w:color w:val="000000"/>
          <w:sz w:val="24"/>
          <w:szCs w:val="24"/>
        </w:rPr>
        <w:t xml:space="preserve">VIEIRA, L. M.; SOUSA, M. S. B.; MANCINI-FILHO, J.; LIMA, A. Fenólicos totais e capacidade antioxidante in vitro de polpas de frutos tropicais. </w:t>
      </w:r>
      <w:r w:rsidRPr="00374C23">
        <w:rPr>
          <w:b/>
          <w:color w:val="000000"/>
          <w:sz w:val="24"/>
          <w:szCs w:val="24"/>
        </w:rPr>
        <w:t>Revista Brasileira de Fruticultura</w:t>
      </w:r>
      <w:r w:rsidRPr="00374C23">
        <w:rPr>
          <w:color w:val="000000"/>
          <w:sz w:val="24"/>
          <w:szCs w:val="24"/>
        </w:rPr>
        <w:t>, Jaboticabal, v. 33, n. 3, p. 888-897, 2011.</w:t>
      </w:r>
    </w:p>
    <w:p w14:paraId="0742C39F" w14:textId="77777777" w:rsidR="00374C23" w:rsidRDefault="00374C23" w:rsidP="00374C23">
      <w:pPr>
        <w:tabs>
          <w:tab w:val="left" w:pos="709"/>
        </w:tabs>
        <w:jc w:val="both"/>
        <w:rPr>
          <w:color w:val="000000"/>
          <w:sz w:val="24"/>
          <w:szCs w:val="24"/>
        </w:rPr>
      </w:pPr>
    </w:p>
    <w:p w14:paraId="41D36654" w14:textId="77777777" w:rsidR="007B3010" w:rsidRDefault="00DF4ACD">
      <w:pPr>
        <w:tabs>
          <w:tab w:val="left" w:pos="567"/>
          <w:tab w:val="left" w:pos="709"/>
        </w:tabs>
        <w:jc w:val="both"/>
        <w:rPr>
          <w:color w:val="000000"/>
          <w:sz w:val="24"/>
          <w:szCs w:val="24"/>
        </w:rPr>
      </w:pPr>
      <w:r>
        <w:rPr>
          <w:color w:val="000000"/>
          <w:sz w:val="24"/>
          <w:szCs w:val="24"/>
        </w:rPr>
        <w:t xml:space="preserve">WILCZYNSKA, A. Phenolic content and antioxidant activity of different types of polish honey - a short report. </w:t>
      </w:r>
      <w:r>
        <w:rPr>
          <w:b/>
          <w:color w:val="000000"/>
          <w:sz w:val="24"/>
          <w:szCs w:val="24"/>
        </w:rPr>
        <w:t>Polish Journal of Food and Nutrition Sciences</w:t>
      </w:r>
      <w:r>
        <w:rPr>
          <w:color w:val="000000"/>
          <w:sz w:val="24"/>
          <w:szCs w:val="24"/>
        </w:rPr>
        <w:t>, v. 60, n. 4, p. 309-313, 2010.</w:t>
      </w:r>
    </w:p>
    <w:p w14:paraId="66098B04" w14:textId="77777777" w:rsidR="007B3010" w:rsidRDefault="007B3010">
      <w:pPr>
        <w:tabs>
          <w:tab w:val="left" w:pos="567"/>
          <w:tab w:val="left" w:pos="709"/>
        </w:tabs>
        <w:jc w:val="both"/>
        <w:rPr>
          <w:color w:val="000000"/>
          <w:sz w:val="24"/>
          <w:szCs w:val="24"/>
        </w:rPr>
      </w:pPr>
    </w:p>
    <w:p w14:paraId="172704E1" w14:textId="77777777" w:rsidR="007B3010" w:rsidRDefault="00DF4ACD">
      <w:pPr>
        <w:tabs>
          <w:tab w:val="left" w:pos="567"/>
          <w:tab w:val="left" w:pos="709"/>
        </w:tabs>
        <w:jc w:val="both"/>
        <w:rPr>
          <w:color w:val="000000"/>
          <w:sz w:val="24"/>
          <w:szCs w:val="24"/>
        </w:rPr>
      </w:pPr>
      <w:r>
        <w:rPr>
          <w:color w:val="000000"/>
          <w:sz w:val="24"/>
          <w:szCs w:val="24"/>
        </w:rPr>
        <w:t xml:space="preserve">WOISKY, R. G; SALATINO, A. Analysis os propolis: some parameters ond prodecore for chemical fuality control. </w:t>
      </w:r>
      <w:r>
        <w:rPr>
          <w:b/>
          <w:color w:val="000000"/>
          <w:sz w:val="24"/>
          <w:szCs w:val="24"/>
        </w:rPr>
        <w:t>Journal Apicultural Research</w:t>
      </w:r>
      <w:r>
        <w:rPr>
          <w:color w:val="000000"/>
          <w:sz w:val="24"/>
          <w:szCs w:val="24"/>
        </w:rPr>
        <w:t>, v. 37, n. 2, p. 99-105, 1998.</w:t>
      </w:r>
    </w:p>
    <w:p w14:paraId="4EF2D8D8" w14:textId="77777777" w:rsidR="007B3010" w:rsidRDefault="007B3010">
      <w:pPr>
        <w:tabs>
          <w:tab w:val="left" w:pos="567"/>
          <w:tab w:val="left" w:pos="709"/>
        </w:tabs>
        <w:jc w:val="both"/>
        <w:rPr>
          <w:color w:val="000000"/>
          <w:sz w:val="24"/>
          <w:szCs w:val="24"/>
        </w:rPr>
      </w:pPr>
    </w:p>
    <w:p w14:paraId="5575BDA5" w14:textId="77777777" w:rsidR="007B3010" w:rsidRDefault="00DF4ACD">
      <w:pPr>
        <w:tabs>
          <w:tab w:val="left" w:pos="567"/>
          <w:tab w:val="left" w:pos="709"/>
        </w:tabs>
        <w:jc w:val="both"/>
        <w:rPr>
          <w:color w:val="000000"/>
          <w:sz w:val="24"/>
          <w:szCs w:val="24"/>
        </w:rPr>
      </w:pPr>
      <w:r>
        <w:rPr>
          <w:color w:val="000000"/>
          <w:sz w:val="24"/>
          <w:szCs w:val="24"/>
        </w:rPr>
        <w:lastRenderedPageBreak/>
        <w:t xml:space="preserve">ZENEBON, O.; PASCUET, N. S.; TIGLEA, P. </w:t>
      </w:r>
      <w:r>
        <w:rPr>
          <w:b/>
          <w:color w:val="000000"/>
          <w:sz w:val="24"/>
          <w:szCs w:val="24"/>
        </w:rPr>
        <w:t>Métodos físico-químicos para análise de alimentos</w:t>
      </w:r>
      <w:r>
        <w:rPr>
          <w:color w:val="000000"/>
          <w:sz w:val="24"/>
          <w:szCs w:val="24"/>
        </w:rPr>
        <w:t>. 4. ed. São Paulo: Instituto Adolfo Lutz, 2008.</w:t>
      </w:r>
    </w:p>
    <w:sectPr w:rsidR="007B3010">
      <w:headerReference w:type="default" r:id="rId12"/>
      <w:footerReference w:type="default" r:id="rId13"/>
      <w:pgSz w:w="12240" w:h="15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D1DBC" w14:textId="77777777" w:rsidR="008F3C5D" w:rsidRDefault="008F3C5D">
      <w:r>
        <w:separator/>
      </w:r>
    </w:p>
  </w:endnote>
  <w:endnote w:type="continuationSeparator" w:id="0">
    <w:p w14:paraId="76185EB6" w14:textId="77777777" w:rsidR="008F3C5D" w:rsidRDefault="008F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0941F" w14:textId="77777777" w:rsidR="007B3010" w:rsidRDefault="00DF4ACD">
    <w:pPr>
      <w:pBdr>
        <w:top w:val="nil"/>
        <w:left w:val="nil"/>
        <w:bottom w:val="nil"/>
        <w:right w:val="nil"/>
        <w:between w:val="nil"/>
      </w:pBdr>
      <w:tabs>
        <w:tab w:val="center" w:pos="4252"/>
        <w:tab w:val="right" w:pos="8504"/>
      </w:tabs>
      <w:rPr>
        <w:color w:val="000000"/>
      </w:rPr>
    </w:pPr>
    <w:r>
      <w:rPr>
        <w:noProof/>
        <w:color w:val="000000"/>
      </w:rPr>
      <w:drawing>
        <wp:inline distT="0" distB="0" distL="0" distR="0" wp14:anchorId="3E43F9CE" wp14:editId="50D328CE">
          <wp:extent cx="5867400" cy="581025"/>
          <wp:effectExtent l="0" t="0" r="0" b="0"/>
          <wp:docPr id="70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5867400" cy="58102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1E175" w14:textId="77777777" w:rsidR="008F3C5D" w:rsidRDefault="008F3C5D">
      <w:r>
        <w:separator/>
      </w:r>
    </w:p>
  </w:footnote>
  <w:footnote w:type="continuationSeparator" w:id="0">
    <w:p w14:paraId="7BCA69E2" w14:textId="77777777" w:rsidR="008F3C5D" w:rsidRDefault="008F3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8E0FA" w14:textId="77777777" w:rsidR="007B3010" w:rsidRDefault="00DF4ACD">
    <w:pPr>
      <w:pBdr>
        <w:top w:val="nil"/>
        <w:left w:val="nil"/>
        <w:bottom w:val="single" w:sz="4" w:space="1" w:color="000000"/>
        <w:right w:val="nil"/>
        <w:between w:val="nil"/>
      </w:pBdr>
      <w:tabs>
        <w:tab w:val="center" w:pos="4252"/>
        <w:tab w:val="right" w:pos="8504"/>
      </w:tabs>
      <w:rPr>
        <w:color w:val="000000"/>
      </w:rPr>
    </w:pPr>
    <w:r>
      <w:rPr>
        <w:color w:val="000000"/>
      </w:rPr>
      <w:t xml:space="preserve"> </w:t>
    </w:r>
    <w:r>
      <w:rPr>
        <w:noProof/>
      </w:rPr>
      <mc:AlternateContent>
        <mc:Choice Requires="wps">
          <w:drawing>
            <wp:anchor distT="0" distB="0" distL="0" distR="0" simplePos="0" relativeHeight="251658240" behindDoc="1" locked="0" layoutInCell="1" hidden="0" allowOverlap="1" wp14:anchorId="08911233" wp14:editId="4073EC6B">
              <wp:simplePos x="0" y="0"/>
              <wp:positionH relativeFrom="margin">
                <wp:posOffset>-329559</wp:posOffset>
              </wp:positionH>
              <wp:positionV relativeFrom="paragraph">
                <wp:posOffset>-258438</wp:posOffset>
              </wp:positionV>
              <wp:extent cx="2384425" cy="656590"/>
              <wp:effectExtent l="0" t="0" r="0" b="0"/>
              <wp:wrapNone/>
              <wp:docPr id="699" name="Caixa de texto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wps:spPr>
                    <wps:txbx>
                      <w:txbxContent>
                        <w:p w14:paraId="4FD156EE" w14:textId="77777777" w:rsidR="00BC24C0" w:rsidRDefault="00DF4ACD">
                          <w:r w:rsidRPr="004C583D">
                            <w:rPr>
                              <w:noProof/>
                            </w:rPr>
                            <w:drawing>
                              <wp:inline distT="0" distB="0" distL="0" distR="0" wp14:anchorId="19BF7CC3" wp14:editId="6222032E">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anchor>
          </w:drawing>
        </mc:Choice>
        <mc:Fallback>
          <w:pict>
            <v:shapetype w14:anchorId="08911233" id="_x0000_t202" coordsize="21600,21600" o:spt="202" path="m,l,21600r21600,l21600,xe">
              <v:stroke joinstyle="miter"/>
              <v:path gradientshapeok="t" o:connecttype="rect"/>
            </v:shapetype>
            <v:shape id="Caixa de texto 699" o:spid="_x0000_s1026" type="#_x0000_t202" style="position:absolute;margin-left:-25.95pt;margin-top:-20.35pt;width:187.75pt;height:51.7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" stroked="f">
              <v:textbox style="mso-fit-shape-to-text:t">
                <w:txbxContent>
                  <w:p w14:paraId="4FD156EE" w14:textId="77777777" w:rsidR="00BC24C0" w:rsidRDefault="00DF4ACD">
                    <w:r w:rsidRPr="004C583D">
                      <w:rPr>
                        <w:noProof/>
                      </w:rPr>
                      <w:drawing>
                        <wp:inline distT="0" distB="0" distL="0" distR="0" wp14:anchorId="19BF7CC3" wp14:editId="6222032E">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blip>
                                  <a:stretch>
                                    <a:fillRect/>
                                  </a:stretch>
                                </pic:blipFill>
                                <pic:spPr bwMode="auto">
                                  <a:xfrm>
                                    <a:off x="0" y="0"/>
                                    <a:ext cx="1786153" cy="565150"/>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hidden="0" allowOverlap="1" wp14:anchorId="3A41A00F" wp14:editId="02A63B77">
              <wp:simplePos x="0" y="0"/>
              <wp:positionH relativeFrom="margin">
                <wp:posOffset>2973070</wp:posOffset>
              </wp:positionH>
              <wp:positionV relativeFrom="paragraph">
                <wp:posOffset>-153664</wp:posOffset>
              </wp:positionV>
              <wp:extent cx="3030220" cy="418465"/>
              <wp:effectExtent l="0" t="0" r="3175" b="1905"/>
              <wp:wrapNone/>
              <wp:docPr id="700" name="Caixa de texto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wps:spPr>
                    <wps:txbx>
                      <w:txbxContent>
                        <w:p w14:paraId="0FA3E73C" w14:textId="77777777" w:rsidR="00BC24C0" w:rsidRPr="001001BB" w:rsidRDefault="00DF4ACD" w:rsidP="00BC24C0">
                          <w:pPr>
                            <w:pStyle w:val="Rodap"/>
                            <w:spacing w:line="276" w:lineRule="auto"/>
                            <w:jc w:val="right"/>
                          </w:pPr>
                          <w:r>
                            <w:t xml:space="preserve">Belém (PA), 28 a 30 </w:t>
                          </w:r>
                          <w:r w:rsidRPr="001001BB">
                            <w:t xml:space="preserve">de novembro </w:t>
                          </w:r>
                          <w:r>
                            <w:t xml:space="preserve">de </w:t>
                          </w:r>
                          <w:r w:rsidRPr="001001BB">
                            <w:t>201</w:t>
                          </w:r>
                          <w:r>
                            <w:t>8</w:t>
                          </w:r>
                        </w:p>
                        <w:p w14:paraId="1DEAB334" w14:textId="77777777" w:rsidR="00BC24C0" w:rsidRPr="001001BB" w:rsidRDefault="00DF4ACD" w:rsidP="00BC24C0">
                          <w:pPr>
                            <w:pStyle w:val="Rodap"/>
                            <w:tabs>
                              <w:tab w:val="left" w:pos="3802"/>
                              <w:tab w:val="center" w:pos="4535"/>
                            </w:tabs>
                            <w:spacing w:line="276" w:lineRule="auto"/>
                            <w:jc w:val="right"/>
                          </w:pPr>
                          <w:r w:rsidRPr="001001BB">
                            <w:t>ISSN 2316-7637</w:t>
                          </w:r>
                        </w:p>
                        <w:p w14:paraId="4FE99387" w14:textId="77777777" w:rsidR="00BC24C0" w:rsidRPr="00206969" w:rsidRDefault="008F3C5D" w:rsidP="00BC24C0">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anchor>
          </w:drawing>
        </mc:Choice>
        <mc:Fallback>
          <w:pict>
            <v:shape w14:anchorId="3A41A00F" id="Caixa de texto 700" o:spid="_x0000_s1027" type="#_x0000_t202" style="position:absolute;margin-left:234.1pt;margin-top:-12.1pt;width:238.6pt;height:32.9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" filled="f" stroked="f">
              <v:textbox>
                <w:txbxContent>
                  <w:p w14:paraId="0FA3E73C" w14:textId="77777777" w:rsidR="00BC24C0" w:rsidRPr="001001BB" w:rsidRDefault="00DF4ACD" w:rsidP="00BC24C0">
                    <w:pPr>
                      <w:pStyle w:val="Rodap"/>
                      <w:spacing w:line="276" w:lineRule="auto"/>
                      <w:jc w:val="right"/>
                    </w:pPr>
                    <w:r>
                      <w:t xml:space="preserve">Belém (PA), 28 a 30 </w:t>
                    </w:r>
                    <w:r w:rsidRPr="001001BB">
                      <w:t xml:space="preserve">de novembro </w:t>
                    </w:r>
                    <w:r>
                      <w:t xml:space="preserve">de </w:t>
                    </w:r>
                    <w:r w:rsidRPr="001001BB">
                      <w:t>201</w:t>
                    </w:r>
                    <w:r>
                      <w:t>8</w:t>
                    </w:r>
                  </w:p>
                  <w:p w14:paraId="1DEAB334" w14:textId="77777777" w:rsidR="00BC24C0" w:rsidRPr="001001BB" w:rsidRDefault="00DF4ACD" w:rsidP="00BC24C0">
                    <w:pPr>
                      <w:pStyle w:val="Rodap"/>
                      <w:tabs>
                        <w:tab w:val="left" w:pos="3802"/>
                        <w:tab w:val="center" w:pos="4535"/>
                      </w:tabs>
                      <w:spacing w:line="276" w:lineRule="auto"/>
                      <w:jc w:val="right"/>
                    </w:pPr>
                    <w:r w:rsidRPr="001001BB">
                      <w:t>ISSN 2316-7637</w:t>
                    </w:r>
                  </w:p>
                  <w:p w14:paraId="4FE99387" w14:textId="77777777" w:rsidR="00BC24C0" w:rsidRPr="00206969" w:rsidRDefault="008F3C5D" w:rsidP="00BC24C0">
                    <w:pPr>
                      <w:pStyle w:val="Rodap"/>
                      <w:tabs>
                        <w:tab w:val="left" w:pos="3802"/>
                        <w:tab w:val="center" w:pos="4535"/>
                      </w:tabs>
                      <w:spacing w:line="276" w:lineRule="auto"/>
                      <w:jc w:val="right"/>
                      <w:rPr>
                        <w:i/>
                      </w:rPr>
                    </w:pPr>
                  </w:p>
                </w:txbxContent>
              </v:textbox>
              <w10:wrap anchorx="margin"/>
            </v:shape>
          </w:pict>
        </mc:Fallback>
      </mc:AlternateContent>
    </w:r>
  </w:p>
  <w:p w14:paraId="20BBC15F" w14:textId="77777777" w:rsidR="007B3010" w:rsidRDefault="007B3010">
    <w:pPr>
      <w:pBdr>
        <w:top w:val="nil"/>
        <w:left w:val="nil"/>
        <w:bottom w:val="single" w:sz="4" w:space="1" w:color="000000"/>
        <w:right w:val="nil"/>
        <w:between w:val="nil"/>
      </w:pBdr>
      <w:tabs>
        <w:tab w:val="center" w:pos="4252"/>
        <w:tab w:val="right" w:pos="8504"/>
      </w:tabs>
      <w:rPr>
        <w:color w:val="000000"/>
      </w:rPr>
    </w:pPr>
  </w:p>
  <w:p w14:paraId="5DF6183A" w14:textId="77777777" w:rsidR="007B3010" w:rsidRDefault="007B3010">
    <w:pPr>
      <w:pBdr>
        <w:top w:val="nil"/>
        <w:left w:val="nil"/>
        <w:bottom w:val="single" w:sz="4" w:space="1" w:color="000000"/>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B3010"/>
    <w:rsid w:val="0013428E"/>
    <w:rsid w:val="001E748D"/>
    <w:rsid w:val="00257A66"/>
    <w:rsid w:val="00285A13"/>
    <w:rsid w:val="00287C0A"/>
    <w:rsid w:val="002B56B7"/>
    <w:rsid w:val="00374C23"/>
    <w:rsid w:val="00411929"/>
    <w:rsid w:val="004B6168"/>
    <w:rsid w:val="005853EA"/>
    <w:rsid w:val="00704255"/>
    <w:rsid w:val="00773B1C"/>
    <w:rsid w:val="007774A6"/>
    <w:rsid w:val="0078305A"/>
    <w:rsid w:val="0079525A"/>
    <w:rsid w:val="007A5B08"/>
    <w:rsid w:val="007B3010"/>
    <w:rsid w:val="008476E2"/>
    <w:rsid w:val="00882018"/>
    <w:rsid w:val="008F3C5D"/>
    <w:rsid w:val="00953F60"/>
    <w:rsid w:val="009666FD"/>
    <w:rsid w:val="00B14F7D"/>
    <w:rsid w:val="00B874ED"/>
    <w:rsid w:val="00D34908"/>
    <w:rsid w:val="00DF4ACD"/>
    <w:rsid w:val="00E12D29"/>
    <w:rsid w:val="00E37D7F"/>
    <w:rsid w:val="00F970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5CC7"/>
  <w15:docId w15:val="{D095EAE2-B008-4F07-8AB4-A814F20C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F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uiPriority w:val="99"/>
    <w:rsid w:val="00E429A9"/>
    <w:rPr>
      <w:color w:val="000000"/>
      <w:sz w:val="9"/>
      <w:szCs w:val="9"/>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0" w:type="dxa"/>
        <w:left w:w="115" w:type="dxa"/>
        <w:bottom w:w="0" w:type="dxa"/>
        <w:right w:w="115" w:type="dxa"/>
      </w:tblCellMar>
    </w:tblPr>
  </w:style>
  <w:style w:type="table" w:customStyle="1" w:styleId="5">
    <w:name w:val="5"/>
    <w:basedOn w:val="TableNormal10"/>
    <w:rPr>
      <w:sz w:val="22"/>
      <w:szCs w:val="22"/>
    </w:rPr>
    <w:tblPr>
      <w:tblStyleRowBandSize w:val="1"/>
      <w:tblStyleColBandSize w:val="1"/>
      <w:tblCellMar>
        <w:top w:w="0" w:type="dxa"/>
        <w:left w:w="108" w:type="dxa"/>
        <w:bottom w:w="0" w:type="dxa"/>
        <w:right w:w="108" w:type="dxa"/>
      </w:tblCellMar>
    </w:tblPr>
  </w:style>
  <w:style w:type="table" w:customStyle="1" w:styleId="4">
    <w:name w:val="4"/>
    <w:basedOn w:val="TableNormal10"/>
    <w:tblPr>
      <w:tblStyleRowBandSize w:val="1"/>
      <w:tblStyleColBandSize w:val="1"/>
      <w:tblCellMar>
        <w:top w:w="0" w:type="dxa"/>
        <w:left w:w="70" w:type="dxa"/>
        <w:bottom w:w="0" w:type="dxa"/>
        <w:right w:w="70" w:type="dxa"/>
      </w:tblCellMar>
    </w:tblPr>
  </w:style>
  <w:style w:type="character" w:styleId="Refdecomentrio">
    <w:name w:val="annotation reference"/>
    <w:basedOn w:val="Fontepargpadro"/>
    <w:uiPriority w:val="99"/>
    <w:semiHidden/>
    <w:unhideWhenUsed/>
    <w:rsid w:val="00600D90"/>
    <w:rPr>
      <w:sz w:val="16"/>
      <w:szCs w:val="16"/>
    </w:rPr>
  </w:style>
  <w:style w:type="paragraph" w:styleId="Textodecomentrio">
    <w:name w:val="annotation text"/>
    <w:basedOn w:val="Normal"/>
    <w:link w:val="TextodecomentrioChar"/>
    <w:uiPriority w:val="99"/>
    <w:semiHidden/>
    <w:unhideWhenUsed/>
    <w:rsid w:val="00600D90"/>
  </w:style>
  <w:style w:type="character" w:customStyle="1" w:styleId="TextodecomentrioChar">
    <w:name w:val="Texto de comentário Char"/>
    <w:basedOn w:val="Fontepargpadro"/>
    <w:link w:val="Textodecomentrio"/>
    <w:uiPriority w:val="99"/>
    <w:semiHidden/>
    <w:rsid w:val="00600D90"/>
  </w:style>
  <w:style w:type="paragraph" w:styleId="Assuntodocomentrio">
    <w:name w:val="annotation subject"/>
    <w:basedOn w:val="Textodecomentrio"/>
    <w:next w:val="Textodecomentrio"/>
    <w:link w:val="AssuntodocomentrioChar"/>
    <w:uiPriority w:val="99"/>
    <w:semiHidden/>
    <w:unhideWhenUsed/>
    <w:rsid w:val="00600D90"/>
    <w:rPr>
      <w:b/>
      <w:bCs/>
    </w:rPr>
  </w:style>
  <w:style w:type="character" w:customStyle="1" w:styleId="AssuntodocomentrioChar">
    <w:name w:val="Assunto do comentário Char"/>
    <w:basedOn w:val="TextodecomentrioChar"/>
    <w:link w:val="Assuntodocomentrio"/>
    <w:uiPriority w:val="99"/>
    <w:semiHidden/>
    <w:rsid w:val="00600D90"/>
    <w:rPr>
      <w:b/>
      <w:bCs/>
    </w:rPr>
  </w:style>
  <w:style w:type="table" w:customStyle="1" w:styleId="TabeladeLista1Clara-nfase51">
    <w:name w:val="Tabela de Lista 1 Clara - Ênfase 51"/>
    <w:basedOn w:val="Tabelanormal"/>
    <w:uiPriority w:val="46"/>
    <w:rsid w:val="005E6F3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
    <w:name w:val="3"/>
    <w:basedOn w:val="TableNormal10"/>
    <w:rPr>
      <w:sz w:val="22"/>
      <w:szCs w:val="22"/>
    </w:rPr>
    <w:tblPr>
      <w:tblStyleRowBandSize w:val="1"/>
      <w:tblStyleColBandSize w:val="1"/>
      <w:tblCellMar>
        <w:top w:w="0" w:type="dxa"/>
        <w:left w:w="108" w:type="dxa"/>
        <w:bottom w:w="0" w:type="dxa"/>
        <w:right w:w="108" w:type="dxa"/>
      </w:tblCellMar>
    </w:tblPr>
  </w:style>
  <w:style w:type="table" w:customStyle="1" w:styleId="2">
    <w:name w:val="2"/>
    <w:basedOn w:val="TableNormal10"/>
    <w:rPr>
      <w:sz w:val="22"/>
      <w:szCs w:val="22"/>
    </w:rPr>
    <w:tblPr>
      <w:tblStyleRowBandSize w:val="1"/>
      <w:tblStyleColBandSize w:val="1"/>
      <w:tblCellMar>
        <w:top w:w="0" w:type="dxa"/>
        <w:left w:w="70" w:type="dxa"/>
        <w:bottom w:w="0" w:type="dxa"/>
        <w:right w:w="70" w:type="dxa"/>
      </w:tblCellMar>
    </w:tblPr>
  </w:style>
  <w:style w:type="table" w:customStyle="1" w:styleId="1">
    <w:name w:val="1"/>
    <w:basedOn w:val="TableNormal20"/>
    <w:rPr>
      <w:sz w:val="22"/>
      <w:szCs w:val="22"/>
    </w:rPr>
    <w:tblPr>
      <w:tblStyleRowBandSize w:val="1"/>
      <w:tblStyleColBandSize w:val="1"/>
      <w:tblCellMar>
        <w:top w:w="0" w:type="dxa"/>
        <w:left w:w="70" w:type="dxa"/>
        <w:bottom w:w="0" w:type="dxa"/>
        <w:right w:w="70" w:type="dxa"/>
      </w:tblCellMar>
    </w:tblPr>
  </w:style>
  <w:style w:type="table" w:customStyle="1" w:styleId="a">
    <w:basedOn w:val="TableNormal2"/>
    <w:rPr>
      <w:sz w:val="22"/>
      <w:szCs w:val="22"/>
    </w:rPr>
    <w:tblPr>
      <w:tblStyleRowBandSize w:val="1"/>
      <w:tblStyleColBandSize w:val="1"/>
      <w:tblCellMar>
        <w:top w:w="0" w:type="dxa"/>
        <w:left w:w="70" w:type="dxa"/>
        <w:bottom w:w="0" w:type="dxa"/>
        <w:right w:w="70" w:type="dxa"/>
      </w:tblCellMar>
    </w:tblPr>
  </w:style>
  <w:style w:type="table" w:customStyle="1" w:styleId="a0">
    <w:basedOn w:val="TableNormal1"/>
    <w:rPr>
      <w:sz w:val="22"/>
      <w:szCs w:val="22"/>
    </w:rPr>
    <w:tblPr>
      <w:tblStyleRowBandSize w:val="1"/>
      <w:tblStyleColBandSize w:val="1"/>
      <w:tblCellMar>
        <w:top w:w="0" w:type="dxa"/>
        <w:left w:w="70" w:type="dxa"/>
        <w:bottom w:w="0" w:type="dxa"/>
        <w:right w:w="70" w:type="dxa"/>
      </w:tblCellMar>
    </w:tblPr>
  </w:style>
  <w:style w:type="table" w:customStyle="1" w:styleId="a1">
    <w:basedOn w:val="TableNormal0"/>
    <w:rPr>
      <w:sz w:val="22"/>
      <w:szCs w:val="22"/>
    </w:rPr>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ucasuepa2016@outloo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iltonbarbosajr@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ulielsonmodest12@hot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boraportallopes@gmail.com" TargetMode="External"/><Relationship Id="rId4" Type="http://schemas.openxmlformats.org/officeDocument/2006/relationships/webSettings" Target="webSettings.xml"/><Relationship Id="rId9" Type="http://schemas.openxmlformats.org/officeDocument/2006/relationships/hyperlink" Target="mailto:saviogfonseca@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E5416-1AAD-4320-9FD4-42C71097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2515</Words>
  <Characters>13581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Barbosa Júnior</cp:lastModifiedBy>
  <cp:revision>6</cp:revision>
  <dcterms:created xsi:type="dcterms:W3CDTF">2018-11-04T16:04:00Z</dcterms:created>
  <dcterms:modified xsi:type="dcterms:W3CDTF">2018-11-07T12:18:00Z</dcterms:modified>
</cp:coreProperties>
</file>