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C69" w:rsidRPr="00B7793F" w:rsidRDefault="00691C69" w:rsidP="00691C6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t-BR"/>
        </w:rPr>
      </w:pPr>
    </w:p>
    <w:p w:rsidR="00691C69" w:rsidRPr="00B7793F" w:rsidRDefault="00691C69" w:rsidP="0023619F">
      <w:pPr>
        <w:spacing w:before="100" w:beforeAutospacing="1" w:line="36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t-BR"/>
        </w:rPr>
        <w:t>1. Introdução</w:t>
      </w:r>
    </w:p>
    <w:p w:rsidR="005D5C38" w:rsidRPr="00B7793F" w:rsidRDefault="005D5C38" w:rsidP="0023619F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Dentro da atual conjuntura mercadológica mundial é normal ouvir-se falar em melhoria contínua, redução dos custos, aumento da capacidade produtiva, entre outros. De fato, a alta competitividade e a dificuldade em manter-se no mercado faz com que as empresas busquem estratégias e ferramentas que auxiliem no processo de tomada de decisões, e que possam gerar estratégias para o futuro da organização.</w:t>
      </w:r>
    </w:p>
    <w:p w:rsidR="005D5C38" w:rsidRPr="00B7793F" w:rsidRDefault="005D5C38" w:rsidP="005D5C38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De acordo com o relatório de sobrevivência das empresas, elaborado pelo SEBRAE (2016), a taxa de mortalidade das empresas, nascidas em 2012, com até dois anos foi de 23,4%. Ainda segundo SEBRAE (2016), existem fatores que contribuem para a sobrevivência/mortalidade das empresas, sendo eles: tipo de ocupação do empresário, experiência no ramo, motivação para abrir o negócio, planejamento do negócio, gestão do negócio e capacidade dos donos em gestão empresarial. </w:t>
      </w:r>
    </w:p>
    <w:p w:rsidR="005D5C38" w:rsidRPr="00B7793F" w:rsidRDefault="005D5C38" w:rsidP="005D5C38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Segundo Neto (2006), a classe das pequenas e médias empresas é a que se mostra mais despreparada para as imposições que o ambiente mercadológico exige, associando o despreparo gerencial e a falta de recursos como os principais fatores que conduzem ao insucesso empresarial.</w:t>
      </w:r>
    </w:p>
    <w:p w:rsidR="005D5C38" w:rsidRPr="00B7793F" w:rsidRDefault="005D5C38" w:rsidP="005D5C38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Observa-se que, a capacidade em gerir o negócio, associada a outros fatores, são muito relevantes para o sucesso da empresa, pois significa que a gestão terá maior eficiência dos recursos, para que o processo ocorra da melhor maneira possível e esteja dentro do planejado. Diante disso, é imprescindível que as empresas visem compreender a realidade organizacional em que se encontram, identificando seus pontos fracos e fortes, e utilizem-se das ferramentas apropriadas para mensurar as suas oportunidades e possíveis melhorias no processo.</w:t>
      </w:r>
    </w:p>
    <w:p w:rsidR="005D5C38" w:rsidRPr="00B7793F" w:rsidRDefault="005D5C38" w:rsidP="005D5C38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Uma técnica que visa a otimização dos sistemas de produção é a Teoria das Restrições, que, segundo Cox III et al. (2002), é uma abordagem que planeja e controla a produção e venda de produtos e serviços. Essa abordagem admite a importância da restrição (recurso limitado) nas saídas do sistema de produção. Considerando que os recursos das instituições são finitos, uma estratégia gerencial que potencialize as restrições do </w:t>
      </w: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lastRenderedPageBreak/>
        <w:t>sistema, sejam elas materiais ou políticas, e que analise por uma perspectiva inovadora, a realidade da empresa, é de fundamental importância para aumentar os ganhos financeiros das organizações.</w:t>
      </w:r>
    </w:p>
    <w:p w:rsidR="005D5C38" w:rsidRPr="00B7793F" w:rsidRDefault="005D5C38" w:rsidP="005D5C38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Outra ferramenta importante para nortear mudanças estratégicas é a simulação. Segundo </w:t>
      </w:r>
      <w:proofErr w:type="spellStart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Baterman</w:t>
      </w:r>
      <w:proofErr w:type="spellEnd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</w:t>
      </w:r>
      <w:r w:rsidRPr="00F41902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et. al.</w:t>
      </w: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(2013) trata-se da experimentação de um sistema real através de modelos visando a criação e simulação de fenômenos e a avaliação de seus impactos. É um modelo matemático, que procura se aproximar da realidade e nortear decisões futuras. As vantagens da simulação são várias, desde melhorar o entendimento do processo, investigando-o sem gastos com operações e sem riscos, estudar os efeitos de expansão e avaliar os requisitos, analisar diferentes modos de operação e utilização da planta, dentre outros (GARCIA, 2005).</w:t>
      </w:r>
    </w:p>
    <w:p w:rsidR="005D5C38" w:rsidRPr="00B7793F" w:rsidRDefault="005D5C38" w:rsidP="005D5C38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proofErr w:type="spellStart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Sabbadini</w:t>
      </w:r>
      <w:proofErr w:type="spellEnd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</w:t>
      </w:r>
      <w:r w:rsidRPr="00F41902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et. al.</w:t>
      </w: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(2006) realizaram um estudo sobre a aplicação da teoria das restrições (TOC) e da simulação na gestão da capacidade de atendimento em hospital de emergência e seu objetivo era avaliar o processo de cirurgias da instituição. Como resultado obteve-se uma redução no número de cirurgias de emergência e também um aumento de 16% na capacidade de atendimento do sistema. Este resultado aponta que a TOC e a simulação possuem bons resultados quando são associadas, demostra também a possibilidade de aplicação desta metodologia de pesquisa para setores diferentes do industrial, fator este, citado pelo autor.</w:t>
      </w:r>
    </w:p>
    <w:p w:rsidR="00691C69" w:rsidRPr="00B7793F" w:rsidRDefault="005D5C38" w:rsidP="005D5C38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Na cidade de Vitória da Conquista, segundo SEBRAE (2016) a taxa de sobrevivência de empresas foi de 74,5%, em 2012, indicando que, ainda existem muitas empresas que encerram suas atividades pouquíssimo tempo após a sua abertura. Diante disto o presente trabalho propõe um estudo de caso no processo de produção de urnas funerárias em uma fábrica localizada no interior da Bahia, através da teoria das Restrições associada à simulação computacional, visando o aumento da quantidade de urnas produzidas.</w:t>
      </w:r>
    </w:p>
    <w:p w:rsidR="005D5C38" w:rsidRPr="00B7793F" w:rsidRDefault="005D5C38" w:rsidP="0023619F">
      <w:pPr>
        <w:spacing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t-BR"/>
        </w:rPr>
        <w:t>2. Fundamentação teórica</w:t>
      </w:r>
    </w:p>
    <w:p w:rsidR="005D5C38" w:rsidRPr="00B7793F" w:rsidRDefault="00A43797" w:rsidP="005D5C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t-BR"/>
        </w:rPr>
        <w:t>2</w:t>
      </w:r>
      <w:r w:rsidR="005D5C38" w:rsidRPr="00B7793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t-BR"/>
        </w:rPr>
        <w:t>.1. Teoria das restrições</w:t>
      </w:r>
    </w:p>
    <w:p w:rsidR="005D5C38" w:rsidRPr="00B7793F" w:rsidRDefault="005D5C38" w:rsidP="005D5C38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lastRenderedPageBreak/>
        <w:t xml:space="preserve">A Teoria das Restrições (TOC - </w:t>
      </w:r>
      <w:proofErr w:type="spellStart"/>
      <w:r w:rsidRPr="00B7793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pt-BR"/>
        </w:rPr>
        <w:t>Theory</w:t>
      </w:r>
      <w:proofErr w:type="spellEnd"/>
      <w:r w:rsidRPr="00B7793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pt-BR"/>
        </w:rPr>
        <w:t xml:space="preserve"> </w:t>
      </w:r>
      <w:proofErr w:type="spellStart"/>
      <w:r w:rsidRPr="00B7793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pt-BR"/>
        </w:rPr>
        <w:t>of</w:t>
      </w:r>
      <w:proofErr w:type="spellEnd"/>
      <w:r w:rsidRPr="00B7793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pt-BR"/>
        </w:rPr>
        <w:t xml:space="preserve"> </w:t>
      </w:r>
      <w:proofErr w:type="spellStart"/>
      <w:r w:rsidRPr="00B7793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pt-BR"/>
        </w:rPr>
        <w:t>Constraints</w:t>
      </w:r>
      <w:proofErr w:type="spellEnd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) consiste em um sistema de programação de produção criado a partir da análise e reestruturação das restrições encontradas na linha de produção. Fundamenta-se em uma sequência de passos a serem implementados na empresa, onde o planejamento, a execução e o controle são realizados através do Gerenciamento das Restrições (GR), baseando-se no pressuposto de que se deve atuar nas causas das restrições que impedem o sistema de alcançar sua principal meta, que é a maximização dos ganhos e da rentabilidade do sistema como um todo (APICS </w:t>
      </w:r>
      <w:proofErr w:type="spellStart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Dictionary</w:t>
      </w:r>
      <w:proofErr w:type="spellEnd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) (COX III e SPENCER, 2002).</w:t>
      </w:r>
    </w:p>
    <w:p w:rsidR="005D5C38" w:rsidRPr="00B7793F" w:rsidRDefault="005D5C38" w:rsidP="005D5C38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Restrição é qualquer elemento ou fator que impede que um sistema conquiste um nível melhor de desempenho no que diz respeito a sua meta. As restrições podem ser físicas, como por exemplo, um equipamento ou a falta de material, mas podem ser também de ordens gerencial, como procedimentos, políticas e normas. (APICS </w:t>
      </w:r>
      <w:proofErr w:type="spellStart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Dictionary</w:t>
      </w:r>
      <w:proofErr w:type="spellEnd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) (COX III e SPENCER, 2002). </w:t>
      </w:r>
      <w:proofErr w:type="spellStart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Sullivan</w:t>
      </w:r>
      <w:proofErr w:type="spellEnd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</w:t>
      </w:r>
      <w:r w:rsidRPr="008462C5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et al.</w:t>
      </w: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(2007) complementam definindo recurso com restrição como qualquer recurso propenso a comprometer a produtividade da empresa se sua capacidade não for gerenciada com cuidado.</w:t>
      </w:r>
    </w:p>
    <w:p w:rsidR="005D5C38" w:rsidRPr="00B7793F" w:rsidRDefault="005D5C38" w:rsidP="005D5C38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A metodologia de aplicação da TOC é o TPC (tambor-pulmão-corda), que consiste em cinco passos de focalização, e visam oferecer as regras para determinar de que forma qualquer operação deve ser gerenciada (SULLIVAN, 2013). </w:t>
      </w:r>
      <w:proofErr w:type="spellStart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Srikanth</w:t>
      </w:r>
      <w:proofErr w:type="spellEnd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</w:t>
      </w:r>
      <w:r w:rsidRPr="008E6C4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et. al.</w:t>
      </w: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(2013) definem que a aplicação dos cinco passos prossegue da maneira a seguir:</w:t>
      </w:r>
    </w:p>
    <w:p w:rsidR="005D5C38" w:rsidRPr="00B7793F" w:rsidRDefault="005D5C38" w:rsidP="00A43797">
      <w:pPr>
        <w:pStyle w:val="PargrafodaLista"/>
        <w:numPr>
          <w:ilvl w:val="0"/>
          <w:numId w:val="3"/>
        </w:num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Identificar a restrição do sistema: a escolha do gargalo é o ponto central da elaboração da </w:t>
      </w:r>
      <w:r w:rsidR="00AA3547"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estratégia para toda a empresa;</w:t>
      </w:r>
    </w:p>
    <w:p w:rsidR="005D5C38" w:rsidRPr="00B7793F" w:rsidRDefault="005D5C38" w:rsidP="00A43797">
      <w:pPr>
        <w:pStyle w:val="PargrafodaLista"/>
        <w:numPr>
          <w:ilvl w:val="0"/>
          <w:numId w:val="3"/>
        </w:num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Decidir como explorar a</w:t>
      </w:r>
      <w:r w:rsidR="00AA3547"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restrição do sistema ao máximo;</w:t>
      </w:r>
    </w:p>
    <w:p w:rsidR="005D5C38" w:rsidRPr="00B7793F" w:rsidRDefault="005D5C38" w:rsidP="00A43797">
      <w:pPr>
        <w:pStyle w:val="PargrafodaLista"/>
        <w:numPr>
          <w:ilvl w:val="0"/>
          <w:numId w:val="3"/>
        </w:num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Subordinar to</w:t>
      </w:r>
      <w:r w:rsidR="00AA3547"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do o resto à restrição anterior;</w:t>
      </w:r>
    </w:p>
    <w:p w:rsidR="005D5C38" w:rsidRPr="00B7793F" w:rsidRDefault="00AA3547" w:rsidP="00A43797">
      <w:pPr>
        <w:pStyle w:val="PargrafodaLista"/>
        <w:numPr>
          <w:ilvl w:val="0"/>
          <w:numId w:val="3"/>
        </w:num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Elevar a restrição do sistema;</w:t>
      </w:r>
    </w:p>
    <w:p w:rsidR="005D5C38" w:rsidRPr="00B7793F" w:rsidRDefault="005D5C38" w:rsidP="00A43797">
      <w:pPr>
        <w:pStyle w:val="PargrafodaLista"/>
        <w:numPr>
          <w:ilvl w:val="0"/>
          <w:numId w:val="3"/>
        </w:num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Voltar ao primeiro passo, mas não permitir que a inércia </w:t>
      </w:r>
      <w:r w:rsidR="00A43797"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se torne</w:t>
      </w: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a restrição do sistema.</w:t>
      </w:r>
    </w:p>
    <w:p w:rsidR="00A43797" w:rsidRPr="00B7793F" w:rsidRDefault="00E53824" w:rsidP="00A43797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t-BR"/>
        </w:rPr>
        <w:t>2</w:t>
      </w:r>
      <w:r w:rsidR="00A43797" w:rsidRPr="00B7793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t-BR"/>
        </w:rPr>
        <w:t>.</w:t>
      </w:r>
      <w:r w:rsidRPr="00B7793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t-BR"/>
        </w:rPr>
        <w:t>2</w:t>
      </w:r>
      <w:r w:rsidR="00A43797" w:rsidRPr="00B7793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t-BR"/>
        </w:rPr>
        <w:t>. Simulação computacional</w:t>
      </w:r>
    </w:p>
    <w:p w:rsidR="00A43797" w:rsidRPr="00B7793F" w:rsidRDefault="00A43797" w:rsidP="00A43797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A simulação é uma ferramenta poderosa no desenvolvimento de processos mais eficientes, por conta da facilidade de construir modelos e reconfigurar sistemas em pouco tempo. A utilização de computadores, estatística e matemática para resolver </w:t>
      </w: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lastRenderedPageBreak/>
        <w:t>problemas de negócios é uma realidade, e possui três objetivos: converter dados em informações significativas, apoiar o processo de tomada de decisão e criar sistemas computacionais úteis para usuários não técnicos. Diante disto, modelos computacionais são um conjunto de relações matemáticas e hipóteses lógicas, computacionalmente testadas, de forma a representar um sistema real de tomada de decisão (BATERMAN et al., 2013</w:t>
      </w:r>
      <w:r w:rsidR="00865B7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; </w:t>
      </w:r>
      <w:bookmarkStart w:id="0" w:name="_GoBack"/>
      <w:bookmarkEnd w:id="0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LACHTERMACHER, 2007)</w:t>
      </w:r>
    </w:p>
    <w:p w:rsidR="00A43797" w:rsidRPr="00B7793F" w:rsidRDefault="00A43797" w:rsidP="00A43797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A construção de um modelo de simulação possui etapas e metodologias que são utilizadas para que a modelagem alcance o resultado esperado.</w:t>
      </w:r>
    </w:p>
    <w:p w:rsidR="00A43797" w:rsidRPr="00B7793F" w:rsidRDefault="00A43797" w:rsidP="00A43797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Durante a elaboração do modelo de simulação, os dados coletados estão sujeitos a fenômenos aleatórios (causas desconhecidas), e a modelagem deve ser capaz de representar esses fenômenos, de forma que a realidade seja melhor representada (CHWIF-MEDINA, 2009).</w:t>
      </w:r>
    </w:p>
    <w:p w:rsidR="00691C69" w:rsidRPr="00B7793F" w:rsidRDefault="00BC340D" w:rsidP="00E5382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De </w:t>
      </w:r>
      <w:r w:rsidR="00A43797"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Freitas Filho (2008) define passos na formulação de um estudo envolvendo modelagem e simulação: formulação de um modelo conceitual, coleta de </w:t>
      </w:r>
      <w:proofErr w:type="spellStart"/>
      <w:r w:rsidR="00A43797"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microinformações</w:t>
      </w:r>
      <w:proofErr w:type="spellEnd"/>
      <w:r w:rsidR="00A43797"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e dados, tradução do modelo, verificação e validação, experimentação e interpretação e análise estatística dos dados.</w:t>
      </w:r>
    </w:p>
    <w:p w:rsidR="00691C69" w:rsidRPr="00B7793F" w:rsidRDefault="00691C69" w:rsidP="00691C69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t-BR"/>
        </w:rPr>
        <w:t xml:space="preserve">3. </w:t>
      </w:r>
      <w:r w:rsidR="0023619F" w:rsidRPr="00B779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t-BR"/>
        </w:rPr>
        <w:t>Metodologia</w:t>
      </w:r>
    </w:p>
    <w:p w:rsidR="0023619F" w:rsidRPr="00B7793F" w:rsidRDefault="0023619F" w:rsidP="0023619F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O atual estudo trata-se de uma pesquisa científica aplicada, realizada através de estudo de caso, que visa a aplicação dos conhecimentos teóricos em uma indústria de urnas funerárias em Vitória da Conquista – BA com o intuito de melhorias nos indicadores de desempenho.</w:t>
      </w:r>
    </w:p>
    <w:p w:rsidR="0023619F" w:rsidRPr="00B7793F" w:rsidRDefault="0023619F" w:rsidP="0023619F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A pesquisa tem caráter exploratório, e com esse fim, foram realizados procedimentos para coleta e tratamento dos dados que abrangem: análise e mapeamento do processo produtivo, metodologia para determinação do produto de maior demanda, estudo dos tempos e métodos referente a esse produto com o intuito de identificar as restrições do sistema e a fim de coleta de dados para aplicação no software de Simulação Computacional, visando a análise de cenários.</w:t>
      </w:r>
    </w:p>
    <w:p w:rsidR="0023619F" w:rsidRPr="00B7793F" w:rsidRDefault="0023619F" w:rsidP="0023619F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lastRenderedPageBreak/>
        <w:t>Com relação aos procedimentos técnicos, a pesquisa se caracteriza como estudo de campo, pois todos os procedimentos ocorrem diretamente no local onde o estudo será realizado.</w:t>
      </w:r>
    </w:p>
    <w:p w:rsidR="0023619F" w:rsidRPr="00B7793F" w:rsidRDefault="0023619F" w:rsidP="0023619F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Foram realizadas visitas e entrevistas com três gestores da empresa, com o objetivo de coletar informações acerca do processo produtivo, tipos de produtos fabricados, metodologias utilizadas pela empresa para controle da produção, identificação do produto que possui maior demanda e seu impacto no faturamento da empresa, e a identificação, segundo a concepção dos gestores, da restrição do sistema. Esta etapa foi realizada no mês de fevereiro de 2018.</w:t>
      </w:r>
    </w:p>
    <w:p w:rsidR="0023619F" w:rsidRPr="00B7793F" w:rsidRDefault="0023619F" w:rsidP="0023619F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Após a identificação do produto que possui maior impacto financeiro para a empresa, foi realizado o mapeamento do processo produtivo deste item visando a compreensão de todas as etapas que compõem a fabricação.</w:t>
      </w:r>
    </w:p>
    <w:p w:rsidR="0023619F" w:rsidRPr="00B7793F" w:rsidRDefault="0023619F" w:rsidP="0023619F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Após isso verificou-se a restrição, facilmente identificada pelos altos estoques intermediários, sendo que, o segundo passo da Teoria das Restrições trata-se de um estudo sobre como explorar a restrição ao máximo, que nesta pesquisa foi realizada através da simulação computacional.</w:t>
      </w:r>
    </w:p>
    <w:p w:rsidR="0023619F" w:rsidRPr="00B7793F" w:rsidRDefault="0023619F" w:rsidP="0023619F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Na etapa de cronometragem, foi realizada uma </w:t>
      </w:r>
      <w:proofErr w:type="spellStart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pré</w:t>
      </w:r>
      <w:proofErr w:type="spellEnd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-coleta de 10 ciclos de cada atividade e utilizou-se a equação de Peinado e </w:t>
      </w:r>
      <w:proofErr w:type="spellStart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Graeml</w:t>
      </w:r>
      <w:proofErr w:type="spellEnd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(2007) para definir o tamanho da amostra para 98% de confiança. Após isso foi realizada a cronometragem da amostra definida pela equação anteriormente citada com o objetivo de obtenção dos dados a serem utilizados no software de Simulação Computacional </w:t>
      </w:r>
      <w:r w:rsidRPr="00B7793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pt-BR"/>
        </w:rPr>
        <w:t>FLEXSIM</w:t>
      </w: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3D, versão 7.5. Esta etapa foi realizada com o auxílio do cronômetro digital da marca </w:t>
      </w:r>
      <w:proofErr w:type="spellStart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Kikos</w:t>
      </w:r>
      <w:proofErr w:type="spellEnd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, modelo CR60.</w:t>
      </w:r>
    </w:p>
    <w:p w:rsidR="0023619F" w:rsidRPr="00B7793F" w:rsidRDefault="0023619F" w:rsidP="0023619F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Após a coleta dos dados, os mesmos foram tratados conforme os passos da simulação e, posteriormente, com o auxílio do teste de </w:t>
      </w:r>
      <w:proofErr w:type="spellStart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Kolmogorov-Smirnov</w:t>
      </w:r>
      <w:proofErr w:type="spellEnd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foi verificada a normalidade da distribuição.</w:t>
      </w:r>
    </w:p>
    <w:p w:rsidR="00691C69" w:rsidRPr="00B7793F" w:rsidRDefault="0023619F" w:rsidP="0023619F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A validação estatística do modelo e as replicações foram realizadas com o auxílio do </w:t>
      </w:r>
      <w:proofErr w:type="spellStart"/>
      <w:r w:rsidRPr="00B7793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pt-BR"/>
        </w:rPr>
        <w:t>Sorftware</w:t>
      </w:r>
      <w:proofErr w:type="spellEnd"/>
      <w:r w:rsidRPr="00B7793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pt-BR"/>
        </w:rPr>
        <w:t xml:space="preserve"> </w:t>
      </w:r>
      <w:proofErr w:type="spellStart"/>
      <w:r w:rsidRPr="00B7793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pt-BR"/>
        </w:rPr>
        <w:t>Flexsim</w:t>
      </w:r>
      <w:proofErr w:type="spellEnd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e posteriormente foi utilizado o teste de </w:t>
      </w:r>
      <w:proofErr w:type="spellStart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Kleijnem</w:t>
      </w:r>
      <w:proofErr w:type="spellEnd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(1995). Após isso foi avaliado os indicadores de desempenho, bem como formulada proposta de melhoria.</w:t>
      </w:r>
    </w:p>
    <w:p w:rsidR="00421957" w:rsidRPr="00B7793F" w:rsidRDefault="00421957" w:rsidP="0023619F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691C69" w:rsidRPr="00B7793F" w:rsidRDefault="0023619F" w:rsidP="00691C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t-BR"/>
        </w:rPr>
        <w:lastRenderedPageBreak/>
        <w:t>4</w:t>
      </w:r>
      <w:r w:rsidR="00691C69" w:rsidRPr="00B7793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t-BR"/>
        </w:rPr>
        <w:t xml:space="preserve">. </w:t>
      </w:r>
      <w:r w:rsidRPr="00B7793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t-BR"/>
        </w:rPr>
        <w:t>Resultados</w:t>
      </w:r>
    </w:p>
    <w:p w:rsidR="00691C69" w:rsidRPr="00B7793F" w:rsidRDefault="0023619F" w:rsidP="00691C69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Feita uma busca nos dados históricos da empresa, obteve-se o posicionamento de cada produto vendido e sua contribuição para o resultado financeiro da empresa. Os dados que se seguem são relacionados ao período de setembro de 2017 a janeiro de 2018.</w:t>
      </w:r>
    </w:p>
    <w:p w:rsidR="00522A7F" w:rsidRPr="00B7793F" w:rsidRDefault="00522A7F" w:rsidP="00522A7F">
      <w:pPr>
        <w:spacing w:after="120" w:line="36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t>Figura 1 - Produtos</w:t>
      </w:r>
    </w:p>
    <w:p w:rsidR="00522A7F" w:rsidRPr="00B7793F" w:rsidRDefault="00702CD3" w:rsidP="007C3BBC">
      <w:pPr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400675" cy="29051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A7F"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t>Fonte: Autoria própria (2018)</w:t>
      </w:r>
    </w:p>
    <w:p w:rsidR="00522A7F" w:rsidRPr="00B7793F" w:rsidRDefault="00522A7F" w:rsidP="003300C7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A partir da coleta acima, posicionou-se a pesquisa para o produto 1, que corresponde 34,44% do faturamento da empresa.</w:t>
      </w:r>
    </w:p>
    <w:p w:rsidR="00522A7F" w:rsidRPr="00B7793F" w:rsidRDefault="00522A7F" w:rsidP="003300C7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Após a identificação do produto com maior demanda, foi feito o mapeamento do processo, com a utilização de fluxograma, conforme figuras que se seguem:</w:t>
      </w:r>
    </w:p>
    <w:p w:rsidR="00522A7F" w:rsidRPr="00B7793F" w:rsidRDefault="00522A7F" w:rsidP="00B8654C">
      <w:pPr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t>Figura 2</w:t>
      </w:r>
      <w:r w:rsidR="006F50A0"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t xml:space="preserve"> – Fluxograma </w:t>
      </w:r>
      <w:r w:rsidR="00945D3B"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t>de setores</w:t>
      </w:r>
      <w:r w:rsidR="006F50A0"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t xml:space="preserve"> </w:t>
      </w:r>
      <w:r w:rsidR="00945D3B"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t>da</w:t>
      </w:r>
      <w:r w:rsidR="006F50A0"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t xml:space="preserve"> urna modelo 1</w:t>
      </w:r>
    </w:p>
    <w:p w:rsidR="00522A7F" w:rsidRPr="00B7793F" w:rsidRDefault="00081409" w:rsidP="00B8654C">
      <w:pPr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3524250" cy="164007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704" cy="165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A7F"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br/>
        <w:t>Fonte: Autoria própria (2018)</w:t>
      </w:r>
    </w:p>
    <w:p w:rsidR="00AC2D07" w:rsidRPr="00B7793F" w:rsidRDefault="00AC2D07" w:rsidP="003300C7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lastRenderedPageBreak/>
        <w:t xml:space="preserve">Conforme figura </w:t>
      </w:r>
      <w:r w:rsidR="002B695E"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2</w:t>
      </w: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, a fabricação da Urna Modelo 1 segue o roteiro citado abaixo:</w:t>
      </w:r>
    </w:p>
    <w:p w:rsidR="00AC2D07" w:rsidRPr="00B7793F" w:rsidRDefault="00AC2D07" w:rsidP="002B695E">
      <w:pPr>
        <w:pStyle w:val="PargrafodaLista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No setor de montagem dos kits, a matéria-prima é retirada do estoque, é realizado o corte dos componentes da tampa e caixote, passagem da massa modeladora, corte angular, montagem das peças e lixamento para acabamento fino das peças.</w:t>
      </w:r>
    </w:p>
    <w:p w:rsidR="00AC2D07" w:rsidRPr="00B7793F" w:rsidRDefault="00AC2D07" w:rsidP="002B695E">
      <w:pPr>
        <w:pStyle w:val="PargrafodaLista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No setor de moldura, as tampas recebem uma moldura de MDF. A preparação da moldura começa com a retirada do MDF do estoque, medição e modelagem das peças no MDF, corte, lixamento do MDF, colocação das travas do vidro nas molduras e aplicação da moldura na tampa.</w:t>
      </w:r>
    </w:p>
    <w:p w:rsidR="00AC2D07" w:rsidRPr="00B7793F" w:rsidRDefault="00AC2D07" w:rsidP="002B695E">
      <w:pPr>
        <w:pStyle w:val="PargrafodaLista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No setor de pintura as peças previamente montadas são pintadas conforme ordem de produção.</w:t>
      </w:r>
    </w:p>
    <w:p w:rsidR="00AC2D07" w:rsidRPr="00B7793F" w:rsidRDefault="00AC2D07" w:rsidP="003300C7">
      <w:pPr>
        <w:pStyle w:val="PargrafodaList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No setor de acabamento as os caixotes pintados recebem alças e forro, as tampas pintadas recebem forro, vidro, acessórios. Após isso as urnas são emborcadas e embaladas para expedição.</w:t>
      </w:r>
    </w:p>
    <w:p w:rsidR="00EE67F7" w:rsidRPr="00B7793F" w:rsidRDefault="00EE67F7" w:rsidP="00B8654C">
      <w:pPr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t xml:space="preserve">Figura </w:t>
      </w:r>
      <w:r w:rsidR="00360821"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t>3</w:t>
      </w:r>
      <w:r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t xml:space="preserve"> – Fluxograma </w:t>
      </w:r>
      <w:r w:rsidR="00945D3B"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t>setor de acabamento</w:t>
      </w:r>
    </w:p>
    <w:p w:rsidR="00EE67F7" w:rsidRPr="00B7793F" w:rsidRDefault="00081409" w:rsidP="00B8654C">
      <w:pPr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3676650" cy="1629174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889" cy="165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7F7"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br/>
        <w:t>Fonte: Autoria própria (2018)</w:t>
      </w:r>
    </w:p>
    <w:p w:rsidR="00522A7F" w:rsidRPr="00B7793F" w:rsidRDefault="00360821" w:rsidP="00E271A4">
      <w:pPr>
        <w:spacing w:before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Conforme figura 3, o acabamento da Urna Modelo 1 segue o roteiro citado abaixo</w:t>
      </w:r>
      <w:r w:rsidR="00522A7F"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:</w:t>
      </w:r>
    </w:p>
    <w:p w:rsidR="00360821" w:rsidRPr="00B7793F" w:rsidRDefault="00360821" w:rsidP="00E271A4">
      <w:pPr>
        <w:pStyle w:val="PargrafodaLista"/>
        <w:numPr>
          <w:ilvl w:val="0"/>
          <w:numId w:val="10"/>
        </w:numPr>
        <w:spacing w:before="240"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Os caixotes pintados recebem a alça conforme etiqueta, com a utilização de um gabarito.</w:t>
      </w:r>
    </w:p>
    <w:p w:rsidR="00360821" w:rsidRPr="00B7793F" w:rsidRDefault="00360821" w:rsidP="00E271A4">
      <w:pPr>
        <w:pStyle w:val="PargrafodaLista"/>
        <w:numPr>
          <w:ilvl w:val="0"/>
          <w:numId w:val="10"/>
        </w:numPr>
        <w:spacing w:before="240"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Os caixotes com alça são forrados com papel HD 60, TNT e renda.</w:t>
      </w:r>
    </w:p>
    <w:p w:rsidR="00360821" w:rsidRPr="00B7793F" w:rsidRDefault="00360821" w:rsidP="00E271A4">
      <w:pPr>
        <w:pStyle w:val="PargrafodaLista"/>
        <w:numPr>
          <w:ilvl w:val="0"/>
          <w:numId w:val="10"/>
        </w:numPr>
        <w:spacing w:before="240"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As tampas são forradas com papel HD 20 e TNT e são colocados os vidros.</w:t>
      </w:r>
    </w:p>
    <w:p w:rsidR="00360821" w:rsidRPr="00B7793F" w:rsidRDefault="00360821" w:rsidP="00E271A4">
      <w:pPr>
        <w:pStyle w:val="PargrafodaLista"/>
        <w:numPr>
          <w:ilvl w:val="0"/>
          <w:numId w:val="10"/>
        </w:numPr>
        <w:spacing w:before="240"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As tampas recebem os espelhos e chavetas referente ao modelo, e o caixote correspondente é afixado à tampa.</w:t>
      </w:r>
    </w:p>
    <w:p w:rsidR="00360821" w:rsidRPr="00B7793F" w:rsidRDefault="00360821" w:rsidP="00E271A4">
      <w:pPr>
        <w:pStyle w:val="PargrafodaLista"/>
        <w:numPr>
          <w:ilvl w:val="0"/>
          <w:numId w:val="10"/>
        </w:numPr>
        <w:spacing w:before="240"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A urna completa previamente emborcada é embalada e estocada para expedição.</w:t>
      </w:r>
    </w:p>
    <w:p w:rsidR="00360821" w:rsidRPr="00B7793F" w:rsidRDefault="00360821" w:rsidP="00E271A4">
      <w:pPr>
        <w:spacing w:before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lastRenderedPageBreak/>
        <w:t>A identificação da restrição se baseia nos altos índices de estoque intermediários, e a escolha da restrição na empresa é fundamentada na figura 4:</w:t>
      </w:r>
    </w:p>
    <w:p w:rsidR="006D1B98" w:rsidRPr="00B7793F" w:rsidRDefault="006D1B98" w:rsidP="00B8654C">
      <w:pPr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t xml:space="preserve">Figura </w:t>
      </w:r>
      <w:r w:rsidR="00360821"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t>4</w:t>
      </w:r>
      <w:r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t xml:space="preserve"> – Estoque intermediário</w:t>
      </w:r>
    </w:p>
    <w:p w:rsidR="006D1B98" w:rsidRPr="00B7793F" w:rsidRDefault="00360821" w:rsidP="00B8654C">
      <w:pPr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</w:pPr>
      <w:r w:rsidRPr="00B7793F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114925" cy="189547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B98"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br/>
        <w:t>Fonte: Autoria própria (2018)</w:t>
      </w:r>
    </w:p>
    <w:p w:rsidR="00360821" w:rsidRPr="00B7793F" w:rsidRDefault="00360821" w:rsidP="00E271A4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Atualmente a empresa trabalha com ume meta de 50 urnas/dia. Na figura </w:t>
      </w:r>
      <w:r w:rsidR="00522338"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4</w:t>
      </w: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é possível verificar o acúmulo de estoque no setor, sabendo-se que o setor não contempla a meta diária estabelecida pela gestão, necessitando-se sempre do desvio de mão-de-obra de outros setores para a concretização das urnas necessárias para expedição no prazo determinado. Esta restrição está em concordância com a apontada pelos gestores na entrevista.</w:t>
      </w:r>
    </w:p>
    <w:p w:rsidR="006D1B98" w:rsidRPr="00B7793F" w:rsidRDefault="00360821" w:rsidP="00E271A4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Visando a confirmação do gargalo foi feita a análise do setor anterior ao setor supracitado, ou seja, o setor de pintura. Após serem feitas as cronometragens iniciais das estações de trabalho definiu-se o número míni</w:t>
      </w:r>
      <w:r w:rsidR="0008140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mo de cronometragens, conforme tabela</w:t>
      </w: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</w:t>
      </w:r>
      <w:r w:rsidR="00522338"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1</w:t>
      </w: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:</w:t>
      </w:r>
    </w:p>
    <w:p w:rsidR="00522338" w:rsidRPr="00B7793F" w:rsidRDefault="00081409" w:rsidP="00E271A4">
      <w:pPr>
        <w:spacing w:before="240" w:after="0" w:line="360" w:lineRule="auto"/>
        <w:ind w:left="31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t>Tabela 1</w:t>
      </w:r>
      <w:r w:rsidR="00522338"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t xml:space="preserve"> – Cronometragens necessárias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78"/>
        <w:gridCol w:w="1938"/>
      </w:tblGrid>
      <w:tr w:rsidR="00522338" w:rsidRPr="00B7793F" w:rsidTr="005F2C04">
        <w:trPr>
          <w:trHeight w:val="600"/>
          <w:jc w:val="center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2338" w:rsidRPr="00B7793F" w:rsidRDefault="00522338" w:rsidP="00F313C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Estação de Trabalho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2338" w:rsidRPr="00B7793F" w:rsidRDefault="00522338" w:rsidP="00F313C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Quantidade de Cronometragens</w:t>
            </w:r>
          </w:p>
        </w:tc>
      </w:tr>
      <w:tr w:rsidR="00522338" w:rsidRPr="00B7793F" w:rsidTr="005F2C04">
        <w:trPr>
          <w:trHeight w:val="315"/>
          <w:jc w:val="center"/>
        </w:trPr>
        <w:tc>
          <w:tcPr>
            <w:tcW w:w="257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22338" w:rsidRPr="0077531F" w:rsidRDefault="0077531F" w:rsidP="0077531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1- </w:t>
            </w:r>
            <w:r w:rsidR="00522338" w:rsidRPr="007753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Pintura</w:t>
            </w:r>
          </w:p>
        </w:tc>
        <w:tc>
          <w:tcPr>
            <w:tcW w:w="193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22338" w:rsidRPr="00B7793F" w:rsidRDefault="00522338" w:rsidP="00F313C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</w:tr>
      <w:tr w:rsidR="00522338" w:rsidRPr="00B7793F" w:rsidTr="005F2C04">
        <w:trPr>
          <w:trHeight w:val="315"/>
          <w:jc w:val="center"/>
        </w:trPr>
        <w:tc>
          <w:tcPr>
            <w:tcW w:w="257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22338" w:rsidRPr="0077531F" w:rsidRDefault="0077531F" w:rsidP="0077531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2- </w:t>
            </w:r>
            <w:r w:rsidR="00522338" w:rsidRPr="007753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Alças</w:t>
            </w:r>
          </w:p>
        </w:tc>
        <w:tc>
          <w:tcPr>
            <w:tcW w:w="193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22338" w:rsidRPr="00B7793F" w:rsidRDefault="00522338" w:rsidP="00F313C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</w:tr>
      <w:tr w:rsidR="00522338" w:rsidRPr="00B7793F" w:rsidTr="005F2C04">
        <w:trPr>
          <w:trHeight w:val="315"/>
          <w:jc w:val="center"/>
        </w:trPr>
        <w:tc>
          <w:tcPr>
            <w:tcW w:w="257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22338" w:rsidRPr="0077531F" w:rsidRDefault="0077531F" w:rsidP="0077531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3- </w:t>
            </w:r>
            <w:r w:rsidR="00522338"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Forro do Caixote</w:t>
            </w:r>
          </w:p>
        </w:tc>
        <w:tc>
          <w:tcPr>
            <w:tcW w:w="193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22338" w:rsidRPr="00B7793F" w:rsidRDefault="00522338" w:rsidP="00F313C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522338" w:rsidRPr="00B7793F" w:rsidTr="005F2C04">
        <w:trPr>
          <w:trHeight w:val="315"/>
          <w:jc w:val="center"/>
        </w:trPr>
        <w:tc>
          <w:tcPr>
            <w:tcW w:w="257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22338" w:rsidRPr="0077531F" w:rsidRDefault="0077531F" w:rsidP="0077531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3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522338" w:rsidRPr="007753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Forro da Tampa</w:t>
            </w:r>
          </w:p>
        </w:tc>
        <w:tc>
          <w:tcPr>
            <w:tcW w:w="193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22338" w:rsidRPr="00B7793F" w:rsidRDefault="00522338" w:rsidP="00F313C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</w:tr>
      <w:tr w:rsidR="00522338" w:rsidRPr="00B7793F" w:rsidTr="005F2C04">
        <w:trPr>
          <w:trHeight w:val="315"/>
          <w:jc w:val="center"/>
        </w:trPr>
        <w:tc>
          <w:tcPr>
            <w:tcW w:w="257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22338" w:rsidRPr="00B7793F" w:rsidRDefault="0077531F" w:rsidP="00F313C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5- </w:t>
            </w:r>
            <w:r w:rsidR="00522338"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Acessórios e Emborque</w:t>
            </w:r>
          </w:p>
        </w:tc>
        <w:tc>
          <w:tcPr>
            <w:tcW w:w="193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22338" w:rsidRPr="00B7793F" w:rsidRDefault="00522338" w:rsidP="00F313C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</w:tr>
      <w:tr w:rsidR="00522338" w:rsidRPr="00B7793F" w:rsidTr="005F2C04">
        <w:trPr>
          <w:trHeight w:val="315"/>
          <w:jc w:val="center"/>
        </w:trPr>
        <w:tc>
          <w:tcPr>
            <w:tcW w:w="257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22338" w:rsidRPr="00B7793F" w:rsidRDefault="0077531F" w:rsidP="00F313C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6- </w:t>
            </w:r>
            <w:r w:rsidR="00522338"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Embalagem</w:t>
            </w:r>
          </w:p>
        </w:tc>
        <w:tc>
          <w:tcPr>
            <w:tcW w:w="193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22338" w:rsidRPr="00B7793F" w:rsidRDefault="00522338" w:rsidP="00F313C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</w:tr>
    </w:tbl>
    <w:p w:rsidR="00522338" w:rsidRPr="00B7793F" w:rsidRDefault="00522338" w:rsidP="00E271A4">
      <w:pPr>
        <w:spacing w:before="240"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  <w:r w:rsidRPr="00B7793F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lastRenderedPageBreak/>
        <w:t>Fonte: Autoria própria (2018)</w:t>
      </w:r>
    </w:p>
    <w:p w:rsidR="00722D6A" w:rsidRPr="00B7793F" w:rsidRDefault="00722D6A" w:rsidP="00E271A4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A partir das cronometragens iniciais foi possível nortear a quantidades de cronometragens mínimas para cada estação de trabalho, com um erro previamente estabelecido. Com o intuito de tornar acessíveis e compreensíveis todas as informações contidas nos dados coletados, bem como a minimização de falhas no modelo, foi realizado o tratamento dos dados, que abrangeu a plotagem do gráfico </w:t>
      </w:r>
      <w:proofErr w:type="spellStart"/>
      <w:r w:rsidRPr="00B7793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pt-BR"/>
        </w:rPr>
        <w:t>Boxplot</w:t>
      </w:r>
      <w:proofErr w:type="spellEnd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(gráfico de caixa) para retirada dos </w:t>
      </w:r>
      <w:proofErr w:type="spellStart"/>
      <w:r w:rsidRPr="00B7793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pt-BR"/>
        </w:rPr>
        <w:t>outliers</w:t>
      </w:r>
      <w:proofErr w:type="spellEnd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e o cálculo das medidas de dispersão (análise de correlação).</w:t>
      </w:r>
    </w:p>
    <w:p w:rsidR="00522A7F" w:rsidRPr="00B7793F" w:rsidRDefault="00722D6A" w:rsidP="00E271A4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Após a retirada os </w:t>
      </w:r>
      <w:proofErr w:type="spellStart"/>
      <w:r w:rsidRPr="00B7793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pt-BR"/>
        </w:rPr>
        <w:t>outliers</w:t>
      </w:r>
      <w:proofErr w:type="spellEnd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da amostra, foram elaborados gráficos de dispersão com o auxílio da ferramenta Microsoft Office Excel 2013, com o objetivo de analisar se há correlação entre os valores. </w:t>
      </w:r>
    </w:p>
    <w:p w:rsidR="0000635B" w:rsidRPr="00B7793F" w:rsidRDefault="0000635B" w:rsidP="0000635B">
      <w:pPr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t>Figura 5 – Análise de correlação</w:t>
      </w:r>
    </w:p>
    <w:p w:rsidR="0000635B" w:rsidRPr="00B7793F" w:rsidRDefault="00D9467C" w:rsidP="00E271A4">
      <w:pPr>
        <w:spacing w:before="240" w:line="36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570883" cy="2266122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88" cy="226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35B"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br/>
        <w:t>Fonte: Autoria própria (2018)</w:t>
      </w:r>
    </w:p>
    <w:p w:rsidR="001F5C85" w:rsidRPr="00B7793F" w:rsidRDefault="001F5C85" w:rsidP="001F5C85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A figura 5 </w:t>
      </w:r>
      <w:r w:rsidR="00D075D4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demonstra</w:t>
      </w: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a análise de correlação das amostras</w:t>
      </w:r>
      <w:r w:rsidR="00D075D4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1 a 6</w:t>
      </w: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, </w:t>
      </w:r>
      <w:r w:rsidR="00D075D4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que apresentaram coeficiente de correlação de 0,03, 0,1, 0,1, 0,07, 0,04 e 0,22, respectivamente, </w:t>
      </w: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onde foi possível verificar </w:t>
      </w:r>
      <w:r w:rsidR="000E6B3C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a correlação foi desprezív</w:t>
      </w:r>
      <w:r w:rsidR="00541A7B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e</w:t>
      </w:r>
      <w:r w:rsidR="000E6B3C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l</w:t>
      </w: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e por isso os dados podem ser utilizados para formulação de um modelo de simulação.</w:t>
      </w:r>
    </w:p>
    <w:p w:rsidR="001F5C85" w:rsidRPr="00B7793F" w:rsidRDefault="001F5C85" w:rsidP="00E271A4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Com a utilização do teste de </w:t>
      </w:r>
      <w:proofErr w:type="spellStart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Kolmogorov-Smirnov</w:t>
      </w:r>
      <w:proofErr w:type="spellEnd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verificou-se que todos os processos aderem à curva normal, e com a identificação da distribuição de probabilidade foi possível criar uma modelagem computacional do processo estudado, conforme figura 6:</w:t>
      </w:r>
    </w:p>
    <w:p w:rsidR="00421957" w:rsidRPr="00B7793F" w:rsidRDefault="00421957" w:rsidP="00E271A4">
      <w:pPr>
        <w:spacing w:before="240" w:line="36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lastRenderedPageBreak/>
        <w:t>Figura 6 – Modelagem e simulação do modelo produtivo real</w:t>
      </w:r>
    </w:p>
    <w:p w:rsidR="00421957" w:rsidRPr="00B7793F" w:rsidRDefault="004D4AF4" w:rsidP="00E271A4">
      <w:pPr>
        <w:spacing w:before="240" w:line="36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</w:pPr>
      <w:r w:rsidRPr="00F97FB0">
        <w:rPr>
          <w:noProof/>
          <w:sz w:val="20"/>
          <w:lang w:eastAsia="pt-BR"/>
        </w:rPr>
        <w:drawing>
          <wp:inline distT="0" distB="0" distL="0" distR="0">
            <wp:extent cx="5400000" cy="2097931"/>
            <wp:effectExtent l="0" t="0" r="0" b="0"/>
            <wp:docPr id="11" name="Imagem 11" descr="C:\Users\Mila-pc\Desktop\WhatsApp Image 2018-05-17 at 16.1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:\Users\Mila-pc\Desktop\WhatsApp Image 2018-05-17 at 16.17.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6" t="13654" r="19471" b="40678"/>
                    <a:stretch/>
                  </pic:blipFill>
                  <pic:spPr bwMode="auto">
                    <a:xfrm>
                      <a:off x="0" y="0"/>
                      <a:ext cx="5400000" cy="209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1957"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br/>
        <w:t>Fonte: Autoria própria (2018)</w:t>
      </w:r>
    </w:p>
    <w:p w:rsidR="00421957" w:rsidRPr="00B7793F" w:rsidRDefault="00421957" w:rsidP="00E271A4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O processo inicia-se com o estoque disponibilizado no dia anterior pelo setor de pintura, que atualmente, trata-se de 50 tampas e caixotes. O processo desenvolve-se no decorrer de um dia de trabalho e dispõe de 4 operadores. Durante o turno da manhã um operador A, com um tempo médio de 5,77 minutos por caixote, dedica-se a bater as alças. Outro operador B, com um tempo médio de 6,25 minutos, trabalha no forro do caixote que encontra-se com as alças batidas e um terceiro operador C trabalha forrando as tampas e aplicando os vidros, com um tempo médio de 3,35 minutos por tampa. O quarto operador D trabalha auxiliando os operadores 1 e 2 nas duas tarefas, dando preferência a bater as alças e depois forrar os caixotes, com os mesmos tempos médios.</w:t>
      </w:r>
    </w:p>
    <w:p w:rsidR="00421957" w:rsidRPr="00B7793F" w:rsidRDefault="00421957" w:rsidP="00E271A4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No turno vespertino, os mesmos operadores desenvolvem as demais atividades do setor, sendo elas a aplicação dos acessórios (chavetas e espelhos) e o emborque. Os operadores A e B trabalham na aplicação de acessórios e emborque das urnas, em estações separadas, com um tempo médio de 4,82 minutos por urna, enquanto os operadores C e D trabalham juntos na embalagem das urnas, com um tempo médio de 3,25 minutos por urna.</w:t>
      </w:r>
    </w:p>
    <w:p w:rsidR="00421957" w:rsidRPr="00B7793F" w:rsidRDefault="00421957" w:rsidP="00E271A4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Posteriormente, foi realizada a validação pelo método estatístico, com um comparativo entre as saídas do modelo real durante 10 dias e 10 simulações realizadas.</w:t>
      </w:r>
    </w:p>
    <w:p w:rsidR="00421957" w:rsidRPr="00B7793F" w:rsidRDefault="00421957" w:rsidP="00E271A4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lastRenderedPageBreak/>
        <w:t xml:space="preserve">O cálculo de validação foi efetuado por meio da aplicação proposta por Devore (2000) e em posse desses dados é possível validar o modelo estatisticamente, utilizando-se o teste de </w:t>
      </w:r>
      <w:proofErr w:type="spellStart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Kleijnen</w:t>
      </w:r>
      <w:proofErr w:type="spellEnd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(1995), onde, foi possível a identificação do intervalo de [-0,87; 1,67]. </w:t>
      </w:r>
    </w:p>
    <w:p w:rsidR="00421957" w:rsidRPr="00B7793F" w:rsidRDefault="00421957" w:rsidP="00E271A4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Como o teste apresentou como resultado o intervalo de -0,87 &lt; μ &lt; 1,67 e o valor 0 (zero) se encontra presente no intervalo, pode-se afirmar que o modelo é válido pela estatística com 95% de confiança, ou seja, o modelo se comporta como o real.</w:t>
      </w:r>
    </w:p>
    <w:p w:rsidR="00691C69" w:rsidRPr="00B7793F" w:rsidRDefault="00691C69" w:rsidP="00691C6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pt-BR"/>
        </w:rPr>
        <w:br/>
      </w:r>
      <w:r w:rsidRPr="00B7793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t-BR"/>
        </w:rPr>
        <w:t>4.</w:t>
      </w:r>
      <w:r w:rsidR="00421957" w:rsidRPr="00B7793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t-BR"/>
        </w:rPr>
        <w:t>1.</w:t>
      </w:r>
      <w:r w:rsidRPr="00B7793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t-BR"/>
        </w:rPr>
        <w:t xml:space="preserve"> </w:t>
      </w:r>
      <w:r w:rsidR="00421957" w:rsidRPr="00B7793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t-BR"/>
        </w:rPr>
        <w:t>Proposta de otimização da restrição</w:t>
      </w:r>
    </w:p>
    <w:p w:rsidR="00421957" w:rsidRPr="00B7793F" w:rsidRDefault="00421957" w:rsidP="00421957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Visando o aumento da capacidade produtiva a proposta de otimização da restrição visou o aumento do fluxo de produtos dentro do setor. Diante das observações realizadas na empresa verificou-se que os operadores não possuem estação de trabalho fixa, e que nenhum deles responde pelas metas da equipe.</w:t>
      </w:r>
    </w:p>
    <w:p w:rsidR="00421957" w:rsidRPr="00B7793F" w:rsidRDefault="00421957" w:rsidP="00421957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Diante disto, a proposta visa a determinação de pontos de trabalho fixos, com um processo que seja contínuo e que todas as estações estejam em operação durante todo o tempo de trabalho, e, para este fim seria necessário a contratação de dois colaboradores. O modelo computacional com as modificações propostas é apresentado na figura 7:</w:t>
      </w:r>
    </w:p>
    <w:p w:rsidR="00421957" w:rsidRPr="00B7793F" w:rsidRDefault="00421957" w:rsidP="00421957">
      <w:pPr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t>Figura 7 – Modelagem e simulação do modelo produtivo otimizado</w:t>
      </w:r>
    </w:p>
    <w:p w:rsidR="00421957" w:rsidRPr="00B7793F" w:rsidRDefault="004D4AF4" w:rsidP="00421957">
      <w:pPr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</w:pPr>
      <w:r w:rsidRPr="00A16D26">
        <w:rPr>
          <w:noProof/>
          <w:sz w:val="20"/>
          <w:lang w:eastAsia="pt-BR"/>
        </w:rPr>
        <w:drawing>
          <wp:inline distT="0" distB="0" distL="0" distR="0">
            <wp:extent cx="5400000" cy="1659880"/>
            <wp:effectExtent l="0" t="0" r="0" b="0"/>
            <wp:docPr id="14" name="Imagem 14" descr="otimiz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timiz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5" t="23662" r="2929" b="27739"/>
                    <a:stretch/>
                  </pic:blipFill>
                  <pic:spPr bwMode="auto">
                    <a:xfrm>
                      <a:off x="0" y="0"/>
                      <a:ext cx="5400000" cy="1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1957"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br/>
        <w:t>Fonte: Autoria própria (2018)</w:t>
      </w:r>
    </w:p>
    <w:p w:rsidR="00421957" w:rsidRPr="00B7793F" w:rsidRDefault="00421957" w:rsidP="00421957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O processo inicia-se com o estoque otimizado do setor de pintura, ou seja 80 urnas. O processo desenvolve-se no decorrer de um dia de trabalho e dispõe de 6 operadores. Durante todo o dia o primeiro operador A, com um tempo médio de 5,77 minutos por caixote, dedica-se a bater as alças. Outro operador B, com um tempo médio de 6,25 minutos, trabalha no forro do caixote que encontra-se com as alças batidas, um terceiro </w:t>
      </w: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lastRenderedPageBreak/>
        <w:t xml:space="preserve">operador C trabalha forrando as tampas e aplicando os vidros, com um tempo médio de 3,35 minutos por tampa, um quarto D operador trabalha na aplicação de acessórios e emborque das urnas, com um tempo médio de 4,82 minutos por urna, enquanto os dois operadores restantes (E </w:t>
      </w:r>
      <w:proofErr w:type="spellStart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e</w:t>
      </w:r>
      <w:proofErr w:type="spellEnd"/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F) trabalham juntos na embalagem das urnas, com um tempo médio de 3,25 minutos por urna. Como o forro da tampa é um processo muito rápido em comparativo com o forro do caixote, o terceiro operador após finalizar o forro das tampas dedica-se preferencialmente ao forro do caixote, ou a bater alças.</w:t>
      </w:r>
    </w:p>
    <w:p w:rsidR="00421957" w:rsidRPr="00B7793F" w:rsidRDefault="00421957" w:rsidP="00421957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trike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t-BR"/>
        </w:rPr>
        <w:t>4.2. Comparativo entre o modelo real e o modelo simulado</w:t>
      </w:r>
    </w:p>
    <w:p w:rsidR="00421957" w:rsidRPr="00B7793F" w:rsidRDefault="00421957" w:rsidP="00421957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Esta etapa apresentará a comparação realizada entre os resultados gerados pelas simulações do modelo real e do modelo otimizado. O objetivo foi apresentar um intervalo com precisão menor ou igual a 0,05, mesmo nível de significância utilizado anteriormente. Foram feitas 10 replicações visando o cálculo com nível de confiança 95%.</w:t>
      </w:r>
    </w:p>
    <w:p w:rsidR="00421957" w:rsidRPr="00B7793F" w:rsidRDefault="00421957" w:rsidP="00421957">
      <w:pPr>
        <w:spacing w:after="0" w:line="360" w:lineRule="auto"/>
        <w:ind w:left="317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</w:pPr>
      <w:r w:rsidRPr="00B7793F"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  <w:t>Quadro 1 – Cronometragens necessárias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78"/>
        <w:gridCol w:w="1938"/>
      </w:tblGrid>
      <w:tr w:rsidR="00421957" w:rsidRPr="00B7793F" w:rsidTr="005F2C04">
        <w:trPr>
          <w:trHeight w:val="600"/>
          <w:jc w:val="center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1957" w:rsidRPr="00B7793F" w:rsidRDefault="00421957" w:rsidP="00F313C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Estação de Trabalho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957" w:rsidRPr="00B7793F" w:rsidRDefault="00421957" w:rsidP="00F313C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Quantidade de Cronometragens</w:t>
            </w:r>
          </w:p>
        </w:tc>
      </w:tr>
      <w:tr w:rsidR="00421957" w:rsidRPr="00B7793F" w:rsidTr="005F2C04">
        <w:trPr>
          <w:trHeight w:val="315"/>
          <w:jc w:val="center"/>
        </w:trPr>
        <w:tc>
          <w:tcPr>
            <w:tcW w:w="257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21957" w:rsidRPr="00B7793F" w:rsidRDefault="00421957" w:rsidP="00F313C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Pintura</w:t>
            </w:r>
          </w:p>
        </w:tc>
        <w:tc>
          <w:tcPr>
            <w:tcW w:w="193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21957" w:rsidRPr="00B7793F" w:rsidRDefault="00421957" w:rsidP="00F313C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</w:tr>
      <w:tr w:rsidR="00421957" w:rsidRPr="00B7793F" w:rsidTr="005F2C04">
        <w:trPr>
          <w:trHeight w:val="315"/>
          <w:jc w:val="center"/>
        </w:trPr>
        <w:tc>
          <w:tcPr>
            <w:tcW w:w="257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21957" w:rsidRPr="00B7793F" w:rsidRDefault="00421957" w:rsidP="00F313C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Alças</w:t>
            </w:r>
          </w:p>
        </w:tc>
        <w:tc>
          <w:tcPr>
            <w:tcW w:w="193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21957" w:rsidRPr="00B7793F" w:rsidRDefault="00421957" w:rsidP="00F313C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</w:tr>
      <w:tr w:rsidR="00421957" w:rsidRPr="00B7793F" w:rsidTr="005F2C04">
        <w:trPr>
          <w:trHeight w:val="315"/>
          <w:jc w:val="center"/>
        </w:trPr>
        <w:tc>
          <w:tcPr>
            <w:tcW w:w="257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21957" w:rsidRPr="00B7793F" w:rsidRDefault="00421957" w:rsidP="00F313C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Forro do Caixote</w:t>
            </w:r>
          </w:p>
        </w:tc>
        <w:tc>
          <w:tcPr>
            <w:tcW w:w="193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21957" w:rsidRPr="00B7793F" w:rsidRDefault="00421957" w:rsidP="00F313C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421957" w:rsidRPr="00B7793F" w:rsidTr="005F2C04">
        <w:trPr>
          <w:trHeight w:val="315"/>
          <w:jc w:val="center"/>
        </w:trPr>
        <w:tc>
          <w:tcPr>
            <w:tcW w:w="257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21957" w:rsidRPr="00B7793F" w:rsidRDefault="00421957" w:rsidP="00F313C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Forro da Tampa</w:t>
            </w:r>
          </w:p>
        </w:tc>
        <w:tc>
          <w:tcPr>
            <w:tcW w:w="193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21957" w:rsidRPr="00B7793F" w:rsidRDefault="00421957" w:rsidP="00F313C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</w:tr>
      <w:tr w:rsidR="00421957" w:rsidRPr="00B7793F" w:rsidTr="005F2C04">
        <w:trPr>
          <w:trHeight w:val="315"/>
          <w:jc w:val="center"/>
        </w:trPr>
        <w:tc>
          <w:tcPr>
            <w:tcW w:w="257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21957" w:rsidRPr="00B7793F" w:rsidRDefault="00421957" w:rsidP="00F313C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Acessórios e Emborque</w:t>
            </w:r>
          </w:p>
        </w:tc>
        <w:tc>
          <w:tcPr>
            <w:tcW w:w="193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21957" w:rsidRPr="00B7793F" w:rsidRDefault="00421957" w:rsidP="00F313C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</w:tr>
      <w:tr w:rsidR="00421957" w:rsidRPr="00B7793F" w:rsidTr="005F2C04">
        <w:trPr>
          <w:trHeight w:val="315"/>
          <w:jc w:val="center"/>
        </w:trPr>
        <w:tc>
          <w:tcPr>
            <w:tcW w:w="257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21957" w:rsidRPr="00B7793F" w:rsidRDefault="00421957" w:rsidP="00F313C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Embalagem</w:t>
            </w:r>
          </w:p>
        </w:tc>
        <w:tc>
          <w:tcPr>
            <w:tcW w:w="193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21957" w:rsidRPr="00B7793F" w:rsidRDefault="00421957" w:rsidP="00F313C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9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</w:tr>
    </w:tbl>
    <w:p w:rsidR="00421957" w:rsidRPr="00B7793F" w:rsidRDefault="00421957" w:rsidP="00421957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  <w:r w:rsidRPr="00B7793F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>Fonte: Autoria própria (2018)</w:t>
      </w:r>
    </w:p>
    <w:p w:rsidR="00F313C0" w:rsidRDefault="00F313C0" w:rsidP="00E271A4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E271A4" w:rsidRPr="00E271A4" w:rsidRDefault="00E271A4" w:rsidP="00E271A4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E271A4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Utilizando-se novamente da equação de </w:t>
      </w:r>
      <w:proofErr w:type="spellStart"/>
      <w:r w:rsidRPr="00E271A4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Denove</w:t>
      </w:r>
      <w:proofErr w:type="spellEnd"/>
      <w:r w:rsidRPr="00E271A4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(2000), obteve-se os limites para o intervalo com 95% de confiança entre [45,91;46,89]. Considerando que a precisão desejada era de 0,05 e o valor encontrado encontra-se abaixo do desejado, pode-se dizer que o intervalo já possui uma estimativa confiável. </w:t>
      </w:r>
    </w:p>
    <w:p w:rsidR="00E271A4" w:rsidRDefault="00E271A4" w:rsidP="00E271A4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E271A4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Utilizando-se mais uma vez da equação de </w:t>
      </w:r>
      <w:proofErr w:type="spellStart"/>
      <w:r w:rsidRPr="00E271A4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Denove</w:t>
      </w:r>
      <w:proofErr w:type="spellEnd"/>
      <w:r w:rsidRPr="00E271A4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(2000) obteve-se que no modelo otimizado os limites para o intervalo com 95% de confiança serão [75,61;77,71]. Desta </w:t>
      </w:r>
      <w:r w:rsidRPr="00E271A4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lastRenderedPageBreak/>
        <w:t xml:space="preserve">forma, conclui-se que o modelo possui uma estimativa precisa e que não é necessário fazer novas replicações. </w:t>
      </w:r>
    </w:p>
    <w:p w:rsidR="00691C69" w:rsidRPr="00B7793F" w:rsidRDefault="00691C69" w:rsidP="00691C69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trike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t-BR"/>
        </w:rPr>
        <w:t xml:space="preserve">5. </w:t>
      </w:r>
      <w:r w:rsidR="00E271A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t-BR"/>
        </w:rPr>
        <w:t>Considerações finais</w:t>
      </w:r>
    </w:p>
    <w:p w:rsidR="00660E2D" w:rsidRPr="00660E2D" w:rsidRDefault="00660E2D" w:rsidP="00660E2D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660E2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Analisando os resultados obtidos na simulação dos dois cenários, observa-se um impacto considerável sobre a produtividade do setor. Sabe-se que a meta diária de 50 urnas/dia, estipuladas pela empresa que não são concretizadas, fator este comprovado pela cronometragem e simulação realizada, atuando no modelo real com uma média de 46 urnas/dia em média, enquanto, no modelo otimizado a empresa produzirá, em média 76 urnas/dia, ou seja, o novo arranjo proporcionaria um aumento de 30 urnas/dia, um aumento de cerca de 65% na produtividade.</w:t>
      </w:r>
    </w:p>
    <w:p w:rsidR="00660E2D" w:rsidRPr="00660E2D" w:rsidRDefault="00660E2D" w:rsidP="00660E2D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660E2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A urna do referido modelo possui um valor médio de venda R$215,18. Sabendo-se que há demanda para o produto em questão, avaliando os impactos financeiros das alterações e considerando apenas o modelo em questão, a potencialização da restrição aumentaria a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produção em cerca de 600 urnas por mês, que resultaria em um aumento da </w:t>
      </w:r>
      <w:r w:rsidRPr="00660E2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receita da empresa em aproximadamente R$1.600.000,00 por ano. Diante da atual margem de lucratividade adotada pela empresa, a saber, 15%, tais mudanças proporcionariam um ganho extra de cerca de R$232.000,00 por ano.</w:t>
      </w:r>
    </w:p>
    <w:p w:rsidR="00660E2D" w:rsidRPr="00660E2D" w:rsidRDefault="00660E2D" w:rsidP="00660E2D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660E2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Avaliando os custos adicionais gerados pela contratação de nova mão-de-obra, e correlacionando com os impactos na produção com tais alterações, sabe-se que, com média salarial de R$1.200,00 somado com encargos sociais, o adicional gasto corresponde a 2,61% do aumento da receita anteriormente citado, valor este já previsto no preço de venda.</w:t>
      </w:r>
    </w:p>
    <w:p w:rsidR="00660E2D" w:rsidRPr="00660E2D" w:rsidRDefault="00660E2D" w:rsidP="00660E2D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660E2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Como sugestão para trabalhos futuros, tem-se a elevação da restrição através do modelo otimizado proposto nesta metodologia e subordinação dos demais setores à esta mudança. Após isso voltar à etapa inicial e verificar a existência de novos gargalos e possíveis melhorias na produção.</w:t>
      </w:r>
    </w:p>
    <w:p w:rsidR="00691C69" w:rsidRPr="008076B5" w:rsidRDefault="00691C69" w:rsidP="008076B5">
      <w:pPr>
        <w:spacing w:after="12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t-BR"/>
        </w:rPr>
      </w:pPr>
      <w:r w:rsidRPr="00B779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t-BR"/>
        </w:rPr>
        <w:t>REFERÊNCIAS</w:t>
      </w:r>
    </w:p>
    <w:p w:rsid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BATEMAN, R. et. al. </w:t>
      </w:r>
      <w:r w:rsidRPr="008076B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pt-BR"/>
        </w:rPr>
        <w:t>Simulação de sistemas: aprimorando processos de logística, serviços e manufatura</w:t>
      </w: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. Rio de Janeiro: </w:t>
      </w:r>
      <w:proofErr w:type="spellStart"/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>Elsevier</w:t>
      </w:r>
      <w:proofErr w:type="spellEnd"/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>, 2013.</w:t>
      </w:r>
    </w:p>
    <w:p w:rsidR="008076B5" w:rsidRP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</w:p>
    <w:p w:rsid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lastRenderedPageBreak/>
        <w:t>CHWIF, L., &amp; MEDINA, A. C.</w:t>
      </w:r>
      <w:r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 </w:t>
      </w:r>
      <w:r w:rsidRPr="008076B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pt-BR"/>
        </w:rPr>
        <w:t>Modelagem e Simulação de Eventos Discretos: Teoria &amp; Aplicações</w:t>
      </w:r>
      <w:r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pt-BR"/>
        </w:rPr>
        <w:t>.</w:t>
      </w: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 Rio de Janeiro: </w:t>
      </w:r>
      <w:proofErr w:type="spellStart"/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>Elsevier</w:t>
      </w:r>
      <w:proofErr w:type="spellEnd"/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>, 2009.</w:t>
      </w:r>
    </w:p>
    <w:p w:rsidR="008076B5" w:rsidRP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</w:p>
    <w:p w:rsid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COX III, J.F. &amp; SPENCER, M. S. </w:t>
      </w:r>
      <w:r w:rsidRPr="008076B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pt-BR"/>
        </w:rPr>
        <w:t>Manual da Teoria das Restrições</w:t>
      </w: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. Porto Alegre: </w:t>
      </w:r>
      <w:proofErr w:type="spellStart"/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>Bookman</w:t>
      </w:r>
      <w:proofErr w:type="spellEnd"/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>, 2002.</w:t>
      </w:r>
    </w:p>
    <w:p w:rsidR="008076B5" w:rsidRP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</w:p>
    <w:p w:rsid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COX III, James F.; SCHLEIER, John G. </w:t>
      </w:r>
      <w:proofErr w:type="spellStart"/>
      <w:r w:rsidRPr="008076B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pt-BR"/>
        </w:rPr>
        <w:t>Handbook</w:t>
      </w:r>
      <w:proofErr w:type="spellEnd"/>
      <w:r w:rsidRPr="008076B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pt-BR"/>
        </w:rPr>
        <w:t xml:space="preserve"> da teoria das restrições</w:t>
      </w: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. </w:t>
      </w:r>
      <w:proofErr w:type="spellStart"/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>Bookman</w:t>
      </w:r>
      <w:proofErr w:type="spellEnd"/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 Editora, 2013.</w:t>
      </w:r>
    </w:p>
    <w:p w:rsidR="008076B5" w:rsidRP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</w:p>
    <w:p w:rsidR="008076B5" w:rsidRPr="007F437F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</w:pP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>DE FREITAS FILHO, Paulo José.</w:t>
      </w:r>
      <w:r w:rsidRPr="008076B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pt-BR"/>
        </w:rPr>
        <w:t xml:space="preserve"> Introdução à modelagem e simulação de sistemas: com aplicações em Arena</w:t>
      </w: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. </w:t>
      </w:r>
      <w:r w:rsidRPr="007F437F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  <w:t>Visual Books, 2001.</w:t>
      </w:r>
    </w:p>
    <w:p w:rsidR="008076B5" w:rsidRPr="007F437F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</w:pPr>
    </w:p>
    <w:p w:rsid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  <w:t xml:space="preserve">DEVORE, J. </w:t>
      </w:r>
      <w:r w:rsidRPr="008076B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n-US" w:eastAsia="pt-BR"/>
        </w:rPr>
        <w:t>Probability and statistics for engineering and the sciences</w:t>
      </w: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  <w:t xml:space="preserve">. </w:t>
      </w: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5. ed. Pacific Grove: </w:t>
      </w:r>
      <w:proofErr w:type="spellStart"/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>Duxbury</w:t>
      </w:r>
      <w:proofErr w:type="spellEnd"/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 Press, 2000.</w:t>
      </w:r>
    </w:p>
    <w:p w:rsid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</w:p>
    <w:p w:rsid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</w:pP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GARCIA, Claudio. </w:t>
      </w:r>
      <w:r w:rsidRPr="008076B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pt-BR"/>
        </w:rPr>
        <w:t>Modelagem e Simulação de Processos Industriais e de Sistemas Eletromecânicos</w:t>
      </w: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. </w:t>
      </w: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  <w:t xml:space="preserve">Vol. 1. </w:t>
      </w:r>
      <w:proofErr w:type="spellStart"/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  <w:t>Edusp</w:t>
      </w:r>
      <w:proofErr w:type="spellEnd"/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  <w:t>, 2005.</w:t>
      </w:r>
    </w:p>
    <w:p w:rsidR="008076B5" w:rsidRP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</w:pPr>
    </w:p>
    <w:p w:rsid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</w:pP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  <w:t xml:space="preserve">KLEIJNEN, J. P. C. </w:t>
      </w:r>
      <w:r w:rsidRPr="008076B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n-US" w:eastAsia="pt-BR"/>
        </w:rPr>
        <w:t>Verification and validation of simulation models. European Journal of Operational Research</w:t>
      </w: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  <w:t>, v. 82, n. 1, p. 145 – 162, 1995.</w:t>
      </w:r>
    </w:p>
    <w:p w:rsidR="008076B5" w:rsidRP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</w:pPr>
    </w:p>
    <w:p w:rsid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  <w:t xml:space="preserve">LACHTERMACHER, Gerson. </w:t>
      </w:r>
      <w:r w:rsidRPr="008076B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pt-BR"/>
        </w:rPr>
        <w:t>Pesquisa Operacional na tomada de decisões</w:t>
      </w: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. 4ª ed. Rio de Janeiro: </w:t>
      </w:r>
      <w:proofErr w:type="spellStart"/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>Elsevier</w:t>
      </w:r>
      <w:proofErr w:type="spellEnd"/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>, 2007.</w:t>
      </w:r>
    </w:p>
    <w:p w:rsidR="008076B5" w:rsidRP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</w:p>
    <w:p w:rsid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NETO, Alfredo I; JUNIOR, I. C. </w:t>
      </w:r>
      <w:r w:rsidRPr="008076B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pt-BR"/>
        </w:rPr>
        <w:t>Classificação das principais dificuldades enfrentadas pelas pequenas e médias empresas (</w:t>
      </w:r>
      <w:proofErr w:type="spellStart"/>
      <w:r w:rsidRPr="008076B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pt-BR"/>
        </w:rPr>
        <w:t>PMEs</w:t>
      </w:r>
      <w:proofErr w:type="spellEnd"/>
      <w:r w:rsidRPr="008076B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pt-BR"/>
        </w:rPr>
        <w:t>)</w:t>
      </w: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>.  2006.</w:t>
      </w:r>
    </w:p>
    <w:p w:rsidR="008076B5" w:rsidRP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</w:p>
    <w:p w:rsid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PEINADO, Jurandir; REIS GRAEML, Alexandre. </w:t>
      </w:r>
      <w:r w:rsidRPr="008076B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pt-BR"/>
        </w:rPr>
        <w:t>Administração da Produção: Operações Industriais e de Serviços</w:t>
      </w: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>. 1. Ed. Curitiba: UnicenP,2007.</w:t>
      </w:r>
    </w:p>
    <w:p w:rsidR="008076B5" w:rsidRP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</w:p>
    <w:p w:rsid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SABBADINI, Francisco Santos; GONÇALVES, Antônio Augusto; DE OLIVEIRA, Mário Jorge Ferreira. </w:t>
      </w:r>
      <w:r w:rsidRPr="008076B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pt-BR"/>
        </w:rPr>
        <w:t>A aplicação da teoria das restrições (</w:t>
      </w:r>
      <w:proofErr w:type="spellStart"/>
      <w:r w:rsidRPr="008076B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pt-BR"/>
        </w:rPr>
        <w:t>toc</w:t>
      </w:r>
      <w:proofErr w:type="spellEnd"/>
      <w:r w:rsidRPr="008076B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pt-BR"/>
        </w:rPr>
        <w:t>) e da simulação na gestão da capacidade de atendimento em hospital de emergência</w:t>
      </w: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>. Revista Produção Online, v. 6, n. 3, 2006.</w:t>
      </w:r>
    </w:p>
    <w:p w:rsidR="00F313C0" w:rsidRPr="008076B5" w:rsidRDefault="00F313C0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</w:p>
    <w:p w:rsid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SEBRAE – SERVIÇO BRASILEIRO DE APOIO ÀS MICRO E PEQUENAS EMPRESAS. </w:t>
      </w:r>
      <w:r w:rsidRPr="008076B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pt-BR"/>
        </w:rPr>
        <w:t>Sobrevivência das empresas no Brasil</w:t>
      </w: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>. Brasília: Sebrae, 2016. Disponível em: &lt;https://m.sebrae.com.br/Sebrae/Portal%20Sebrae/Anexos/sobrevivencia-das-empresas-no-brasil-102016.pdf&gt;.</w:t>
      </w:r>
    </w:p>
    <w:p w:rsidR="008076B5" w:rsidRP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</w:p>
    <w:p w:rsidR="008076B5" w:rsidRPr="007F437F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</w:pP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SRIKANTH, </w:t>
      </w:r>
      <w:proofErr w:type="spellStart"/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>Mokshagundam</w:t>
      </w:r>
      <w:proofErr w:type="spellEnd"/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 xml:space="preserve">. TPC, gerenciamento de pulmões e classificação de fluxo VATI. </w:t>
      </w:r>
      <w:r w:rsidRPr="007F437F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  <w:t xml:space="preserve">In: COX III, James F.; SCHLEIER, John G. </w:t>
      </w:r>
      <w:r w:rsidRPr="007F437F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n-US" w:eastAsia="pt-BR"/>
        </w:rPr>
        <w:t xml:space="preserve">Handbook da </w:t>
      </w:r>
      <w:proofErr w:type="spellStart"/>
      <w:r w:rsidRPr="007F437F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n-US" w:eastAsia="pt-BR"/>
        </w:rPr>
        <w:t>teoria</w:t>
      </w:r>
      <w:proofErr w:type="spellEnd"/>
      <w:r w:rsidRPr="007F437F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n-US" w:eastAsia="pt-BR"/>
        </w:rPr>
        <w:t xml:space="preserve"> das </w:t>
      </w:r>
      <w:proofErr w:type="spellStart"/>
      <w:r w:rsidRPr="007F437F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n-US" w:eastAsia="pt-BR"/>
        </w:rPr>
        <w:t>restrições</w:t>
      </w:r>
      <w:proofErr w:type="spellEnd"/>
      <w:r w:rsidRPr="007F437F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  <w:t xml:space="preserve">. Bookman </w:t>
      </w:r>
      <w:proofErr w:type="spellStart"/>
      <w:r w:rsidRPr="007F437F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  <w:t>Editora</w:t>
      </w:r>
      <w:proofErr w:type="spellEnd"/>
      <w:r w:rsidRPr="007F437F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  <w:t>, 2013.</w:t>
      </w:r>
    </w:p>
    <w:p w:rsidR="008076B5" w:rsidRPr="007F437F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</w:pPr>
    </w:p>
    <w:p w:rsidR="008076B5" w:rsidRDefault="008076B5" w:rsidP="008076B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</w:pP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val="en-US" w:eastAsia="pt-BR"/>
        </w:rPr>
        <w:t xml:space="preserve">SULLIVAN, T. T.; REID, R. A. e CARTIER, B. The TOCICO Dictionary. </w:t>
      </w:r>
      <w:r w:rsidRPr="008076B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pt-BR"/>
        </w:rPr>
        <w:t>Organização Científica de Certificação em Teoria das Restrições</w:t>
      </w:r>
      <w:r w:rsidRPr="008076B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pt-BR"/>
        </w:rPr>
        <w:t>, 2007. Disponível online em &lt;http://www.tocico.org/?page=dictionary&gt;.</w:t>
      </w:r>
    </w:p>
    <w:sectPr w:rsidR="008076B5" w:rsidSect="000F6770">
      <w:headerReference w:type="default" r:id="rId14"/>
      <w:footerReference w:type="default" r:id="rId15"/>
      <w:pgSz w:w="11906" w:h="16838"/>
      <w:pgMar w:top="1418" w:right="1701" w:bottom="1418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D41" w:rsidRDefault="002C0D41" w:rsidP="00BB7B6D">
      <w:pPr>
        <w:spacing w:after="0" w:line="240" w:lineRule="auto"/>
      </w:pPr>
      <w:r>
        <w:separator/>
      </w:r>
    </w:p>
  </w:endnote>
  <w:endnote w:type="continuationSeparator" w:id="0">
    <w:p w:rsidR="002C0D41" w:rsidRDefault="002C0D41" w:rsidP="00BB7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B6D" w:rsidRPr="000F6770" w:rsidRDefault="00BB7B6D" w:rsidP="00BB7B6D">
    <w:pPr>
      <w:pStyle w:val="Rodap"/>
      <w:jc w:val="center"/>
      <w:rPr>
        <w:color w:val="595959" w:themeColor="text1" w:themeTint="A6"/>
      </w:rPr>
    </w:pPr>
    <w:r w:rsidRPr="000F6770">
      <w:rPr>
        <w:rFonts w:ascii="Arial Rounded MT Bold" w:hAnsi="Arial Rounded MT Bold"/>
        <w:color w:val="595959" w:themeColor="text1" w:themeTint="A6"/>
        <w:sz w:val="20"/>
      </w:rPr>
      <w:t>EDIÇÃO MACEIÓ – 19 E 20 DE OUTUBRO DE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D41" w:rsidRDefault="002C0D41" w:rsidP="00BB7B6D">
      <w:pPr>
        <w:spacing w:after="0" w:line="240" w:lineRule="auto"/>
      </w:pPr>
      <w:r>
        <w:separator/>
      </w:r>
    </w:p>
  </w:footnote>
  <w:footnote w:type="continuationSeparator" w:id="0">
    <w:p w:rsidR="002C0D41" w:rsidRDefault="002C0D41" w:rsidP="00BB7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B6D" w:rsidRDefault="00BB7B6D" w:rsidP="00BB7B6D">
    <w:pPr>
      <w:jc w:val="center"/>
    </w:pPr>
    <w:r>
      <w:rPr>
        <w:noProof/>
        <w:lang w:eastAsia="pt-BR"/>
      </w:rPr>
      <w:drawing>
        <wp:inline distT="0" distB="0" distL="0" distR="0" wp14:anchorId="135892BE" wp14:editId="4802409D">
          <wp:extent cx="1315779" cy="838200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alep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6295"/>
                  <a:stretch/>
                </pic:blipFill>
                <pic:spPr bwMode="auto">
                  <a:xfrm>
                    <a:off x="0" y="0"/>
                    <a:ext cx="1319449" cy="8405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Arial Rounded MT Bold" w:hAnsi="Arial Rounded MT Bold"/>
        <w:sz w:val="24"/>
      </w:rPr>
      <w:br/>
    </w:r>
    <w:r w:rsidRPr="000F6770">
      <w:rPr>
        <w:rFonts w:ascii="Arial Rounded MT Bold" w:hAnsi="Arial Rounded MT Bold"/>
        <w:color w:val="595959" w:themeColor="text1" w:themeTint="A6"/>
        <w:sz w:val="24"/>
      </w:rPr>
      <w:t>ENCONTRO ALAGOANO DE ENGENHARIA DE PRODUÇÃO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366AF"/>
    <w:multiLevelType w:val="hybridMultilevel"/>
    <w:tmpl w:val="9E3024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20A96"/>
    <w:multiLevelType w:val="hybridMultilevel"/>
    <w:tmpl w:val="BE2AF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5192F"/>
    <w:multiLevelType w:val="hybridMultilevel"/>
    <w:tmpl w:val="21CCE028"/>
    <w:lvl w:ilvl="0" w:tplc="42AAF90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72852"/>
    <w:multiLevelType w:val="hybridMultilevel"/>
    <w:tmpl w:val="8C808F9C"/>
    <w:lvl w:ilvl="0" w:tplc="9ACCF466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C0FBD"/>
    <w:multiLevelType w:val="hybridMultilevel"/>
    <w:tmpl w:val="23DAC27A"/>
    <w:lvl w:ilvl="0" w:tplc="329C15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416DE1"/>
    <w:multiLevelType w:val="hybridMultilevel"/>
    <w:tmpl w:val="27DA5866"/>
    <w:lvl w:ilvl="0" w:tplc="42AAF90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20427"/>
    <w:multiLevelType w:val="hybridMultilevel"/>
    <w:tmpl w:val="12E059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F00406"/>
    <w:multiLevelType w:val="hybridMultilevel"/>
    <w:tmpl w:val="09DA60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75FB8"/>
    <w:multiLevelType w:val="hybridMultilevel"/>
    <w:tmpl w:val="08E24A14"/>
    <w:lvl w:ilvl="0" w:tplc="38546750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4A0FB9"/>
    <w:multiLevelType w:val="hybridMultilevel"/>
    <w:tmpl w:val="5E3A6D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C5679E"/>
    <w:multiLevelType w:val="hybridMultilevel"/>
    <w:tmpl w:val="B11868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6"/>
  </w:num>
  <w:num w:numId="5">
    <w:abstractNumId w:val="8"/>
  </w:num>
  <w:num w:numId="6">
    <w:abstractNumId w:val="0"/>
  </w:num>
  <w:num w:numId="7">
    <w:abstractNumId w:val="4"/>
  </w:num>
  <w:num w:numId="8">
    <w:abstractNumId w:val="10"/>
  </w:num>
  <w:num w:numId="9">
    <w:abstractNumId w:val="7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B6D"/>
    <w:rsid w:val="0000635B"/>
    <w:rsid w:val="00081409"/>
    <w:rsid w:val="000E6B3C"/>
    <w:rsid w:val="000F6770"/>
    <w:rsid w:val="001F5C85"/>
    <w:rsid w:val="0023619F"/>
    <w:rsid w:val="002B695E"/>
    <w:rsid w:val="002C0D41"/>
    <w:rsid w:val="003300C7"/>
    <w:rsid w:val="003517E4"/>
    <w:rsid w:val="00360821"/>
    <w:rsid w:val="00421957"/>
    <w:rsid w:val="004519C8"/>
    <w:rsid w:val="00457C7D"/>
    <w:rsid w:val="004D4AF4"/>
    <w:rsid w:val="00522338"/>
    <w:rsid w:val="00522A7F"/>
    <w:rsid w:val="00541A7B"/>
    <w:rsid w:val="005D5C38"/>
    <w:rsid w:val="00605217"/>
    <w:rsid w:val="00636658"/>
    <w:rsid w:val="00660E2D"/>
    <w:rsid w:val="00691C69"/>
    <w:rsid w:val="00696863"/>
    <w:rsid w:val="006A3269"/>
    <w:rsid w:val="006D1B98"/>
    <w:rsid w:val="006F50A0"/>
    <w:rsid w:val="00702CD3"/>
    <w:rsid w:val="00722D6A"/>
    <w:rsid w:val="0077531F"/>
    <w:rsid w:val="007C35FB"/>
    <w:rsid w:val="007C3BBC"/>
    <w:rsid w:val="007F437F"/>
    <w:rsid w:val="008076B5"/>
    <w:rsid w:val="008434A5"/>
    <w:rsid w:val="008462C5"/>
    <w:rsid w:val="00852785"/>
    <w:rsid w:val="00865B7D"/>
    <w:rsid w:val="008E6C4F"/>
    <w:rsid w:val="00945D3B"/>
    <w:rsid w:val="0095055B"/>
    <w:rsid w:val="00951429"/>
    <w:rsid w:val="00A05AAF"/>
    <w:rsid w:val="00A43797"/>
    <w:rsid w:val="00A45324"/>
    <w:rsid w:val="00A71744"/>
    <w:rsid w:val="00A75FA3"/>
    <w:rsid w:val="00AA3547"/>
    <w:rsid w:val="00AC2D07"/>
    <w:rsid w:val="00B7793F"/>
    <w:rsid w:val="00B8654C"/>
    <w:rsid w:val="00BB7B6D"/>
    <w:rsid w:val="00BC340D"/>
    <w:rsid w:val="00CC6FA4"/>
    <w:rsid w:val="00D075D4"/>
    <w:rsid w:val="00D9467C"/>
    <w:rsid w:val="00DD0A1E"/>
    <w:rsid w:val="00DD47B8"/>
    <w:rsid w:val="00E071A7"/>
    <w:rsid w:val="00E271A4"/>
    <w:rsid w:val="00E40AF3"/>
    <w:rsid w:val="00E53824"/>
    <w:rsid w:val="00EE67F7"/>
    <w:rsid w:val="00F313C0"/>
    <w:rsid w:val="00F4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BCB9B6"/>
  <w15:docId w15:val="{07B505C9-F546-48E8-BD97-A415B6C4A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82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7B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7B6D"/>
  </w:style>
  <w:style w:type="paragraph" w:styleId="Rodap">
    <w:name w:val="footer"/>
    <w:basedOn w:val="Normal"/>
    <w:link w:val="RodapChar"/>
    <w:uiPriority w:val="99"/>
    <w:unhideWhenUsed/>
    <w:rsid w:val="00BB7B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7B6D"/>
  </w:style>
  <w:style w:type="paragraph" w:styleId="Textodebalo">
    <w:name w:val="Balloon Text"/>
    <w:basedOn w:val="Normal"/>
    <w:link w:val="TextodebaloChar"/>
    <w:uiPriority w:val="99"/>
    <w:semiHidden/>
    <w:unhideWhenUsed/>
    <w:rsid w:val="00BB7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7B6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43797"/>
    <w:pPr>
      <w:ind w:left="720"/>
      <w:contextualSpacing/>
    </w:pPr>
  </w:style>
  <w:style w:type="paragraph" w:customStyle="1" w:styleId="Pargrafo">
    <w:name w:val="Parágrafo"/>
    <w:basedOn w:val="Normal"/>
    <w:rsid w:val="00722D6A"/>
    <w:pPr>
      <w:widowControl w:val="0"/>
      <w:tabs>
        <w:tab w:val="left" w:pos="1701"/>
      </w:tabs>
      <w:suppressAutoHyphens/>
      <w:spacing w:after="0" w:line="360" w:lineRule="auto"/>
      <w:ind w:firstLine="1701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styleId="Bibliografia">
    <w:name w:val="Bibliography"/>
    <w:basedOn w:val="Normal"/>
    <w:next w:val="Normal"/>
    <w:uiPriority w:val="37"/>
    <w:semiHidden/>
    <w:unhideWhenUsed/>
    <w:rsid w:val="00807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14</Pages>
  <Words>3682</Words>
  <Characters>19887</Characters>
  <Application>Microsoft Office Word</Application>
  <DocSecurity>0</DocSecurity>
  <Lines>165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Kamilla Brito</dc:creator>
  <cp:lastModifiedBy>HABITACAO</cp:lastModifiedBy>
  <cp:revision>39</cp:revision>
  <dcterms:created xsi:type="dcterms:W3CDTF">2018-05-31T20:26:00Z</dcterms:created>
  <dcterms:modified xsi:type="dcterms:W3CDTF">2018-09-21T15:03:00Z</dcterms:modified>
</cp:coreProperties>
</file>