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FE" w:rsidRDefault="00A85039" w:rsidP="00B4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QUALIDADE N</w:t>
      </w:r>
      <w:r w:rsidR="00B4795C" w:rsidRPr="00B4795C">
        <w:rPr>
          <w:rFonts w:ascii="Arial" w:hAnsi="Arial" w:cs="Arial"/>
          <w:sz w:val="24"/>
          <w:szCs w:val="24"/>
        </w:rPr>
        <w:t>A SEMENTE EM FUNÇÃO DA ÉPOCA DA SEMEADURA</w:t>
      </w:r>
    </w:p>
    <w:p w:rsidR="00B4795C" w:rsidRPr="00B4795C" w:rsidRDefault="00B4795C" w:rsidP="00B4795C">
      <w:pPr>
        <w:rPr>
          <w:rFonts w:ascii="Arial" w:hAnsi="Arial" w:cs="Arial"/>
          <w:sz w:val="24"/>
          <w:szCs w:val="24"/>
        </w:rPr>
      </w:pPr>
    </w:p>
    <w:p w:rsidR="00035BD5" w:rsidRDefault="00B34B31" w:rsidP="00035B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ab/>
      </w:r>
      <w:r w:rsidRPr="00B4795C">
        <w:rPr>
          <w:rFonts w:ascii="Arial" w:hAnsi="Arial" w:cs="Arial"/>
          <w:sz w:val="20"/>
          <w:szCs w:val="20"/>
        </w:rPr>
        <w:t xml:space="preserve">A época de semeadura um dos fatores principais que determinam a produtividade do arroz irrigado. Além da produtividade de grãos a época de semeadura poderá influenciar na qualidade do grão formado e na qualidade fisiológica da semente produzidas. Em função disso o presente trabalho teve como objetivo avaliar a </w:t>
      </w:r>
      <w:r w:rsidR="00220158" w:rsidRPr="00B4795C">
        <w:rPr>
          <w:rFonts w:ascii="Arial" w:hAnsi="Arial" w:cs="Arial"/>
          <w:sz w:val="20"/>
          <w:szCs w:val="20"/>
        </w:rPr>
        <w:t>influência</w:t>
      </w:r>
      <w:r w:rsidRPr="00B4795C">
        <w:rPr>
          <w:rFonts w:ascii="Arial" w:hAnsi="Arial" w:cs="Arial"/>
          <w:sz w:val="20"/>
          <w:szCs w:val="20"/>
        </w:rPr>
        <w:t xml:space="preserve"> da época de semeadura sobre a qualidade fisiológica da semente e sobre estabelecimento e desenvolvimento das plantas de arroz bem como a produtividade de grãos. Para tal foi conduzido um experimento, na safra 2016/17, na Estação Regional de Pesquisa do Instituto Rio </w:t>
      </w:r>
      <w:proofErr w:type="spellStart"/>
      <w:r w:rsidRPr="00B4795C">
        <w:rPr>
          <w:rFonts w:ascii="Arial" w:hAnsi="Arial" w:cs="Arial"/>
          <w:sz w:val="20"/>
          <w:szCs w:val="20"/>
        </w:rPr>
        <w:t>Grandense</w:t>
      </w:r>
      <w:proofErr w:type="spellEnd"/>
      <w:r w:rsidRPr="00B4795C">
        <w:rPr>
          <w:rFonts w:ascii="Arial" w:hAnsi="Arial" w:cs="Arial"/>
          <w:sz w:val="20"/>
          <w:szCs w:val="20"/>
        </w:rPr>
        <w:t xml:space="preserve"> do Arroz (IRGA), em Cachoeira do Sul-RS, utilizando sementes colhidas em diferentes é</w:t>
      </w:r>
      <w:r w:rsidR="00035BD5">
        <w:rPr>
          <w:rFonts w:ascii="Arial" w:hAnsi="Arial" w:cs="Arial"/>
          <w:sz w:val="20"/>
          <w:szCs w:val="20"/>
        </w:rPr>
        <w:t>pocas de semeadura da safra 2015/16</w:t>
      </w:r>
      <w:r w:rsidRPr="00B4795C">
        <w:rPr>
          <w:rFonts w:ascii="Arial" w:hAnsi="Arial" w:cs="Arial"/>
          <w:sz w:val="20"/>
          <w:szCs w:val="20"/>
        </w:rPr>
        <w:t>, de tr</w:t>
      </w:r>
      <w:r w:rsidR="00D434C7">
        <w:rPr>
          <w:rFonts w:ascii="Arial" w:hAnsi="Arial" w:cs="Arial"/>
          <w:sz w:val="20"/>
          <w:szCs w:val="20"/>
        </w:rPr>
        <w:t>ês cultivares de arroz Guri INTA</w:t>
      </w:r>
      <w:r w:rsidRPr="00B4795C">
        <w:rPr>
          <w:rFonts w:ascii="Arial" w:hAnsi="Arial" w:cs="Arial"/>
          <w:sz w:val="20"/>
          <w:szCs w:val="20"/>
        </w:rPr>
        <w:t xml:space="preserve"> CL, IRGA 424 RI e </w:t>
      </w:r>
      <w:proofErr w:type="spellStart"/>
      <w:r w:rsidRPr="00B4795C">
        <w:rPr>
          <w:rFonts w:ascii="Arial" w:hAnsi="Arial" w:cs="Arial"/>
          <w:sz w:val="20"/>
          <w:szCs w:val="20"/>
        </w:rPr>
        <w:t>Epagri</w:t>
      </w:r>
      <w:proofErr w:type="spellEnd"/>
      <w:r w:rsidRPr="00B4795C">
        <w:rPr>
          <w:rFonts w:ascii="Arial" w:hAnsi="Arial" w:cs="Arial"/>
          <w:sz w:val="20"/>
          <w:szCs w:val="20"/>
        </w:rPr>
        <w:t xml:space="preserve"> 108. Pr</w:t>
      </w:r>
      <w:r w:rsidR="00444845" w:rsidRPr="00B4795C">
        <w:rPr>
          <w:rFonts w:ascii="Arial" w:hAnsi="Arial" w:cs="Arial"/>
          <w:sz w:val="20"/>
          <w:szCs w:val="20"/>
        </w:rPr>
        <w:t>imeiramente</w:t>
      </w:r>
      <w:r w:rsidR="00035BD5">
        <w:rPr>
          <w:rFonts w:ascii="Arial" w:hAnsi="Arial" w:cs="Arial"/>
          <w:sz w:val="20"/>
          <w:szCs w:val="20"/>
        </w:rPr>
        <w:t>,</w:t>
      </w:r>
      <w:r w:rsidR="00444845" w:rsidRPr="00B4795C">
        <w:rPr>
          <w:rFonts w:ascii="Arial" w:hAnsi="Arial" w:cs="Arial"/>
          <w:sz w:val="20"/>
          <w:szCs w:val="20"/>
        </w:rPr>
        <w:t xml:space="preserve"> foi determinado em laboratório em delineamento inteiramente </w:t>
      </w:r>
      <w:proofErr w:type="spellStart"/>
      <w:r w:rsidR="00444845" w:rsidRPr="00B4795C">
        <w:rPr>
          <w:rFonts w:ascii="Arial" w:hAnsi="Arial" w:cs="Arial"/>
          <w:sz w:val="20"/>
          <w:szCs w:val="20"/>
        </w:rPr>
        <w:t>casualizados</w:t>
      </w:r>
      <w:proofErr w:type="spellEnd"/>
      <w:r w:rsidR="00444845" w:rsidRPr="00B4795C">
        <w:rPr>
          <w:rFonts w:ascii="Arial" w:hAnsi="Arial" w:cs="Arial"/>
          <w:sz w:val="20"/>
          <w:szCs w:val="20"/>
        </w:rPr>
        <w:t xml:space="preserve"> com quatro repetições</w:t>
      </w:r>
      <w:r w:rsidR="00035BD5">
        <w:rPr>
          <w:rFonts w:ascii="Arial" w:hAnsi="Arial" w:cs="Arial"/>
          <w:sz w:val="20"/>
          <w:szCs w:val="20"/>
        </w:rPr>
        <w:t xml:space="preserve">, </w:t>
      </w:r>
      <w:r w:rsidR="00444845" w:rsidRPr="00B4795C">
        <w:rPr>
          <w:rFonts w:ascii="Arial" w:hAnsi="Arial" w:cs="Arial"/>
          <w:sz w:val="20"/>
          <w:szCs w:val="20"/>
        </w:rPr>
        <w:t>o vigor e a germinação. No campo o delineamento foi de blo</w:t>
      </w:r>
      <w:r w:rsidR="00035BD5">
        <w:rPr>
          <w:rFonts w:ascii="Arial" w:hAnsi="Arial" w:cs="Arial"/>
          <w:sz w:val="20"/>
          <w:szCs w:val="20"/>
        </w:rPr>
        <w:t xml:space="preserve">cos ao acaso com três repetições e </w:t>
      </w:r>
      <w:r w:rsidR="00444845" w:rsidRPr="00B4795C">
        <w:rPr>
          <w:rFonts w:ascii="Arial" w:hAnsi="Arial" w:cs="Arial"/>
          <w:sz w:val="20"/>
          <w:szCs w:val="20"/>
        </w:rPr>
        <w:t>fo</w:t>
      </w:r>
      <w:r w:rsidR="00035BD5">
        <w:rPr>
          <w:rFonts w:ascii="Arial" w:hAnsi="Arial" w:cs="Arial"/>
          <w:sz w:val="20"/>
          <w:szCs w:val="20"/>
        </w:rPr>
        <w:t>i</w:t>
      </w:r>
      <w:r w:rsidR="00444845" w:rsidRPr="00B4795C">
        <w:rPr>
          <w:rFonts w:ascii="Arial" w:hAnsi="Arial" w:cs="Arial"/>
          <w:sz w:val="20"/>
          <w:szCs w:val="20"/>
        </w:rPr>
        <w:t xml:space="preserve"> avaliad</w:t>
      </w:r>
      <w:r w:rsidR="00035BD5">
        <w:rPr>
          <w:rFonts w:ascii="Arial" w:hAnsi="Arial" w:cs="Arial"/>
          <w:sz w:val="20"/>
          <w:szCs w:val="20"/>
        </w:rPr>
        <w:t>a</w:t>
      </w:r>
      <w:r w:rsidR="00444845" w:rsidRPr="00B4795C">
        <w:rPr>
          <w:rFonts w:ascii="Arial" w:hAnsi="Arial" w:cs="Arial"/>
          <w:sz w:val="20"/>
          <w:szCs w:val="20"/>
        </w:rPr>
        <w:t xml:space="preserve"> a pr</w:t>
      </w:r>
      <w:r w:rsidR="00220158" w:rsidRPr="00B4795C">
        <w:rPr>
          <w:rFonts w:ascii="Arial" w:hAnsi="Arial" w:cs="Arial"/>
          <w:sz w:val="20"/>
          <w:szCs w:val="20"/>
        </w:rPr>
        <w:t xml:space="preserve">odutividade de grãos. </w:t>
      </w:r>
      <w:r w:rsidR="00035BD5">
        <w:rPr>
          <w:rFonts w:ascii="Arial" w:hAnsi="Arial" w:cs="Arial"/>
          <w:sz w:val="20"/>
          <w:szCs w:val="20"/>
        </w:rPr>
        <w:t>A</w:t>
      </w:r>
      <w:r w:rsidR="00035BD5" w:rsidRPr="00035BD5">
        <w:rPr>
          <w:rFonts w:ascii="Arial" w:hAnsi="Arial" w:cs="Arial"/>
          <w:sz w:val="20"/>
          <w:szCs w:val="20"/>
        </w:rPr>
        <w:t xml:space="preserve"> época de semeadura afetou o vigor e a germinação das cultivares, sendo que a melhor qualidade </w:t>
      </w:r>
      <w:r w:rsidR="00035BD5">
        <w:rPr>
          <w:rFonts w:ascii="Arial" w:hAnsi="Arial" w:cs="Arial"/>
          <w:sz w:val="20"/>
          <w:szCs w:val="20"/>
        </w:rPr>
        <w:t>foi</w:t>
      </w:r>
      <w:r w:rsidR="00035BD5" w:rsidRPr="00035BD5">
        <w:rPr>
          <w:rFonts w:ascii="Arial" w:hAnsi="Arial" w:cs="Arial"/>
          <w:sz w:val="20"/>
          <w:szCs w:val="20"/>
        </w:rPr>
        <w:t xml:space="preserve"> obtida com as semeaduras mais precoces. Dentre as cultivares</w:t>
      </w:r>
      <w:r w:rsidR="00035BD5">
        <w:rPr>
          <w:rFonts w:ascii="Arial" w:hAnsi="Arial" w:cs="Arial"/>
          <w:sz w:val="20"/>
          <w:szCs w:val="20"/>
        </w:rPr>
        <w:t xml:space="preserve">, Guri INTA CL diferiu quanto ao vigor das demais cultivares, seguido de IRGA 424RI e </w:t>
      </w:r>
      <w:proofErr w:type="spellStart"/>
      <w:r w:rsidR="00035BD5">
        <w:rPr>
          <w:rFonts w:ascii="Arial" w:hAnsi="Arial" w:cs="Arial"/>
          <w:sz w:val="20"/>
          <w:szCs w:val="20"/>
        </w:rPr>
        <w:t>Epagri</w:t>
      </w:r>
      <w:proofErr w:type="spellEnd"/>
      <w:r w:rsidR="00035BD5">
        <w:rPr>
          <w:rFonts w:ascii="Arial" w:hAnsi="Arial" w:cs="Arial"/>
          <w:sz w:val="20"/>
          <w:szCs w:val="20"/>
        </w:rPr>
        <w:t xml:space="preserve"> 108. A</w:t>
      </w:r>
      <w:r w:rsidR="001D1CBD">
        <w:rPr>
          <w:rFonts w:ascii="Arial" w:hAnsi="Arial" w:cs="Arial"/>
          <w:sz w:val="20"/>
          <w:szCs w:val="20"/>
        </w:rPr>
        <w:t>pesar disso, a</w:t>
      </w:r>
      <w:r w:rsidR="00035BD5">
        <w:rPr>
          <w:rFonts w:ascii="Arial" w:hAnsi="Arial" w:cs="Arial"/>
          <w:sz w:val="20"/>
          <w:szCs w:val="20"/>
        </w:rPr>
        <w:t xml:space="preserve"> germinação não diferiu entre</w:t>
      </w:r>
      <w:r w:rsidR="00035BD5" w:rsidRPr="00035BD5">
        <w:rPr>
          <w:rFonts w:ascii="Arial" w:hAnsi="Arial" w:cs="Arial"/>
          <w:sz w:val="20"/>
          <w:szCs w:val="20"/>
        </w:rPr>
        <w:t xml:space="preserve"> Guri INTA CL (91%) </w:t>
      </w:r>
      <w:r w:rsidR="00035BD5">
        <w:rPr>
          <w:rFonts w:ascii="Arial" w:hAnsi="Arial" w:cs="Arial"/>
          <w:sz w:val="20"/>
          <w:szCs w:val="20"/>
        </w:rPr>
        <w:t>e</w:t>
      </w:r>
      <w:r w:rsidR="00035BD5" w:rsidRPr="00035BD5">
        <w:rPr>
          <w:rFonts w:ascii="Arial" w:hAnsi="Arial" w:cs="Arial"/>
          <w:sz w:val="20"/>
          <w:szCs w:val="20"/>
        </w:rPr>
        <w:t xml:space="preserve"> IRGA 424 RI (85%)</w:t>
      </w:r>
      <w:r w:rsidR="00035BD5">
        <w:rPr>
          <w:rFonts w:ascii="Arial" w:hAnsi="Arial" w:cs="Arial"/>
          <w:sz w:val="20"/>
          <w:szCs w:val="20"/>
        </w:rPr>
        <w:t xml:space="preserve">, enquanto </w:t>
      </w:r>
      <w:proofErr w:type="spellStart"/>
      <w:r w:rsidR="00035BD5" w:rsidRPr="00035BD5">
        <w:rPr>
          <w:rFonts w:ascii="Arial" w:hAnsi="Arial" w:cs="Arial"/>
          <w:sz w:val="20"/>
          <w:szCs w:val="20"/>
        </w:rPr>
        <w:t>Epagri</w:t>
      </w:r>
      <w:proofErr w:type="spellEnd"/>
      <w:r w:rsidR="00035BD5" w:rsidRPr="00035BD5">
        <w:rPr>
          <w:rFonts w:ascii="Arial" w:hAnsi="Arial" w:cs="Arial"/>
          <w:sz w:val="20"/>
          <w:szCs w:val="20"/>
        </w:rPr>
        <w:t xml:space="preserve"> 108 </w:t>
      </w:r>
      <w:r w:rsidR="00035BD5">
        <w:rPr>
          <w:rFonts w:ascii="Arial" w:hAnsi="Arial" w:cs="Arial"/>
          <w:sz w:val="20"/>
          <w:szCs w:val="20"/>
        </w:rPr>
        <w:t xml:space="preserve">teve um menor desempenho </w:t>
      </w:r>
      <w:r w:rsidR="00035BD5" w:rsidRPr="00035BD5">
        <w:rPr>
          <w:rFonts w:ascii="Arial" w:hAnsi="Arial" w:cs="Arial"/>
          <w:sz w:val="20"/>
          <w:szCs w:val="20"/>
        </w:rPr>
        <w:t>(76%).</w:t>
      </w:r>
      <w:r w:rsidR="00035BD5">
        <w:rPr>
          <w:rFonts w:ascii="Arial" w:hAnsi="Arial" w:cs="Arial"/>
          <w:sz w:val="20"/>
          <w:szCs w:val="20"/>
        </w:rPr>
        <w:t xml:space="preserve"> A produtividade de grãos foi influenciada pela cultivar, onde IRGA 424RI apresentou um melhor desempenho, seguido de Guri INTA CL e </w:t>
      </w:r>
      <w:proofErr w:type="spellStart"/>
      <w:r w:rsidR="00035BD5">
        <w:rPr>
          <w:rFonts w:ascii="Arial" w:hAnsi="Arial" w:cs="Arial"/>
          <w:sz w:val="20"/>
          <w:szCs w:val="20"/>
        </w:rPr>
        <w:t>Epagri</w:t>
      </w:r>
      <w:proofErr w:type="spellEnd"/>
      <w:r w:rsidR="00035BD5">
        <w:rPr>
          <w:rFonts w:ascii="Arial" w:hAnsi="Arial" w:cs="Arial"/>
          <w:sz w:val="20"/>
          <w:szCs w:val="20"/>
        </w:rPr>
        <w:t xml:space="preserve"> 108. Na cultivar IRGA 424RI a qualidade da semente afetou a produtividade, </w:t>
      </w:r>
      <w:r w:rsidR="005C6CCF">
        <w:rPr>
          <w:rFonts w:ascii="Arial" w:hAnsi="Arial" w:cs="Arial"/>
          <w:sz w:val="20"/>
          <w:szCs w:val="20"/>
        </w:rPr>
        <w:t>sendo que, quando a semente proveniente das lavouras semeadas entre outubro e novembro, épocas preferencias de semeadura do arroz, apresentaram o melhor desempenho. Nesse sentido, a época de semeadura da cultura do arroz afeta a qualidade fisiológica da semente produzida, e essa irá influenciar o desempenho das futuras lavouras. Além disso, esse efeito é ampliado dependendo do material genético utilizado.</w:t>
      </w:r>
    </w:p>
    <w:p w:rsidR="00831086" w:rsidRPr="00B4795C" w:rsidRDefault="00B4795C" w:rsidP="008310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77D">
        <w:rPr>
          <w:rFonts w:ascii="Arial" w:eastAsia="Arial" w:hAnsi="Arial" w:cs="Arial"/>
          <w:b/>
          <w:sz w:val="24"/>
          <w:szCs w:val="24"/>
        </w:rPr>
        <w:t>P</w:t>
      </w:r>
      <w:r w:rsidRPr="00A3477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A3477D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A3477D">
        <w:rPr>
          <w:rFonts w:ascii="Arial" w:eastAsia="Arial" w:hAnsi="Arial" w:cs="Arial"/>
          <w:b/>
          <w:spacing w:val="1"/>
          <w:sz w:val="24"/>
          <w:szCs w:val="24"/>
        </w:rPr>
        <w:t>avra</w:t>
      </w:r>
      <w:r w:rsidRPr="00A3477D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A3477D">
        <w:rPr>
          <w:rFonts w:ascii="Arial" w:eastAsia="Arial" w:hAnsi="Arial" w:cs="Arial"/>
          <w:sz w:val="24"/>
          <w:szCs w:val="24"/>
        </w:rPr>
        <w:t>-</w:t>
      </w:r>
      <w:r w:rsidRPr="00A3477D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A3477D">
        <w:rPr>
          <w:rFonts w:ascii="Arial" w:eastAsia="Arial" w:hAnsi="Arial" w:cs="Arial"/>
          <w:b/>
          <w:spacing w:val="-2"/>
          <w:sz w:val="24"/>
          <w:szCs w:val="24"/>
        </w:rPr>
        <w:t>h</w:t>
      </w:r>
      <w:r w:rsidRPr="00A3477D">
        <w:rPr>
          <w:rFonts w:ascii="Arial" w:eastAsia="Arial" w:hAnsi="Arial" w:cs="Arial"/>
          <w:b/>
          <w:spacing w:val="1"/>
          <w:sz w:val="24"/>
          <w:szCs w:val="24"/>
        </w:rPr>
        <w:t>av</w:t>
      </w:r>
      <w:r w:rsidRPr="00A3477D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A3477D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31086">
        <w:rPr>
          <w:rFonts w:ascii="Arial" w:hAnsi="Arial" w:cs="Arial"/>
          <w:sz w:val="20"/>
          <w:szCs w:val="20"/>
        </w:rPr>
        <w:t xml:space="preserve">Vigor, Germinação, Interferência </w:t>
      </w:r>
    </w:p>
    <w:p w:rsidR="00B4795C" w:rsidRPr="00A3477D" w:rsidRDefault="00B4795C" w:rsidP="00035BD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4795C" w:rsidRPr="00A3477D" w:rsidRDefault="00B4795C" w:rsidP="00B4795C">
      <w:pPr>
        <w:spacing w:before="2" w:line="140" w:lineRule="exact"/>
        <w:rPr>
          <w:sz w:val="15"/>
          <w:szCs w:val="15"/>
        </w:rPr>
      </w:pPr>
      <w:bookmarkStart w:id="0" w:name="_GoBack"/>
      <w:bookmarkEnd w:id="0"/>
    </w:p>
    <w:sectPr w:rsidR="00B4795C" w:rsidRPr="00A34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1"/>
    <w:rsid w:val="00035BD5"/>
    <w:rsid w:val="001B36EA"/>
    <w:rsid w:val="001C3DA3"/>
    <w:rsid w:val="001D1CBD"/>
    <w:rsid w:val="00220158"/>
    <w:rsid w:val="00444845"/>
    <w:rsid w:val="00470EFE"/>
    <w:rsid w:val="005C6CCF"/>
    <w:rsid w:val="00700E16"/>
    <w:rsid w:val="00831086"/>
    <w:rsid w:val="00A85039"/>
    <w:rsid w:val="00B34B31"/>
    <w:rsid w:val="00B4795C"/>
    <w:rsid w:val="00B92CD3"/>
    <w:rsid w:val="00D434C7"/>
    <w:rsid w:val="00E40CE8"/>
    <w:rsid w:val="00E47221"/>
    <w:rsid w:val="00E75E81"/>
    <w:rsid w:val="00F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D7D5F9-6CF7-4C74-AC9B-6AF256A3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2018-08-31T18:38:00Z</dcterms:created>
  <dcterms:modified xsi:type="dcterms:W3CDTF">2018-08-31T18:39:00Z</dcterms:modified>
</cp:coreProperties>
</file>